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06636A3B" w14:textId="77777777" w:rsidR="00BC294B" w:rsidRDefault="00A21D41">
      <w:pPr>
        <w:pStyle w:val="Heading1"/>
        <w:contextualSpacing w:val="0"/>
      </w:pPr>
      <w:bookmarkStart w:id="0" w:name="h.weymxio6ek41" w:colFirst="0" w:colLast="0"/>
      <w:bookmarkEnd w:id="0"/>
      <w:r>
        <w:t>Title</w:t>
      </w:r>
    </w:p>
    <w:p w14:paraId="2EEF1C32" w14:textId="3238E9AA" w:rsidR="0027563E" w:rsidRDefault="00580A40" w:rsidP="00A54E61">
      <w:pPr>
        <w:pStyle w:val="Normal2"/>
      </w:pPr>
      <w:r>
        <w:t xml:space="preserve">Estimating </w:t>
      </w:r>
      <w:r w:rsidR="00E53F30">
        <w:t xml:space="preserve">local </w:t>
      </w:r>
      <w:r>
        <w:t>cost</w:t>
      </w:r>
      <w:r w:rsidR="00401A4A">
        <w:t>s</w:t>
      </w:r>
      <w:r>
        <w:t xml:space="preserve"> </w:t>
      </w:r>
      <w:r w:rsidR="00BE4BE6">
        <w:t xml:space="preserve">associated with </w:t>
      </w:r>
      <w:r>
        <w:rPr>
          <w:i/>
        </w:rPr>
        <w:t xml:space="preserve">Clostridium </w:t>
      </w:r>
      <w:r w:rsidRPr="00580A40">
        <w:rPr>
          <w:i/>
        </w:rPr>
        <w:t>difficile</w:t>
      </w:r>
      <w:r>
        <w:t xml:space="preserve"> infection</w:t>
      </w:r>
      <w:r w:rsidR="002834F8">
        <w:t xml:space="preserve">: </w:t>
      </w:r>
      <w:r w:rsidR="00374B14">
        <w:t>a</w:t>
      </w:r>
      <w:r w:rsidR="002834F8">
        <w:t xml:space="preserve"> retrospective cohort study</w:t>
      </w:r>
      <w:r w:rsidR="00465624">
        <w:t xml:space="preserve"> </w:t>
      </w:r>
      <w:r w:rsidR="005A7204">
        <w:t>using</w:t>
      </w:r>
      <w:r w:rsidR="00374B14">
        <w:t xml:space="preserve"> machine learning </w:t>
      </w:r>
      <w:r w:rsidR="00651CE5">
        <w:t>and</w:t>
      </w:r>
      <w:r w:rsidR="00374B14">
        <w:t xml:space="preserve"> e</w:t>
      </w:r>
      <w:r w:rsidR="00374B14" w:rsidRPr="00580A40">
        <w:t>lectronic</w:t>
      </w:r>
      <w:r w:rsidR="0075407B">
        <w:t xml:space="preserve"> medical records</w:t>
      </w:r>
    </w:p>
    <w:p w14:paraId="26197DF0" w14:textId="77777777" w:rsidR="0027563E" w:rsidRDefault="0027563E" w:rsidP="00A54E61">
      <w:pPr>
        <w:pStyle w:val="Heading2"/>
      </w:pPr>
      <w:r>
        <w:t>Authors</w:t>
      </w:r>
    </w:p>
    <w:p w14:paraId="3B011683" w14:textId="77777777" w:rsidR="0027563E" w:rsidRPr="00F052F5" w:rsidRDefault="00B423C9">
      <w:r>
        <w:t>Theodore R. Pak</w:t>
      </w:r>
      <w:r w:rsidR="00262F8F">
        <w:t>, AB</w:t>
      </w:r>
      <w:r w:rsidR="00DD41F3">
        <w:t>,</w:t>
      </w:r>
      <w:r w:rsidR="00ED1D26" w:rsidRPr="00AD5B73">
        <w:rPr>
          <w:rStyle w:val="FootnoteReference"/>
        </w:rPr>
        <w:footnoteReference w:id="2"/>
      </w:r>
      <w:r>
        <w:t xml:space="preserve"> </w:t>
      </w:r>
      <w:r w:rsidR="009C0120">
        <w:t>Kieran Chacko</w:t>
      </w:r>
      <w:r w:rsidR="00262F8F">
        <w:t xml:space="preserve">, </w:t>
      </w:r>
      <w:r w:rsidR="005124E5">
        <w:t>BA,</w:t>
      </w:r>
      <w:r w:rsidR="00262F8F">
        <w:t xml:space="preserve"> BS</w:t>
      </w:r>
      <w:r w:rsidR="005124E5">
        <w:t>c</w:t>
      </w:r>
      <w:proofErr w:type="gramStart"/>
      <w:r w:rsidR="00DD41F3">
        <w:t>,</w:t>
      </w:r>
      <w:r w:rsidR="009C0120" w:rsidRPr="009C0120">
        <w:rPr>
          <w:vertAlign w:val="superscript"/>
        </w:rPr>
        <w:t>a</w:t>
      </w:r>
      <w:proofErr w:type="gramEnd"/>
      <w:r w:rsidR="009C0120">
        <w:t xml:space="preserve"> Timothy O’Donnell,</w:t>
      </w:r>
      <w:r w:rsidR="00262F8F">
        <w:t xml:space="preserve"> BS,</w:t>
      </w:r>
      <w:r w:rsidR="009C0120" w:rsidRPr="009C0120">
        <w:rPr>
          <w:vertAlign w:val="superscript"/>
        </w:rPr>
        <w:t>a</w:t>
      </w:r>
      <w:r w:rsidR="009C0120">
        <w:t xml:space="preserve"> Shirish Huprikar,</w:t>
      </w:r>
      <w:r w:rsidR="00262F8F">
        <w:t xml:space="preserve"> MD,</w:t>
      </w:r>
      <w:r w:rsidR="009C0120" w:rsidRPr="00AD5B73">
        <w:rPr>
          <w:rStyle w:val="FootnoteReference"/>
        </w:rPr>
        <w:footnoteReference w:id="3"/>
      </w:r>
      <w:r w:rsidR="009C0120">
        <w:t xml:space="preserve"> Harm van Bakel,</w:t>
      </w:r>
      <w:r w:rsidR="00262F8F">
        <w:t xml:space="preserve"> PhD,</w:t>
      </w:r>
      <w:r w:rsidR="009C0120" w:rsidRPr="009C0120">
        <w:rPr>
          <w:vertAlign w:val="superscript"/>
        </w:rPr>
        <w:t>a</w:t>
      </w:r>
      <w:r w:rsidR="009C0120">
        <w:t xml:space="preserve"> Andrew Kasarskis,</w:t>
      </w:r>
      <w:r w:rsidR="00262F8F">
        <w:t xml:space="preserve"> PhD,</w:t>
      </w:r>
      <w:r w:rsidR="009C0120">
        <w:rPr>
          <w:vertAlign w:val="superscript"/>
        </w:rPr>
        <w:t>a#</w:t>
      </w:r>
      <w:r w:rsidR="009C0120">
        <w:t xml:space="preserve"> and Erick R. Scott</w:t>
      </w:r>
      <w:r w:rsidR="00262F8F">
        <w:t>, MD</w:t>
      </w:r>
      <w:r w:rsidR="005124E5">
        <w:t>, MHS</w:t>
      </w:r>
      <w:r w:rsidR="009C0120" w:rsidRPr="009C0120">
        <w:rPr>
          <w:vertAlign w:val="superscript"/>
        </w:rPr>
        <w:t>a</w:t>
      </w:r>
    </w:p>
    <w:p w14:paraId="33C96D84" w14:textId="77777777" w:rsidR="001C2FCF" w:rsidRDefault="001C2FCF" w:rsidP="000F333D">
      <w:pPr>
        <w:pStyle w:val="FootnoteText"/>
        <w:spacing w:line="480" w:lineRule="auto"/>
        <w:rPr>
          <w:sz w:val="22"/>
          <w:szCs w:val="22"/>
        </w:rPr>
      </w:pPr>
    </w:p>
    <w:p w14:paraId="517B3732" w14:textId="764603F8" w:rsidR="00262F8F" w:rsidRDefault="00262F8F" w:rsidP="000F333D">
      <w:pPr>
        <w:pStyle w:val="FootnoteText"/>
        <w:spacing w:line="480" w:lineRule="auto"/>
        <w:rPr>
          <w:sz w:val="22"/>
          <w:szCs w:val="22"/>
        </w:rPr>
      </w:pPr>
      <w:r w:rsidRPr="00262F8F">
        <w:rPr>
          <w:b/>
          <w:sz w:val="22"/>
          <w:szCs w:val="22"/>
        </w:rPr>
        <w:t>Manuscript word count:</w:t>
      </w:r>
      <w:r>
        <w:rPr>
          <w:sz w:val="22"/>
          <w:szCs w:val="22"/>
        </w:rPr>
        <w:t xml:space="preserve"> </w:t>
      </w:r>
      <w:r w:rsidR="001C23F1">
        <w:rPr>
          <w:sz w:val="22"/>
          <w:szCs w:val="22"/>
        </w:rPr>
        <w:t>3,</w:t>
      </w:r>
      <w:r w:rsidR="006F0BFC">
        <w:rPr>
          <w:sz w:val="22"/>
          <w:szCs w:val="22"/>
        </w:rPr>
        <w:t>050</w:t>
      </w:r>
    </w:p>
    <w:p w14:paraId="7F01559F" w14:textId="77777777" w:rsidR="00262F8F" w:rsidRDefault="00262F8F" w:rsidP="000F333D">
      <w:pPr>
        <w:pStyle w:val="FootnoteText"/>
        <w:spacing w:line="480" w:lineRule="auto"/>
        <w:rPr>
          <w:sz w:val="22"/>
          <w:szCs w:val="22"/>
        </w:rPr>
      </w:pPr>
    </w:p>
    <w:p w14:paraId="713EBA82" w14:textId="77777777" w:rsidR="0027563E" w:rsidRPr="000F333D" w:rsidRDefault="00B228F1" w:rsidP="000F333D">
      <w:pPr>
        <w:rPr>
          <w:szCs w:val="22"/>
        </w:rPr>
      </w:pPr>
      <w:r>
        <w:rPr>
          <w:szCs w:val="22"/>
        </w:rPr>
        <w:t>#</w:t>
      </w:r>
      <w:r w:rsidR="001C2FCF">
        <w:rPr>
          <w:szCs w:val="22"/>
        </w:rPr>
        <w:t xml:space="preserve"> Corresponding author</w:t>
      </w:r>
      <w:r w:rsidR="003E3BFA">
        <w:rPr>
          <w:szCs w:val="22"/>
        </w:rPr>
        <w:t xml:space="preserve">: </w:t>
      </w:r>
      <w:r w:rsidR="00FE2312">
        <w:t xml:space="preserve">Andrew Kasarskis, Icahn Institute and Department of Genetics and Genomic Sciences, Icahn School of Medicine at Mount Sinai, One Gustave L. Levy Place, Box 1498, New York, NY 10029, USA; telephone, +1 (212) </w:t>
      </w:r>
      <w:r w:rsidR="00FE2312" w:rsidRPr="00595D0E">
        <w:t>659-8542</w:t>
      </w:r>
      <w:r w:rsidR="00FE2312">
        <w:t xml:space="preserve">; email </w:t>
      </w:r>
      <w:hyperlink r:id="rId10" w:history="1">
        <w:r w:rsidR="00FE2312" w:rsidRPr="001A2764">
          <w:rPr>
            <w:rStyle w:val="Hyperlink"/>
          </w:rPr>
          <w:t>andrew.kasarskis@mssm.edu</w:t>
        </w:r>
      </w:hyperlink>
      <w:r w:rsidR="0027563E">
        <w:br w:type="page"/>
      </w:r>
    </w:p>
    <w:p w14:paraId="3071C524" w14:textId="02D25C04" w:rsidR="0048192C" w:rsidRDefault="00F4137B" w:rsidP="0048192C">
      <w:pPr>
        <w:pStyle w:val="Heading1"/>
        <w:contextualSpacing w:val="0"/>
      </w:pPr>
      <w:r>
        <w:lastRenderedPageBreak/>
        <w:t>Research in context</w:t>
      </w:r>
    </w:p>
    <w:p w14:paraId="17A4BAA4" w14:textId="3FBB9280" w:rsidR="0048192C" w:rsidRPr="009A252C" w:rsidRDefault="00F4137B" w:rsidP="0048192C">
      <w:pPr>
        <w:pStyle w:val="Heading2"/>
      </w:pPr>
      <w:r w:rsidRPr="009A252C">
        <w:t>Evidence before this study</w:t>
      </w:r>
    </w:p>
    <w:p w14:paraId="2598E0C6" w14:textId="1E777B74" w:rsidR="0048192C" w:rsidRPr="009A252C" w:rsidRDefault="00B42C35" w:rsidP="0048192C">
      <w:r w:rsidRPr="009A252C">
        <w:t xml:space="preserve">We searched PubMed with the terms difficile AND (cost OR "length of stay") for articles published before December 1, 2016. We prioritized articles that </w:t>
      </w:r>
      <w:r w:rsidR="00445D4D" w:rsidRPr="009A252C">
        <w:t>were meta-analyse</w:t>
      </w:r>
      <w:r w:rsidRPr="009A252C">
        <w:t xml:space="preserve">s of the costs of </w:t>
      </w:r>
      <w:r w:rsidRPr="009A252C">
        <w:rPr>
          <w:i/>
        </w:rPr>
        <w:t>Clostridium difficile</w:t>
      </w:r>
      <w:r w:rsidRPr="009A252C">
        <w:t xml:space="preserve"> infection</w:t>
      </w:r>
      <w:r w:rsidR="009E5B48" w:rsidRPr="009A252C">
        <w:t xml:space="preserve"> (CDI)</w:t>
      </w:r>
      <w:r w:rsidRPr="009A252C">
        <w:t>. We then reviewed the references of papers identified by th</w:t>
      </w:r>
      <w:r w:rsidR="009E5B48" w:rsidRPr="009A252C">
        <w:t>is strategy</w:t>
      </w:r>
      <w:r w:rsidR="00BE3770" w:rsidRPr="009A252C">
        <w:t xml:space="preserve"> and subsequent citations (identified with Google Scholar)</w:t>
      </w:r>
      <w:r w:rsidR="009E5B48" w:rsidRPr="009A252C">
        <w:t>. Among previous studies</w:t>
      </w:r>
      <w:r w:rsidRPr="009A252C">
        <w:t xml:space="preserve">, </w:t>
      </w:r>
      <w:r w:rsidR="00445D4D" w:rsidRPr="009A252C">
        <w:t xml:space="preserve">there </w:t>
      </w:r>
      <w:r w:rsidR="00B82E94" w:rsidRPr="009A252C">
        <w:t>was</w:t>
      </w:r>
      <w:r w:rsidR="00445D4D" w:rsidRPr="009A252C">
        <w:t xml:space="preserve"> </w:t>
      </w:r>
      <w:r w:rsidR="007D3766" w:rsidRPr="009A252C">
        <w:t xml:space="preserve">wide </w:t>
      </w:r>
      <w:r w:rsidR="00445D4D" w:rsidRPr="009A252C">
        <w:t xml:space="preserve">variation in </w:t>
      </w:r>
      <w:r w:rsidR="009E5B48" w:rsidRPr="009A252C">
        <w:t xml:space="preserve">the definition </w:t>
      </w:r>
      <w:r w:rsidR="009160D5" w:rsidRPr="009A252C">
        <w:t>of</w:t>
      </w:r>
      <w:r w:rsidR="009E5B48" w:rsidRPr="009A252C">
        <w:t xml:space="preserve"> CDI</w:t>
      </w:r>
      <w:r w:rsidR="00482A47" w:rsidRPr="009A252C">
        <w:t xml:space="preserve"> (either by ICD-9 codes,</w:t>
      </w:r>
      <w:r w:rsidR="00F90478" w:rsidRPr="009A252C">
        <w:t xml:space="preserve"> </w:t>
      </w:r>
      <w:r w:rsidR="00482A47" w:rsidRPr="009A252C">
        <w:t>toxin assay results</w:t>
      </w:r>
      <w:r w:rsidR="000D3493">
        <w:t>, or other criteria</w:t>
      </w:r>
      <w:r w:rsidR="00482A47" w:rsidRPr="009A252C">
        <w:t>), and r</w:t>
      </w:r>
      <w:r w:rsidR="009E5B48" w:rsidRPr="009A252C">
        <w:t xml:space="preserve">oughly half of </w:t>
      </w:r>
      <w:r w:rsidR="00FC0E2C" w:rsidRPr="009A252C">
        <w:t xml:space="preserve">the </w:t>
      </w:r>
      <w:r w:rsidR="009E5B48" w:rsidRPr="009A252C">
        <w:t xml:space="preserve">studies did not use any sort of matching strategy to account </w:t>
      </w:r>
      <w:r w:rsidR="00D44A37" w:rsidRPr="009A252C">
        <w:t>for different pre-existing CDI risk</w:t>
      </w:r>
      <w:r w:rsidR="009E5B48" w:rsidRPr="009A252C">
        <w:t xml:space="preserve"> in control and cohort populations. </w:t>
      </w:r>
      <w:r w:rsidR="00674CC6" w:rsidRPr="009A252C">
        <w:t>Nearly</w:t>
      </w:r>
      <w:r w:rsidR="00373ECC" w:rsidRPr="009A252C">
        <w:t xml:space="preserve"> </w:t>
      </w:r>
      <w:r w:rsidR="009E5B48" w:rsidRPr="009A252C">
        <w:t xml:space="preserve">all studies failed to </w:t>
      </w:r>
      <w:r w:rsidR="00DC48E9" w:rsidRPr="009A252C">
        <w:t>account for bias</w:t>
      </w:r>
      <w:r w:rsidR="00F5301D" w:rsidRPr="009A252C">
        <w:t xml:space="preserve"> in </w:t>
      </w:r>
      <w:r w:rsidR="004A5291">
        <w:t xml:space="preserve">the </w:t>
      </w:r>
      <w:r w:rsidR="00F5301D" w:rsidRPr="009A252C">
        <w:t>estimated</w:t>
      </w:r>
      <w:r w:rsidR="000431C8" w:rsidRPr="009A252C">
        <w:t xml:space="preserve"> changes in length of stay</w:t>
      </w:r>
      <w:r w:rsidR="00E86EE3" w:rsidRPr="009A252C">
        <w:t xml:space="preserve"> introduced by</w:t>
      </w:r>
      <w:r w:rsidR="00062F25" w:rsidRPr="009A252C">
        <w:t xml:space="preserve"> differences in </w:t>
      </w:r>
      <w:r w:rsidR="00DC48E9" w:rsidRPr="009A252C">
        <w:t>time</w:t>
      </w:r>
      <w:r w:rsidR="00062F25" w:rsidRPr="009A252C">
        <w:t>-to-</w:t>
      </w:r>
      <w:r w:rsidR="00D6655B" w:rsidRPr="009A252C">
        <w:t>infectio</w:t>
      </w:r>
      <w:r w:rsidR="00CA2543" w:rsidRPr="009A252C">
        <w:t>n</w:t>
      </w:r>
      <w:r w:rsidR="008E6FCA" w:rsidRPr="009A252C">
        <w:t xml:space="preserve">. </w:t>
      </w:r>
      <w:r w:rsidR="00CA2543" w:rsidRPr="009A252C">
        <w:t>The</w:t>
      </w:r>
      <w:r w:rsidR="008E6FCA" w:rsidRPr="009A252C">
        <w:t xml:space="preserve"> studies </w:t>
      </w:r>
      <w:r w:rsidR="00910213" w:rsidRPr="009A252C">
        <w:t>showed</w:t>
      </w:r>
      <w:r w:rsidR="008E6FCA" w:rsidRPr="009A252C">
        <w:t xml:space="preserve"> substantial variation in the per-patient cost of CDI ($2,871 to $122,318</w:t>
      </w:r>
      <w:r w:rsidR="00884036" w:rsidRPr="009A252C">
        <w:t>)</w:t>
      </w:r>
      <w:r w:rsidR="00EC7E66" w:rsidRPr="009A252C">
        <w:t xml:space="preserve">, and </w:t>
      </w:r>
      <w:r w:rsidR="000E78B5">
        <w:t xml:space="preserve">furthermore, </w:t>
      </w:r>
      <w:r w:rsidR="00EC7E66" w:rsidRPr="009A252C">
        <w:t xml:space="preserve">studies </w:t>
      </w:r>
      <w:r w:rsidR="000E78B5">
        <w:t>that applied</w:t>
      </w:r>
      <w:r w:rsidR="00EC7E66" w:rsidRPr="009A252C">
        <w:t xml:space="preserve"> identical</w:t>
      </w:r>
      <w:r w:rsidR="00884036" w:rsidRPr="009A252C">
        <w:t xml:space="preserve"> method</w:t>
      </w:r>
      <w:r w:rsidR="00EC7E66" w:rsidRPr="009A252C">
        <w:t>s</w:t>
      </w:r>
      <w:r w:rsidR="00884036" w:rsidRPr="009A252C">
        <w:t xml:space="preserve"> to </w:t>
      </w:r>
      <w:r w:rsidR="006B33BF">
        <w:t>multiple</w:t>
      </w:r>
      <w:r w:rsidR="00884036" w:rsidRPr="009A252C">
        <w:t xml:space="preserve"> hospitals found up to ten-fold variation in per-patient cost</w:t>
      </w:r>
      <w:r w:rsidR="009E3207" w:rsidRPr="009A252C">
        <w:t>s</w:t>
      </w:r>
      <w:r w:rsidR="00884036" w:rsidRPr="009A252C">
        <w:t xml:space="preserve"> of CDI.</w:t>
      </w:r>
      <w:r w:rsidR="00B428E0" w:rsidRPr="009A252C">
        <w:t xml:space="preserve"> Thi</w:t>
      </w:r>
      <w:r w:rsidR="00C344A6" w:rsidRPr="009A252C">
        <w:t>s suggested that hospitals</w:t>
      </w:r>
      <w:r w:rsidR="00F9095E" w:rsidRPr="009A252C">
        <w:t xml:space="preserve"> </w:t>
      </w:r>
      <w:r w:rsidR="005C41F1" w:rsidRPr="009A252C">
        <w:t>allocating resources to</w:t>
      </w:r>
      <w:r w:rsidR="00B0527A" w:rsidRPr="009A252C">
        <w:t xml:space="preserve"> </w:t>
      </w:r>
      <w:r w:rsidR="009A68E3" w:rsidRPr="009A252C">
        <w:t xml:space="preserve">infection control </w:t>
      </w:r>
      <w:r w:rsidR="00C344A6" w:rsidRPr="009A252C">
        <w:t xml:space="preserve">would benefit </w:t>
      </w:r>
      <w:r w:rsidR="00C956CC">
        <w:t>from</w:t>
      </w:r>
      <w:r w:rsidR="00915B81" w:rsidRPr="009A252C">
        <w:t xml:space="preserve"> estimating</w:t>
      </w:r>
      <w:r w:rsidR="00B405FA" w:rsidRPr="009A252C">
        <w:t xml:space="preserve"> CDI costs </w:t>
      </w:r>
      <w:r w:rsidR="00C446F6" w:rsidRPr="009A252C">
        <w:t>in</w:t>
      </w:r>
      <w:r w:rsidR="00B405FA" w:rsidRPr="009A252C">
        <w:t xml:space="preserve"> </w:t>
      </w:r>
      <w:r w:rsidR="00B428E0" w:rsidRPr="009A252C">
        <w:t>their own</w:t>
      </w:r>
      <w:r w:rsidR="00B405FA" w:rsidRPr="009A252C">
        <w:t xml:space="preserve"> patient</w:t>
      </w:r>
      <w:r w:rsidR="008802BE">
        <w:t xml:space="preserve"> population</w:t>
      </w:r>
      <w:r w:rsidR="00C956CC">
        <w:t>,</w:t>
      </w:r>
      <w:r w:rsidR="00B428E0" w:rsidRPr="009A252C">
        <w:t xml:space="preserve"> </w:t>
      </w:r>
      <w:r w:rsidR="006F285C" w:rsidRPr="009A252C">
        <w:t>rather than</w:t>
      </w:r>
      <w:r w:rsidR="000824FF" w:rsidRPr="009A252C">
        <w:t xml:space="preserve"> rely</w:t>
      </w:r>
      <w:r w:rsidR="003404BE">
        <w:t>ing</w:t>
      </w:r>
      <w:r w:rsidR="00361456" w:rsidRPr="009A252C">
        <w:t xml:space="preserve"> </w:t>
      </w:r>
      <w:r w:rsidR="000824FF" w:rsidRPr="009A252C">
        <w:t>on</w:t>
      </w:r>
      <w:r w:rsidR="007602E5">
        <w:t xml:space="preserve"> the </w:t>
      </w:r>
      <w:r w:rsidR="00172CE0">
        <w:t>conflicting</w:t>
      </w:r>
      <w:r w:rsidR="006730E5" w:rsidRPr="009A252C">
        <w:t xml:space="preserve"> estimates </w:t>
      </w:r>
      <w:r w:rsidR="000B05FB">
        <w:t>in</w:t>
      </w:r>
      <w:r w:rsidR="00F32B19">
        <w:t xml:space="preserve"> the literature</w:t>
      </w:r>
      <w:r w:rsidR="000824FF" w:rsidRPr="009A252C">
        <w:t>.</w:t>
      </w:r>
    </w:p>
    <w:p w14:paraId="74F3D26F" w14:textId="7FDEA291" w:rsidR="0048192C" w:rsidRPr="009A252C" w:rsidRDefault="00F4137B" w:rsidP="0048192C">
      <w:pPr>
        <w:pStyle w:val="Heading2"/>
      </w:pPr>
      <w:r w:rsidRPr="009A252C">
        <w:t>Added value of this study</w:t>
      </w:r>
    </w:p>
    <w:p w14:paraId="04F89876" w14:textId="6E6C812F" w:rsidR="005B07F8" w:rsidRPr="009A252C" w:rsidRDefault="00072036" w:rsidP="005B07F8">
      <w:r>
        <w:t xml:space="preserve">Traditionally, estimating costs of </w:t>
      </w:r>
      <w:r w:rsidR="0095297F">
        <w:t>healthcare-associated infections</w:t>
      </w:r>
      <w:r>
        <w:t xml:space="preserve"> </w:t>
      </w:r>
      <w:r w:rsidR="00690A96">
        <w:t>has required</w:t>
      </w:r>
      <w:r w:rsidR="00E639C3">
        <w:t xml:space="preserve"> </w:t>
      </w:r>
      <w:r w:rsidR="00607AE4">
        <w:t xml:space="preserve">manual </w:t>
      </w:r>
      <w:r w:rsidR="00E568E3">
        <w:t>review</w:t>
      </w:r>
      <w:r w:rsidR="00607AE4">
        <w:t xml:space="preserve"> of </w:t>
      </w:r>
      <w:r w:rsidR="001F23AA">
        <w:t>patient</w:t>
      </w:r>
      <w:r w:rsidR="009E6ABC">
        <w:t xml:space="preserve"> and billing</w:t>
      </w:r>
      <w:r w:rsidR="001F23AA">
        <w:t xml:space="preserve"> </w:t>
      </w:r>
      <w:r w:rsidR="00DA60E5">
        <w:t>data</w:t>
      </w:r>
      <w:r w:rsidR="00DA29C4">
        <w:t xml:space="preserve"> followed by</w:t>
      </w:r>
      <w:r w:rsidR="008C356F">
        <w:t xml:space="preserve"> regression or matching</w:t>
      </w:r>
      <w:r w:rsidR="00607AE4">
        <w:t xml:space="preserve"> to adjust for covariates</w:t>
      </w:r>
      <w:r>
        <w:t>. By contrast, w</w:t>
      </w:r>
      <w:r w:rsidR="009E3207" w:rsidRPr="009A252C">
        <w:t xml:space="preserve">e present </w:t>
      </w:r>
      <w:r w:rsidR="00E57B1D" w:rsidRPr="009A252C">
        <w:t>a</w:t>
      </w:r>
      <w:r w:rsidR="009C72B8">
        <w:t>n automated</w:t>
      </w:r>
      <w:r w:rsidR="00E57B1D" w:rsidRPr="009A252C">
        <w:t xml:space="preserve"> method for transparently and efficiently estimating change</w:t>
      </w:r>
      <w:r w:rsidR="00B8152A">
        <w:t>s</w:t>
      </w:r>
      <w:r w:rsidR="00E57B1D" w:rsidRPr="009A252C">
        <w:t xml:space="preserve"> in length of stay associated with CDI using only </w:t>
      </w:r>
      <w:r w:rsidR="00B91E63">
        <w:t xml:space="preserve">the </w:t>
      </w:r>
      <w:r w:rsidR="00CA0B73">
        <w:t>structured fields in</w:t>
      </w:r>
      <w:r w:rsidR="00CC0412" w:rsidRPr="009A252C">
        <w:t xml:space="preserve"> </w:t>
      </w:r>
      <w:r w:rsidR="009E3207" w:rsidRPr="009A252C">
        <w:t>electronic medical record</w:t>
      </w:r>
      <w:r w:rsidR="00CC0412" w:rsidRPr="009A252C">
        <w:t>s</w:t>
      </w:r>
      <w:r w:rsidR="00ED1215" w:rsidRPr="009A252C">
        <w:t xml:space="preserve">. </w:t>
      </w:r>
      <w:r w:rsidR="008A7F98" w:rsidRPr="009A252C">
        <w:t>We demonstrate the method on data for</w:t>
      </w:r>
      <w:r w:rsidR="00ED1215" w:rsidRPr="009A252C">
        <w:t xml:space="preserve"> 171,938 visits </w:t>
      </w:r>
      <w:r w:rsidR="003C0D0A" w:rsidRPr="009A252C">
        <w:t xml:space="preserve">over a 7-year period </w:t>
      </w:r>
      <w:r w:rsidR="008F099D" w:rsidRPr="009A252C">
        <w:t xml:space="preserve">to an urban tertiary-care hospital. </w:t>
      </w:r>
      <w:r w:rsidR="00191B99" w:rsidRPr="009A252C">
        <w:t>In our dataset, the</w:t>
      </w:r>
      <w:r w:rsidR="00E57B1D" w:rsidRPr="009A252C">
        <w:t xml:space="preserve"> method </w:t>
      </w:r>
      <w:r w:rsidR="00472A97">
        <w:t>used</w:t>
      </w:r>
      <w:r w:rsidR="00E57B1D" w:rsidRPr="009A252C">
        <w:t xml:space="preserve"> </w:t>
      </w:r>
      <w:r w:rsidR="00120C08" w:rsidRPr="009A252C">
        <w:t>23,968 variables</w:t>
      </w:r>
      <w:r w:rsidR="00BB7FB8">
        <w:t xml:space="preserve"> </w:t>
      </w:r>
      <w:r w:rsidR="00AD3D7D">
        <w:t>recorded</w:t>
      </w:r>
      <w:r w:rsidR="009E5234">
        <w:t xml:space="preserve"> within</w:t>
      </w:r>
      <w:r w:rsidR="00015EB9" w:rsidRPr="009A252C">
        <w:t xml:space="preserve"> the first 24 hours of each</w:t>
      </w:r>
      <w:r w:rsidR="00261821" w:rsidRPr="009A252C">
        <w:t xml:space="preserve"> visit</w:t>
      </w:r>
      <w:r w:rsidR="00A817D4" w:rsidRPr="009A252C">
        <w:t xml:space="preserve"> to </w:t>
      </w:r>
      <w:r w:rsidR="00AE4263">
        <w:t xml:space="preserve">automatically </w:t>
      </w:r>
      <w:r w:rsidR="00A817D4" w:rsidRPr="009A252C">
        <w:t>match case and control patients</w:t>
      </w:r>
      <w:r w:rsidR="00205579" w:rsidRPr="009A252C">
        <w:t xml:space="preserve"> by</w:t>
      </w:r>
      <w:r w:rsidR="00E27D9B" w:rsidRPr="009A252C">
        <w:t xml:space="preserve"> </w:t>
      </w:r>
      <w:r w:rsidR="002B3425">
        <w:t>the</w:t>
      </w:r>
      <w:r w:rsidR="00E42287">
        <w:t>ir</w:t>
      </w:r>
      <w:r w:rsidR="002B3425">
        <w:t xml:space="preserve"> </w:t>
      </w:r>
      <w:r w:rsidR="00205579" w:rsidRPr="009A252C">
        <w:t>propensity for CDI</w:t>
      </w:r>
      <w:r w:rsidR="00515D8A" w:rsidRPr="009A252C">
        <w:t xml:space="preserve"> </w:t>
      </w:r>
      <w:r w:rsidR="004863FE">
        <w:t xml:space="preserve">as </w:t>
      </w:r>
      <w:r w:rsidR="00515D8A" w:rsidRPr="009A252C">
        <w:lastRenderedPageBreak/>
        <w:t>predicted</w:t>
      </w:r>
      <w:r w:rsidR="009B07C7" w:rsidRPr="009A252C">
        <w:t xml:space="preserve"> </w:t>
      </w:r>
      <w:r w:rsidR="009C7130" w:rsidRPr="009A252C">
        <w:t>by a machine-learning algorithm</w:t>
      </w:r>
      <w:r w:rsidR="00AD4404" w:rsidRPr="009A252C">
        <w:t>.</w:t>
      </w:r>
      <w:r w:rsidR="00904E26">
        <w:t xml:space="preserve"> </w:t>
      </w:r>
      <w:r w:rsidR="00D928F1">
        <w:t xml:space="preserve">Performance of these </w:t>
      </w:r>
      <w:r w:rsidR="001354D9" w:rsidRPr="001354D9">
        <w:t xml:space="preserve">CDI risk prediction models was on par </w:t>
      </w:r>
      <w:r w:rsidR="001354D9">
        <w:t>with</w:t>
      </w:r>
      <w:r w:rsidR="001354D9" w:rsidRPr="001354D9">
        <w:t xml:space="preserve"> lite</w:t>
      </w:r>
      <w:r w:rsidR="001354D9">
        <w:t>rature reports for prior models</w:t>
      </w:r>
      <w:r w:rsidR="001354D9" w:rsidRPr="001354D9">
        <w:t> </w:t>
      </w:r>
      <w:r w:rsidR="00A350DC">
        <w:t>run on</w:t>
      </w:r>
      <w:r w:rsidR="001354D9" w:rsidRPr="001354D9">
        <w:t xml:space="preserve"> </w:t>
      </w:r>
      <w:proofErr w:type="gramStart"/>
      <w:r w:rsidR="001354D9" w:rsidRPr="001354D9">
        <w:t>lower-di</w:t>
      </w:r>
      <w:r w:rsidR="001354D9">
        <w:t>mensional</w:t>
      </w:r>
      <w:proofErr w:type="gramEnd"/>
      <w:r w:rsidR="001354D9">
        <w:t xml:space="preserve">, hand curated datasets. </w:t>
      </w:r>
      <w:r w:rsidR="001D4B02" w:rsidRPr="009A252C">
        <w:t xml:space="preserve">We found that </w:t>
      </w:r>
      <w:r w:rsidR="003A7458">
        <w:t>our</w:t>
      </w:r>
      <w:r w:rsidR="001D4B02" w:rsidRPr="009A252C">
        <w:t xml:space="preserve"> method, </w:t>
      </w:r>
      <w:r w:rsidR="003F7E6E" w:rsidRPr="009A252C">
        <w:t>after</w:t>
      </w:r>
      <w:r w:rsidR="002E1492" w:rsidRPr="009A252C">
        <w:t xml:space="preserve"> stratifying</w:t>
      </w:r>
      <w:r w:rsidR="001D4B02" w:rsidRPr="009A252C">
        <w:t xml:space="preserve"> by </w:t>
      </w:r>
      <w:r w:rsidR="00700CE5" w:rsidRPr="009A252C">
        <w:t>time-to-infection, produce</w:t>
      </w:r>
      <w:r w:rsidR="004973A8">
        <w:t>s</w:t>
      </w:r>
      <w:r w:rsidR="001D4B02" w:rsidRPr="009A252C">
        <w:t xml:space="preserve"> </w:t>
      </w:r>
      <w:r w:rsidR="00517D99">
        <w:t xml:space="preserve">a </w:t>
      </w:r>
      <w:r w:rsidR="001D4B02" w:rsidRPr="009A252C">
        <w:t>s</w:t>
      </w:r>
      <w:r w:rsidR="00ED1215" w:rsidRPr="009A252C">
        <w:t xml:space="preserve">imilar </w:t>
      </w:r>
      <w:r w:rsidR="00517D99">
        <w:t>estimate</w:t>
      </w:r>
      <w:r w:rsidR="00D47B08">
        <w:t xml:space="preserve"> for </w:t>
      </w:r>
      <w:r w:rsidR="00AF5E97">
        <w:t xml:space="preserve">the </w:t>
      </w:r>
      <w:r w:rsidR="00D47B08">
        <w:t>change</w:t>
      </w:r>
      <w:r w:rsidR="008C76C8">
        <w:t xml:space="preserve"> in length of stay as</w:t>
      </w:r>
      <w:r w:rsidR="001D4B02" w:rsidRPr="009A252C">
        <w:t xml:space="preserve"> a nonparametric multistate model </w:t>
      </w:r>
      <w:r w:rsidR="00DF084F">
        <w:t xml:space="preserve">of </w:t>
      </w:r>
      <w:r w:rsidR="00D26321">
        <w:t>time-dependent competing risks between</w:t>
      </w:r>
      <w:r w:rsidR="008A38D8" w:rsidRPr="009A252C">
        <w:t xml:space="preserve"> CDI</w:t>
      </w:r>
      <w:r w:rsidR="00D26321">
        <w:t xml:space="preserve"> and discharge</w:t>
      </w:r>
      <w:r w:rsidR="008A38D8" w:rsidRPr="009A252C">
        <w:t xml:space="preserve"> </w:t>
      </w:r>
      <w:r w:rsidR="00336394">
        <w:t xml:space="preserve">across </w:t>
      </w:r>
      <w:r w:rsidR="00E3665E" w:rsidRPr="009A252C">
        <w:t>all time-to-infection</w:t>
      </w:r>
      <w:r w:rsidR="00BD40E9">
        <w:t xml:space="preserve"> </w:t>
      </w:r>
      <w:r w:rsidR="00CD7269">
        <w:t>intervals</w:t>
      </w:r>
      <w:r w:rsidR="00E3665E" w:rsidRPr="009A252C">
        <w:t>.</w:t>
      </w:r>
      <w:r w:rsidR="00AB5D53" w:rsidRPr="00AB5D53">
        <w:t xml:space="preserve"> </w:t>
      </w:r>
      <w:r w:rsidR="00C0140C">
        <w:t>Our</w:t>
      </w:r>
      <w:r w:rsidR="00AB5D53" w:rsidRPr="009A252C">
        <w:t xml:space="preserve"> method</w:t>
      </w:r>
      <w:r w:rsidR="00DA7757">
        <w:t>s run</w:t>
      </w:r>
      <w:r w:rsidR="00AB5D53" w:rsidRPr="009A252C">
        <w:t xml:space="preserve"> </w:t>
      </w:r>
      <w:r w:rsidR="00622009">
        <w:t>with</w:t>
      </w:r>
      <w:r w:rsidR="005C23D2">
        <w:t>in several</w:t>
      </w:r>
      <w:r w:rsidR="00AB5D53" w:rsidRPr="009A252C">
        <w:t xml:space="preserve"> hours</w:t>
      </w:r>
      <w:r w:rsidR="00252353">
        <w:t xml:space="preserve"> on a standard desktop computer. A</w:t>
      </w:r>
      <w:r w:rsidR="00AB5D53" w:rsidRPr="009A252C">
        <w:t>ll implementing software</w:t>
      </w:r>
      <w:r w:rsidR="00286758">
        <w:t xml:space="preserve">, which </w:t>
      </w:r>
      <w:r w:rsidR="00D672DD">
        <w:t>requires</w:t>
      </w:r>
      <w:r w:rsidR="00286758">
        <w:t xml:space="preserve"> only open source components,</w:t>
      </w:r>
      <w:r w:rsidR="00AB5D53" w:rsidRPr="009A252C">
        <w:t xml:space="preserve"> </w:t>
      </w:r>
      <w:r w:rsidR="00252353">
        <w:t>has been made</w:t>
      </w:r>
      <w:r w:rsidR="00AB5D53" w:rsidRPr="009A252C">
        <w:t xml:space="preserve"> freely available</w:t>
      </w:r>
      <w:r w:rsidR="00B46FC3">
        <w:t xml:space="preserve"> online</w:t>
      </w:r>
      <w:r w:rsidR="000557BD">
        <w:t xml:space="preserve"> for other hospitals to </w:t>
      </w:r>
      <w:r w:rsidR="00C66DFB">
        <w:t>use</w:t>
      </w:r>
      <w:r w:rsidR="000557BD">
        <w:t xml:space="preserve"> on their </w:t>
      </w:r>
      <w:r w:rsidR="00E55A47">
        <w:t>own data</w:t>
      </w:r>
      <w:r w:rsidR="00754DD8">
        <w:t>.</w:t>
      </w:r>
    </w:p>
    <w:p w14:paraId="5DFAADC2" w14:textId="53CC0524" w:rsidR="0048192C" w:rsidRPr="009A252C" w:rsidRDefault="00F4137B" w:rsidP="005B07F8">
      <w:pPr>
        <w:pStyle w:val="Heading2"/>
      </w:pPr>
      <w:r w:rsidRPr="009A252C">
        <w:t>Implications of all the available evidence</w:t>
      </w:r>
    </w:p>
    <w:p w14:paraId="7D6943A5" w14:textId="2A4D0665" w:rsidR="00F053A6" w:rsidRDefault="009F63F2" w:rsidP="009F63F2">
      <w:r w:rsidRPr="009A252C">
        <w:t xml:space="preserve">Automated methods based on machine learning and uncurated </w:t>
      </w:r>
      <w:r w:rsidR="00BC652E">
        <w:t>electronic medical record</w:t>
      </w:r>
      <w:r w:rsidRPr="009A252C">
        <w:t xml:space="preserve"> data </w:t>
      </w:r>
      <w:r w:rsidR="00154AEF">
        <w:t>are able to</w:t>
      </w:r>
      <w:r w:rsidR="009A252C">
        <w:t xml:space="preserve"> </w:t>
      </w:r>
      <w:r w:rsidRPr="009A252C">
        <w:t xml:space="preserve">robustly estimate the local </w:t>
      </w:r>
      <w:r w:rsidR="00C71727" w:rsidRPr="009A252C">
        <w:t>cost of CDI</w:t>
      </w:r>
      <w:r w:rsidRPr="009A252C">
        <w:t>.</w:t>
      </w:r>
      <w:r w:rsidR="00321B9E">
        <w:t xml:space="preserve"> Given the prevalence of electronic medical record systems, </w:t>
      </w:r>
      <w:r w:rsidR="00225B94">
        <w:t xml:space="preserve">hospitals </w:t>
      </w:r>
      <w:r w:rsidR="006828FC">
        <w:t>can</w:t>
      </w:r>
      <w:r w:rsidR="00225B94">
        <w:t xml:space="preserve"> avoid </w:t>
      </w:r>
      <w:r w:rsidR="008F5335">
        <w:t>the expense of</w:t>
      </w:r>
      <w:r w:rsidR="00F46BDB">
        <w:t xml:space="preserve"> </w:t>
      </w:r>
      <w:r w:rsidR="008F5335">
        <w:t>manually curating dataset</w:t>
      </w:r>
      <w:r w:rsidR="00057B3D">
        <w:t>s</w:t>
      </w:r>
      <w:r w:rsidR="008F5335">
        <w:t xml:space="preserve"> to</w:t>
      </w:r>
      <w:r w:rsidR="00EE3105">
        <w:t xml:space="preserve"> estimate</w:t>
      </w:r>
      <w:r w:rsidR="00EE010D">
        <w:t xml:space="preserve"> </w:t>
      </w:r>
      <w:r w:rsidR="00A02403">
        <w:t>the</w:t>
      </w:r>
      <w:r w:rsidR="005200CB">
        <w:t>ir</w:t>
      </w:r>
      <w:r w:rsidR="00BC652E">
        <w:t xml:space="preserve"> costs </w:t>
      </w:r>
      <w:r w:rsidR="005200CB">
        <w:t>for</w:t>
      </w:r>
      <w:r w:rsidR="00BC652E">
        <w:t xml:space="preserve"> he</w:t>
      </w:r>
      <w:r w:rsidR="009B78E8">
        <w:t>alth</w:t>
      </w:r>
      <w:r w:rsidR="0094185D">
        <w:t>care associated infections</w:t>
      </w:r>
      <w:r w:rsidR="009B28A1">
        <w:t xml:space="preserve"> </w:t>
      </w:r>
      <w:r w:rsidR="00C91437">
        <w:t xml:space="preserve">and </w:t>
      </w:r>
      <w:r w:rsidR="009B78E8">
        <w:t xml:space="preserve">instead </w:t>
      </w:r>
      <w:r w:rsidR="00CD096B">
        <w:t xml:space="preserve">efficiently </w:t>
      </w:r>
      <w:r w:rsidR="002A0EBD">
        <w:t>calculate</w:t>
      </w:r>
      <w:r w:rsidR="00CB756F">
        <w:t xml:space="preserve"> estimates</w:t>
      </w:r>
      <w:r w:rsidR="0032321F">
        <w:t xml:space="preserve"> </w:t>
      </w:r>
      <w:r w:rsidR="0024721B">
        <w:t xml:space="preserve">from </w:t>
      </w:r>
      <w:r w:rsidR="00497053">
        <w:t xml:space="preserve">the </w:t>
      </w:r>
      <w:r w:rsidR="008626CA">
        <w:t>data</w:t>
      </w:r>
      <w:r w:rsidR="00497053">
        <w:t xml:space="preserve"> that</w:t>
      </w:r>
      <w:r w:rsidR="00937807">
        <w:t xml:space="preserve"> is already available</w:t>
      </w:r>
      <w:r w:rsidR="00BC652E">
        <w:t xml:space="preserve">. </w:t>
      </w:r>
      <w:r w:rsidR="00417297">
        <w:t xml:space="preserve">Because </w:t>
      </w:r>
      <w:r w:rsidR="00EE2C95">
        <w:t xml:space="preserve">these </w:t>
      </w:r>
      <w:r w:rsidR="00EF3B58">
        <w:t>method</w:t>
      </w:r>
      <w:r w:rsidR="00EE2C95">
        <w:t>s are</w:t>
      </w:r>
      <w:r w:rsidR="00EF3B58">
        <w:t xml:space="preserve"> cheap to run on</w:t>
      </w:r>
      <w:r w:rsidR="002B4A95">
        <w:t xml:space="preserve"> </w:t>
      </w:r>
      <w:r w:rsidR="00E14EB1">
        <w:t xml:space="preserve">additional </w:t>
      </w:r>
      <w:r w:rsidR="00DC1A0C">
        <w:t>data</w:t>
      </w:r>
      <w:r w:rsidR="00E14EB1">
        <w:t xml:space="preserve"> in the future</w:t>
      </w:r>
      <w:r w:rsidR="00DC1A0C">
        <w:t xml:space="preserve">, </w:t>
      </w:r>
      <w:r w:rsidR="00654635">
        <w:t xml:space="preserve">infection control officers can </w:t>
      </w:r>
      <w:r w:rsidR="000027C7">
        <w:t>quickly assess the efficacy</w:t>
      </w:r>
      <w:r w:rsidR="00DC1A0C">
        <w:t xml:space="preserve"> of </w:t>
      </w:r>
      <w:r w:rsidR="00EF3B58">
        <w:t>new intervention</w:t>
      </w:r>
      <w:r w:rsidR="00DC1A0C">
        <w:t>s</w:t>
      </w:r>
      <w:r w:rsidR="00704807">
        <w:t>.</w:t>
      </w:r>
      <w:r w:rsidR="00A13495">
        <w:t xml:space="preserve"> More broadly, our study highlights the </w:t>
      </w:r>
      <w:r w:rsidR="00F560C9">
        <w:t>benefit</w:t>
      </w:r>
      <w:r w:rsidR="00A13495">
        <w:t xml:space="preserve"> of</w:t>
      </w:r>
      <w:r w:rsidR="00264C3C">
        <w:t xml:space="preserve"> fully</w:t>
      </w:r>
      <w:r w:rsidR="00A13495">
        <w:t xml:space="preserve"> leveraging electronic medical records to provide localized, robust evidence for </w:t>
      </w:r>
      <w:r w:rsidR="00F053A6">
        <w:t xml:space="preserve">decision-making </w:t>
      </w:r>
      <w:r w:rsidR="00FF461D">
        <w:t>in infection control and clinical infectious diseases.</w:t>
      </w:r>
    </w:p>
    <w:p w14:paraId="02F2484B" w14:textId="77777777" w:rsidR="00F053A6" w:rsidRDefault="00F053A6">
      <w:pPr>
        <w:spacing w:line="276" w:lineRule="auto"/>
      </w:pPr>
      <w:r>
        <w:br w:type="page"/>
      </w:r>
    </w:p>
    <w:p w14:paraId="0E85EFE9" w14:textId="77777777" w:rsidR="008C30AA" w:rsidRDefault="003718A8" w:rsidP="008C30AA">
      <w:pPr>
        <w:pStyle w:val="Heading1"/>
      </w:pPr>
      <w:r>
        <w:lastRenderedPageBreak/>
        <w:t>Abstract</w:t>
      </w:r>
    </w:p>
    <w:p w14:paraId="6DC668BF" w14:textId="12DFCCEB" w:rsidR="00E86F2F" w:rsidRPr="0091507E" w:rsidRDefault="00F4137B" w:rsidP="00BC5531">
      <w:pPr>
        <w:pStyle w:val="Normal1"/>
      </w:pPr>
      <w:bookmarkStart w:id="1" w:name="h.n850vwzh1pny" w:colFirst="0" w:colLast="0"/>
      <w:bookmarkEnd w:id="1"/>
      <w:r>
        <w:rPr>
          <w:b/>
        </w:rPr>
        <w:t>Background</w:t>
      </w:r>
      <w:r w:rsidR="0091507E">
        <w:rPr>
          <w:b/>
        </w:rPr>
        <w:t>:</w:t>
      </w:r>
      <w:r w:rsidR="005326EC">
        <w:rPr>
          <w:b/>
        </w:rPr>
        <w:t xml:space="preserve"> </w:t>
      </w:r>
      <w:r w:rsidR="003A6EC5">
        <w:t xml:space="preserve">Reported </w:t>
      </w:r>
      <w:r w:rsidR="00325211">
        <w:t xml:space="preserve">per-patient </w:t>
      </w:r>
      <w:r w:rsidR="0091507E">
        <w:t xml:space="preserve">costs of </w:t>
      </w:r>
      <w:r w:rsidR="0091507E">
        <w:rPr>
          <w:i/>
        </w:rPr>
        <w:t>Clostridium difficile</w:t>
      </w:r>
      <w:r w:rsidR="0091507E">
        <w:t xml:space="preserve"> infection</w:t>
      </w:r>
      <w:r w:rsidR="006B5ECD">
        <w:t xml:space="preserve"> (CDI)</w:t>
      </w:r>
      <w:r w:rsidR="003A6EC5">
        <w:t xml:space="preserve"> vary by two orders of magnitude</w:t>
      </w:r>
      <w:r w:rsidR="00D0674C">
        <w:t xml:space="preserve"> among different hospitals</w:t>
      </w:r>
      <w:r w:rsidR="0091507E">
        <w:t>, suggesting that</w:t>
      </w:r>
      <w:r w:rsidR="00990A2D">
        <w:t xml:space="preserve"> precise</w:t>
      </w:r>
      <w:r w:rsidR="00E21DEC">
        <w:t>,</w:t>
      </w:r>
      <w:r w:rsidR="0091507E">
        <w:t xml:space="preserve"> </w:t>
      </w:r>
      <w:r w:rsidR="00E25E90">
        <w:t xml:space="preserve">local </w:t>
      </w:r>
      <w:r w:rsidR="00872A49">
        <w:t>analyses</w:t>
      </w:r>
      <w:r w:rsidR="00D8069E">
        <w:t xml:space="preserve"> </w:t>
      </w:r>
      <w:r w:rsidR="00E25E90">
        <w:t>are neede</w:t>
      </w:r>
      <w:r w:rsidR="00C108E1">
        <w:t>d</w:t>
      </w:r>
      <w:r w:rsidR="00E25E90">
        <w:t xml:space="preserve"> </w:t>
      </w:r>
      <w:r w:rsidR="004D183A">
        <w:t>to</w:t>
      </w:r>
      <w:r w:rsidR="006C7AA9">
        <w:t xml:space="preserve"> </w:t>
      </w:r>
      <w:r w:rsidR="00E25E90">
        <w:t>guide decision-making</w:t>
      </w:r>
      <w:r w:rsidR="007B3232">
        <w:t>.</w:t>
      </w:r>
      <w:r>
        <w:t xml:space="preserve"> We sought t</w:t>
      </w:r>
      <w:r w:rsidR="00214B22">
        <w:t>o</w:t>
      </w:r>
      <w:r w:rsidR="004D0648">
        <w:t xml:space="preserve"> estimate </w:t>
      </w:r>
      <w:r w:rsidR="00FC2731">
        <w:t>changes in length of stay</w:t>
      </w:r>
      <w:r w:rsidR="00EC4010">
        <w:t xml:space="preserve"> (LOS)</w:t>
      </w:r>
      <w:r w:rsidR="00490F0A">
        <w:t xml:space="preserve"> associated with</w:t>
      </w:r>
      <w:r w:rsidR="004D0648">
        <w:t xml:space="preserve"> </w:t>
      </w:r>
      <w:r w:rsidR="004D0648" w:rsidRPr="00F935D9">
        <w:t>CDI</w:t>
      </w:r>
      <w:r w:rsidR="00C7041D">
        <w:t xml:space="preserve"> at one </w:t>
      </w:r>
      <w:r w:rsidR="004D0648">
        <w:t>hospital</w:t>
      </w:r>
      <w:r w:rsidR="00214B22">
        <w:t xml:space="preserve"> </w:t>
      </w:r>
      <w:r w:rsidR="004D0648">
        <w:t>using only automatically extractable</w:t>
      </w:r>
      <w:r w:rsidR="0091507E">
        <w:t xml:space="preserve"> electronic medical record</w:t>
      </w:r>
      <w:r w:rsidR="006B5ECD">
        <w:t xml:space="preserve"> (EMR)</w:t>
      </w:r>
      <w:r w:rsidR="004D0648">
        <w:t xml:space="preserve"> data</w:t>
      </w:r>
      <w:r w:rsidR="0091507E">
        <w:t>.</w:t>
      </w:r>
    </w:p>
    <w:p w14:paraId="6FAD6052" w14:textId="77777777" w:rsidR="0091507E" w:rsidRPr="00E86F2F" w:rsidRDefault="0091507E" w:rsidP="00BC5531">
      <w:pPr>
        <w:pStyle w:val="Normal1"/>
        <w:rPr>
          <w:b/>
        </w:rPr>
      </w:pPr>
    </w:p>
    <w:p w14:paraId="69550A38" w14:textId="554A01F8" w:rsidR="00E86F2F" w:rsidRPr="0091507E" w:rsidRDefault="00F4137B" w:rsidP="00BC5531">
      <w:pPr>
        <w:pStyle w:val="Normal1"/>
      </w:pPr>
      <w:r>
        <w:rPr>
          <w:b/>
        </w:rPr>
        <w:t>Methods</w:t>
      </w:r>
      <w:r w:rsidR="0091507E">
        <w:rPr>
          <w:b/>
        </w:rPr>
        <w:t>:</w:t>
      </w:r>
      <w:r w:rsidR="00E86F2F" w:rsidRPr="00E86F2F">
        <w:rPr>
          <w:b/>
        </w:rPr>
        <w:t xml:space="preserve"> </w:t>
      </w:r>
      <w:r w:rsidR="000A2A4C">
        <w:t xml:space="preserve">Retrospective cohort study of </w:t>
      </w:r>
      <w:r w:rsidR="0091507E">
        <w:t>171</w:t>
      </w:r>
      <w:r w:rsidR="00C7041D">
        <w:t>,</w:t>
      </w:r>
      <w:r w:rsidR="00F637C8">
        <w:t>938</w:t>
      </w:r>
      <w:r w:rsidR="0091507E">
        <w:t xml:space="preserve"> visit</w:t>
      </w:r>
      <w:r w:rsidR="006B5ECD">
        <w:t xml:space="preserve"> record</w:t>
      </w:r>
      <w:r w:rsidR="0091507E">
        <w:t>s</w:t>
      </w:r>
      <w:r w:rsidR="000A2A4C">
        <w:t xml:space="preserve"> </w:t>
      </w:r>
      <w:r w:rsidR="0091507E">
        <w:t>spanning a 7-year period</w:t>
      </w:r>
      <w:r w:rsidR="000A2A4C">
        <w:t>.</w:t>
      </w:r>
      <w:r w:rsidR="006B5ECD">
        <w:t xml:space="preserve"> </w:t>
      </w:r>
      <w:r w:rsidR="00E77134">
        <w:t>23</w:t>
      </w:r>
      <w:r w:rsidR="00C7041D">
        <w:t>,</w:t>
      </w:r>
      <w:r w:rsidR="00E77134">
        <w:t>968</w:t>
      </w:r>
      <w:r w:rsidR="006B5ECD">
        <w:t xml:space="preserve"> variable</w:t>
      </w:r>
      <w:r w:rsidR="00C024D4">
        <w:t xml:space="preserve">s were </w:t>
      </w:r>
      <w:r w:rsidR="00CD6ED4">
        <w:t>extracted</w:t>
      </w:r>
      <w:r w:rsidR="00C024D4">
        <w:t xml:space="preserve"> from</w:t>
      </w:r>
      <w:r w:rsidR="00FB2DAD">
        <w:t xml:space="preserve"> </w:t>
      </w:r>
      <w:r w:rsidR="00B924FA">
        <w:t>EMR</w:t>
      </w:r>
      <w:r w:rsidR="006B5ECD">
        <w:t xml:space="preserve"> data recorded wit</w:t>
      </w:r>
      <w:r w:rsidR="000A2A4C">
        <w:t xml:space="preserve">hin 24 hours of </w:t>
      </w:r>
      <w:r w:rsidR="00010881">
        <w:t xml:space="preserve">each </w:t>
      </w:r>
      <w:r w:rsidR="000A2A4C">
        <w:t>admission</w:t>
      </w:r>
      <w:r w:rsidR="008C41CA">
        <w:t xml:space="preserve"> to train an</w:t>
      </w:r>
      <w:r w:rsidR="00F51CD3">
        <w:t xml:space="preserve"> </w:t>
      </w:r>
      <w:r w:rsidR="0043347C">
        <w:t>elastic net regularized</w:t>
      </w:r>
      <w:r w:rsidR="00960940">
        <w:t xml:space="preserve"> </w:t>
      </w:r>
      <w:r w:rsidR="0083016D">
        <w:t xml:space="preserve">logistic </w:t>
      </w:r>
      <w:r w:rsidR="004675BE">
        <w:t>regression model</w:t>
      </w:r>
      <w:r w:rsidR="00F51CD3">
        <w:t xml:space="preserve"> </w:t>
      </w:r>
      <w:r w:rsidR="006B3CA7">
        <w:t>for</w:t>
      </w:r>
      <w:r w:rsidR="00F51CD3">
        <w:t xml:space="preserve"> propensity score matching</w:t>
      </w:r>
      <w:r w:rsidR="00A722B2">
        <w:t xml:space="preserve">. To </w:t>
      </w:r>
      <w:r w:rsidR="00924B04">
        <w:t>address</w:t>
      </w:r>
      <w:r w:rsidR="00A722B2">
        <w:t xml:space="preserve"> time-dependent bias</w:t>
      </w:r>
      <w:r w:rsidR="00245AE5">
        <w:t xml:space="preserve"> (reverse causation)</w:t>
      </w:r>
      <w:r w:rsidR="002F59BC">
        <w:t>, we stratified</w:t>
      </w:r>
      <w:r w:rsidR="00A722B2">
        <w:t xml:space="preserve"> </w:t>
      </w:r>
      <w:r w:rsidR="00C024D4">
        <w:t xml:space="preserve">comparisons </w:t>
      </w:r>
      <w:r w:rsidR="002D06C9">
        <w:t>by time-</w:t>
      </w:r>
      <w:r w:rsidR="0083016D">
        <w:t>of</w:t>
      </w:r>
      <w:r w:rsidR="002D06C9">
        <w:t xml:space="preserve">-infection </w:t>
      </w:r>
      <w:r w:rsidR="00A722B2">
        <w:t xml:space="preserve">and </w:t>
      </w:r>
      <w:r w:rsidR="002F59BC">
        <w:t>fit</w:t>
      </w:r>
      <w:r w:rsidR="00C024D4">
        <w:t xml:space="preserve"> </w:t>
      </w:r>
      <w:r w:rsidR="00A722B2">
        <w:t>multistate mo</w:t>
      </w:r>
      <w:r w:rsidR="004E0FFA">
        <w:t>del</w:t>
      </w:r>
      <w:r w:rsidR="00B46E10">
        <w:t>s</w:t>
      </w:r>
      <w:r w:rsidR="00901DF2">
        <w:t>.</w:t>
      </w:r>
    </w:p>
    <w:p w14:paraId="7E75FDDA" w14:textId="77777777" w:rsidR="0091507E" w:rsidRPr="00E86F2F" w:rsidRDefault="0091507E" w:rsidP="00BC5531">
      <w:pPr>
        <w:pStyle w:val="Normal1"/>
        <w:rPr>
          <w:b/>
        </w:rPr>
      </w:pPr>
    </w:p>
    <w:p w14:paraId="54D923F2" w14:textId="5447B95C" w:rsidR="00E86F2F" w:rsidRPr="00195E1C" w:rsidRDefault="00F4137B" w:rsidP="00BC5531">
      <w:pPr>
        <w:pStyle w:val="Normal1"/>
      </w:pPr>
      <w:r>
        <w:rPr>
          <w:b/>
        </w:rPr>
        <w:t>Findings</w:t>
      </w:r>
      <w:r w:rsidR="00516997">
        <w:rPr>
          <w:b/>
        </w:rPr>
        <w:t>:</w:t>
      </w:r>
      <w:r w:rsidR="006E7230">
        <w:rPr>
          <w:b/>
        </w:rPr>
        <w:t xml:space="preserve"> </w:t>
      </w:r>
      <w:r w:rsidR="006E7230">
        <w:t>The</w:t>
      </w:r>
      <w:r w:rsidR="005E0B9F">
        <w:t xml:space="preserve"> estimated</w:t>
      </w:r>
      <w:r w:rsidR="006E7230">
        <w:t xml:space="preserve"> difference </w:t>
      </w:r>
      <w:r w:rsidR="00E50F2E">
        <w:t>in median</w:t>
      </w:r>
      <w:r w:rsidR="006E7230">
        <w:t xml:space="preserve"> </w:t>
      </w:r>
      <w:r w:rsidR="00EC4010">
        <w:t xml:space="preserve">LOS </w:t>
      </w:r>
      <w:r w:rsidR="003E05C7">
        <w:t>for propensity-</w:t>
      </w:r>
      <w:r w:rsidR="006E7230">
        <w:t xml:space="preserve">matched cohorts varied from </w:t>
      </w:r>
      <w:r w:rsidR="00EB7954">
        <w:t>3</w:t>
      </w:r>
      <w:r w:rsidR="00900BC2">
        <w:t>·</w:t>
      </w:r>
      <w:r w:rsidR="00EB7954">
        <w:t>1</w:t>
      </w:r>
      <w:r w:rsidR="006E7230">
        <w:t xml:space="preserve"> days</w:t>
      </w:r>
      <w:r w:rsidR="00CF76F8">
        <w:t xml:space="preserve"> (95% CI, </w:t>
      </w:r>
      <w:r w:rsidR="00EB7954">
        <w:t>2</w:t>
      </w:r>
      <w:r w:rsidR="00900BC2">
        <w:t>·</w:t>
      </w:r>
      <w:r w:rsidR="00EB7954">
        <w:t>2–3</w:t>
      </w:r>
      <w:r w:rsidR="00900BC2">
        <w:t>·</w:t>
      </w:r>
      <w:r w:rsidR="00BD03A2">
        <w:t>9</w:t>
      </w:r>
      <w:r w:rsidR="00CF76F8">
        <w:t>)</w:t>
      </w:r>
      <w:r w:rsidR="00EB7954">
        <w:t xml:space="preserve"> to 10</w:t>
      </w:r>
      <w:r w:rsidR="00445846">
        <w:t>·</w:t>
      </w:r>
      <w:r w:rsidR="00EB7954">
        <w:t>1</w:t>
      </w:r>
      <w:r w:rsidR="006E7230">
        <w:t xml:space="preserve"> days</w:t>
      </w:r>
      <w:r w:rsidR="00CF76F8">
        <w:t xml:space="preserve"> (95% CI,</w:t>
      </w:r>
      <w:r w:rsidR="00EB7954">
        <w:t xml:space="preserve"> 7</w:t>
      </w:r>
      <w:r w:rsidR="00900BC2">
        <w:t>·</w:t>
      </w:r>
      <w:r w:rsidR="00EB7954">
        <w:t>3</w:t>
      </w:r>
      <w:r w:rsidR="00354EF8">
        <w:t>–</w:t>
      </w:r>
      <w:r w:rsidR="00EB7954">
        <w:t>12</w:t>
      </w:r>
      <w:r w:rsidR="00900BC2">
        <w:t>·</w:t>
      </w:r>
      <w:r w:rsidR="00AA10BC">
        <w:t>2</w:t>
      </w:r>
      <w:r w:rsidR="00CF76F8">
        <w:t>)</w:t>
      </w:r>
      <w:r w:rsidR="00791C33">
        <w:t xml:space="preserve"> depending on </w:t>
      </w:r>
      <w:r w:rsidR="001E5418">
        <w:t xml:space="preserve">the </w:t>
      </w:r>
      <w:r w:rsidR="006F5623">
        <w:t>case</w:t>
      </w:r>
      <w:r w:rsidR="001E5418">
        <w:t xml:space="preserve"> definition</w:t>
      </w:r>
      <w:r w:rsidR="006E7230">
        <w:t xml:space="preserve">; however, </w:t>
      </w:r>
      <w:r w:rsidR="00D7052E">
        <w:t>dependency of the estimate</w:t>
      </w:r>
      <w:r w:rsidR="006E7230">
        <w:t xml:space="preserve"> on </w:t>
      </w:r>
      <w:r w:rsidR="000B3DDD">
        <w:t>time-to</w:t>
      </w:r>
      <w:r w:rsidR="00F34520">
        <w:t>-infection</w:t>
      </w:r>
      <w:r w:rsidR="002C2010">
        <w:t xml:space="preserve"> </w:t>
      </w:r>
      <w:r w:rsidR="00E50F2E">
        <w:t xml:space="preserve">was </w:t>
      </w:r>
      <w:r w:rsidR="002B1FEE">
        <w:t>observed</w:t>
      </w:r>
      <w:r w:rsidR="006E7230">
        <w:t xml:space="preserve">. </w:t>
      </w:r>
      <w:r w:rsidR="001E5418">
        <w:t xml:space="preserve">Stratification by </w:t>
      </w:r>
      <w:r w:rsidR="001F65E1">
        <w:t xml:space="preserve">time to </w:t>
      </w:r>
      <w:r w:rsidR="00A16111">
        <w:t xml:space="preserve">first </w:t>
      </w:r>
      <w:r w:rsidR="001F65E1">
        <w:t xml:space="preserve">positive toxin </w:t>
      </w:r>
      <w:r w:rsidR="00D33E1C">
        <w:t xml:space="preserve">assay, excluding </w:t>
      </w:r>
      <w:r w:rsidR="00E46843">
        <w:t xml:space="preserve">probable </w:t>
      </w:r>
      <w:r w:rsidR="00E50F2E">
        <w:t xml:space="preserve">community-acquired </w:t>
      </w:r>
      <w:r w:rsidR="00806B2A">
        <w:t>infections</w:t>
      </w:r>
      <w:r w:rsidR="00D33E1C">
        <w:t>, showed</w:t>
      </w:r>
      <w:r w:rsidR="00791C33">
        <w:t xml:space="preserve"> </w:t>
      </w:r>
      <w:r w:rsidR="00D33E1C">
        <w:t xml:space="preserve">a minimum </w:t>
      </w:r>
      <w:r w:rsidR="00EC4010">
        <w:t>excess LOS</w:t>
      </w:r>
      <w:r w:rsidR="00E50F2E">
        <w:t xml:space="preserve"> </w:t>
      </w:r>
      <w:r w:rsidR="00D33E1C">
        <w:t>of</w:t>
      </w:r>
      <w:r w:rsidR="00B72316">
        <w:t xml:space="preserve"> 3</w:t>
      </w:r>
      <w:r w:rsidR="00900BC2">
        <w:t>·</w:t>
      </w:r>
      <w:r w:rsidR="00B72316">
        <w:t>1</w:t>
      </w:r>
      <w:r w:rsidR="00E50F2E">
        <w:t xml:space="preserve"> days</w:t>
      </w:r>
      <w:r w:rsidR="00B72316">
        <w:t xml:space="preserve"> (95% CI, 1</w:t>
      </w:r>
      <w:r w:rsidR="00900BC2">
        <w:t>·</w:t>
      </w:r>
      <w:r w:rsidR="00B72316">
        <w:t>7–4</w:t>
      </w:r>
      <w:r w:rsidR="00900BC2">
        <w:t>·</w:t>
      </w:r>
      <w:r w:rsidR="00B72316">
        <w:t>4</w:t>
      </w:r>
      <w:r w:rsidR="00CF76F8">
        <w:t>)</w:t>
      </w:r>
      <w:r w:rsidR="00E50F2E">
        <w:t>.</w:t>
      </w:r>
      <w:r w:rsidR="00241166">
        <w:t xml:space="preserve"> </w:t>
      </w:r>
      <w:r w:rsidR="00D73D4E">
        <w:t xml:space="preserve">Under the same case definition, </w:t>
      </w:r>
      <w:r w:rsidR="000900EB">
        <w:t>the</w:t>
      </w:r>
      <w:r w:rsidR="00241166">
        <w:t xml:space="preserve"> multistate model </w:t>
      </w:r>
      <w:r w:rsidR="00764382">
        <w:t>averaged an</w:t>
      </w:r>
      <w:r w:rsidR="00DD04C5">
        <w:t xml:space="preserve"> </w:t>
      </w:r>
      <w:r w:rsidR="00241166">
        <w:t>excess</w:t>
      </w:r>
      <w:r w:rsidR="00DD04C5">
        <w:t xml:space="preserve"> </w:t>
      </w:r>
      <w:r w:rsidR="00241166">
        <w:t>LOS</w:t>
      </w:r>
      <w:r w:rsidR="00764382">
        <w:t xml:space="preserve"> </w:t>
      </w:r>
      <w:r w:rsidR="00241166">
        <w:t xml:space="preserve">of </w:t>
      </w:r>
      <w:r w:rsidR="00352896">
        <w:t>3</w:t>
      </w:r>
      <w:r w:rsidR="00445846">
        <w:t>·</w:t>
      </w:r>
      <w:r w:rsidR="00352896">
        <w:t>3</w:t>
      </w:r>
      <w:r w:rsidR="00241166">
        <w:t xml:space="preserve"> days (95% CI, </w:t>
      </w:r>
      <w:r w:rsidR="00352896">
        <w:t>2</w:t>
      </w:r>
      <w:r w:rsidR="00900BC2">
        <w:t>·</w:t>
      </w:r>
      <w:r w:rsidR="00352896">
        <w:t>6</w:t>
      </w:r>
      <w:r w:rsidR="002F3A16">
        <w:softHyphen/>
        <w:t>–</w:t>
      </w:r>
      <w:r w:rsidR="00726EB9">
        <w:t>4</w:t>
      </w:r>
      <w:r w:rsidR="00900BC2">
        <w:t>·</w:t>
      </w:r>
      <w:r w:rsidR="00726EB9">
        <w:t>0</w:t>
      </w:r>
      <w:r w:rsidR="00241166">
        <w:t>).</w:t>
      </w:r>
    </w:p>
    <w:p w14:paraId="2944E8B0" w14:textId="77777777" w:rsidR="00C024D4" w:rsidRDefault="00C024D4" w:rsidP="00BC5531">
      <w:pPr>
        <w:pStyle w:val="Normal1"/>
        <w:rPr>
          <w:b/>
        </w:rPr>
      </w:pPr>
    </w:p>
    <w:p w14:paraId="3493174C" w14:textId="53923FA6" w:rsidR="00F4137B" w:rsidRDefault="00F4137B" w:rsidP="00BC5531">
      <w:pPr>
        <w:pStyle w:val="Normal1"/>
      </w:pPr>
      <w:r>
        <w:rPr>
          <w:b/>
        </w:rPr>
        <w:t>Interpretation</w:t>
      </w:r>
      <w:r w:rsidR="00516997">
        <w:rPr>
          <w:b/>
        </w:rPr>
        <w:t>:</w:t>
      </w:r>
      <w:r w:rsidR="007E4480">
        <w:rPr>
          <w:b/>
        </w:rPr>
        <w:t xml:space="preserve"> </w:t>
      </w:r>
      <w:r w:rsidR="007E4480">
        <w:t>Change</w:t>
      </w:r>
      <w:r w:rsidR="00FF7580">
        <w:t>s</w:t>
      </w:r>
      <w:r w:rsidR="007E4480">
        <w:t xml:space="preserve"> in LOS </w:t>
      </w:r>
      <w:r w:rsidR="00FF7580">
        <w:t>can</w:t>
      </w:r>
      <w:r w:rsidR="007E4480">
        <w:t xml:space="preserve"> </w:t>
      </w:r>
      <w:r w:rsidR="00025313">
        <w:t>be extrapolated to a</w:t>
      </w:r>
      <w:r w:rsidR="007E4480">
        <w:t xml:space="preserve"> marginal dollar cost per </w:t>
      </w:r>
      <w:r w:rsidR="00D8442C">
        <w:t>CDI case</w:t>
      </w:r>
      <w:r w:rsidR="007E4480">
        <w:t xml:space="preserve"> by multiplying by the average cost of an inpat</w:t>
      </w:r>
      <w:r w:rsidR="00686B23">
        <w:t>ient-day</w:t>
      </w:r>
      <w:r w:rsidR="007E4480">
        <w:t xml:space="preserve">. Infection control officers </w:t>
      </w:r>
      <w:r w:rsidR="00CC2C0F">
        <w:t>can</w:t>
      </w:r>
      <w:r w:rsidR="007E4480">
        <w:t xml:space="preserve"> leverage </w:t>
      </w:r>
      <w:r w:rsidR="002C2010">
        <w:t xml:space="preserve">automatically extractable </w:t>
      </w:r>
      <w:r w:rsidR="007E4480">
        <w:t>EMR data to estimate cost</w:t>
      </w:r>
      <w:r w:rsidR="00BB6040">
        <w:t>s</w:t>
      </w:r>
      <w:r w:rsidR="007E4480">
        <w:t xml:space="preserve"> of CDI </w:t>
      </w:r>
      <w:r w:rsidR="00601CA3">
        <w:t>at</w:t>
      </w:r>
      <w:r w:rsidR="007E4480">
        <w:t xml:space="preserve"> their </w:t>
      </w:r>
      <w:r w:rsidR="00453826">
        <w:t xml:space="preserve">specific </w:t>
      </w:r>
      <w:r w:rsidR="00C7041D">
        <w:t>institution</w:t>
      </w:r>
      <w:r w:rsidR="007E4480">
        <w:t>.</w:t>
      </w:r>
    </w:p>
    <w:p w14:paraId="1CDA9BA9" w14:textId="77777777" w:rsidR="00F4137B" w:rsidRDefault="00F4137B" w:rsidP="00BC5531">
      <w:pPr>
        <w:pStyle w:val="Normal1"/>
      </w:pPr>
    </w:p>
    <w:p w14:paraId="539F5F62" w14:textId="29246E1A" w:rsidR="008C30AA" w:rsidRPr="00E86F2F" w:rsidRDefault="00F4137B" w:rsidP="00BC5531">
      <w:pPr>
        <w:pStyle w:val="Normal1"/>
        <w:rPr>
          <w:b/>
        </w:rPr>
      </w:pPr>
      <w:r>
        <w:rPr>
          <w:b/>
        </w:rPr>
        <w:t>Funding:</w:t>
      </w:r>
      <w:r w:rsidR="00494F65">
        <w:rPr>
          <w:b/>
        </w:rPr>
        <w:t xml:space="preserve"> </w:t>
      </w:r>
      <w:r w:rsidR="00494F65">
        <w:t>Icahn Institute for Geno</w:t>
      </w:r>
      <w:r w:rsidR="001343CE">
        <w:t>mics and Multiscale Biology</w:t>
      </w:r>
      <w:proofErr w:type="gramStart"/>
      <w:r w:rsidR="001343CE">
        <w:t>;</w:t>
      </w:r>
      <w:proofErr w:type="gramEnd"/>
      <w:r w:rsidR="00494F65">
        <w:t xml:space="preserve"> NIH/NIAID.</w:t>
      </w:r>
      <w:r w:rsidR="008C30AA" w:rsidRPr="00E86F2F">
        <w:rPr>
          <w:b/>
        </w:rPr>
        <w:br w:type="page"/>
      </w:r>
    </w:p>
    <w:p w14:paraId="295C578E" w14:textId="579A2BC9" w:rsidR="00141A80" w:rsidRPr="00141A80" w:rsidRDefault="00141A80" w:rsidP="00141A80">
      <w:pPr>
        <w:pStyle w:val="Heading1"/>
      </w:pPr>
      <w:r>
        <w:lastRenderedPageBreak/>
        <w:t>Introduction</w:t>
      </w:r>
    </w:p>
    <w:p w14:paraId="241B1C54" w14:textId="159FE0D3" w:rsidR="00FE0712" w:rsidRDefault="00E3653D" w:rsidP="002C26CC">
      <w:r w:rsidRPr="00E3653D">
        <w:rPr>
          <w:i/>
        </w:rPr>
        <w:t>Clostridium</w:t>
      </w:r>
      <w:r>
        <w:t xml:space="preserve"> </w:t>
      </w:r>
      <w:r>
        <w:rPr>
          <w:i/>
        </w:rPr>
        <w:t>difficile</w:t>
      </w:r>
      <w:r w:rsidR="006A25AB">
        <w:t xml:space="preserve"> </w:t>
      </w:r>
      <w:r w:rsidR="00277AC5">
        <w:t xml:space="preserve">infection (CDI) </w:t>
      </w:r>
      <w:r>
        <w:t xml:space="preserve">is the most frequently reported </w:t>
      </w:r>
      <w:r w:rsidR="00277AC5">
        <w:t>healthcare-associated infection (HAI)</w:t>
      </w:r>
      <w:r w:rsidR="00C72CBB">
        <w:t xml:space="preserve"> in the US</w:t>
      </w:r>
      <w:r>
        <w:fldChar w:fldCharType="begin" w:fldLock="1"/>
      </w:r>
      <w:r w:rsidR="00717812">
        <w:instrText>ADDIN CSL_CITATION { "citationItems" : [ { "id" : "ITEM-1", "itemData" : { "DOI" : "10.1056/NEJMra1403772", "ISSN" : "1533-4406", "author" : [ { "dropping-particle" : "", "family" : "Leffler", "given" : "Daniel A.", "non-dropping-particle" : "", "parse-names" : false, "suffix" : "" }, { "dropping-particle" : "", "family" : "Lamont", "given" : "J. Thomas", "non-dropping-particle" : "", "parse-names" : false, "suffix" : "" } ], "container-title" : "The New England journal of medicine", "id" : "ITEM-1", "issued" : { "date-parts" : [ [ "2015" ] ] }, "note" : "{:PMCID:PMC4558186}", "page" : "1539-48", "title" : "Clostridium difficile.", "type" : "article-journal", "volume" : "372" }, "uris" : [ "http://www.mendeley.com/documents/?uuid=db8c59bf-ff8f-4a7c-b083-669f0b85d33f" ] } ], "mendeley" : { "formattedCitation" : "\\autocite{Leffler2015}", "plainTextFormattedCitation" : "\\autocite{Leffler2015}", "previouslyFormattedCitation" : "&lt;sup&gt;1&lt;/sup&gt;" }, "properties" : { "noteIndex" : 0 }, "schema" : "https://github.com/citation-style-language/schema/raw/master/csl-citation.json" }</w:instrText>
      </w:r>
      <w:r>
        <w:fldChar w:fldCharType="separate"/>
      </w:r>
      <w:r w:rsidR="00717812" w:rsidRPr="00717812">
        <w:rPr>
          <w:noProof/>
        </w:rPr>
        <w:t>\autocite{Leffler2015}</w:t>
      </w:r>
      <w:r>
        <w:fldChar w:fldCharType="end"/>
      </w:r>
      <w:r w:rsidR="00D54099">
        <w:t xml:space="preserve"> and the major infective cause of nosocomial diarrhea in developed countries,</w:t>
      </w:r>
      <w:r w:rsidR="00D54099">
        <w:fldChar w:fldCharType="begin" w:fldLock="1"/>
      </w:r>
      <w:r w:rsidR="00717812">
        <w:instrText>ADDIN CSL_CITATION { "citationItems" : [ { "id" : "ITEM-1", "itemData" : { "DOI" : "10.1016/S1473-3099(14)70991-0", "ISBN" : "1016060610", "ISSN" : "14744457", "PMID" : "19482214", "abstract" : "Background: Variations in testing for Clostridium difficile infection can hinder patients' care, increase the risk of transmission, and skew epidemiological data. We aimed to measure the underdiagnosis of C difficile infection across Europe. Methods: We did a questionnaire-based study at 482 participating hospitals across 20 European countries. Hospitals were questioned about their methods and testing policy for C difficile infection during the periods September, 2011, to August, 2012, and September, 2012, to August, 2013. On one day in winter, 2012-13 (December, 2012, or January, 2013), and summer, 2013 (July or August), every hospital sent all diarrhoeal samples submitted to their microbiology laboratory to a national coordinating laboratory for standardised testing of C difficile infection. Our primary outcome measures were the rates of testing for and cases of C difficile infection per 10 000 patient bed-days. Results of local and national C difficile infection testing were compared with each other. If the result was positive at the national laboratory but negative at the local hospital, the result was classified as undiagnosed C difficile infection. We compared differences in proportions with the Mann-Whitney test, or McNemar's test if data were matched. Findings: During the study period, participating hospitals reported a mean of 65.8 tests (country range 4.6-223.3) for C difficile infection per 10 000 patient-bed days and a mean of 7.0 cases (country range 0.7-28.7) of C difficile infection per 10 000 patient-bed days. Only two-fifths of hospitals reported using optimum methods for testing of C difficile infection (defined by European guidelines), although the number of participating hospitals using optimum methods increased during the study period, from 152 (32%) of 468 in 2011-12 to 205 (48%) of 428 in 2012-13. Across all 482 European hospitals on the two sampling days, 148 (23%) of 641 samples positive for C difficile infection (as determined by the national laboratory) were not diagnosed by participating hospitals because of an absence of clinical suspicion, equating to about 74 missed diagnoses per day. Interpretation: A wide variety of testing strategies for C difficile infection are used across Europe. Absence of clinical suspicion and suboptimum laboratory diagnostic methods mean that an estimated 40 000 inpatients with C difficile infection are potentially undiagnosed every year in 482 European hospitals. Funding: Astellas Pharmaceutical\u2026", "author" : [ { "dropping-particle" : "", "family" : "Davies", "given" : "Kerrie A.", "non-dropping-particle" : "", "parse-names" : false, "suffix" : "" }, { "dropping-particle" : "", "family" : "Longshaw", "given" : "Christopher M.", "non-dropping-particle" : "", "parse-names" : false, "suffix" : "" }, { "dropping-particle" : "", "family" : "Davis", "given" : "Georgina L.", "non-dropping-particle" : "", "parse-names" : false, "suffix" : "" }, { "dropping-particle" : "", "family" : "Bouza", "given" : "Emilio", "non-dropping-particle" : "", "parse-names" : false, "suffix" : "" }, { "dropping-particle" : "", "family" : "Barbut", "given" : "Fr??d??ric", "non-dropping-particle" : "", "parse-names" : false, "suffix" : "" }, { "dropping-particle" : "", "family" : "Barna", "given" : "Zsuzsanna", "non-dropping-particle" : "", "parse-names" : false, "suffix" : "" }, { "dropping-particle" : "", "family" : "Delm??e", "given" : "Michel", "non-dropping-particle" : "", "parse-names" : false, "suffix" : "" }, { "dropping-particle" : "", "family" : "Fitzpatrick", "given" : "Fidelma", "non-dropping-particle" : "", "parse-names" : false, "suffix" : "" }, { "dropping-particle" : "", "family" : "Ivanova", "given" : "Kate", "non-dropping-particle" : "", "parse-names" : false, "suffix" : "" }, { "dropping-particle" : "", "family" : "Kuijper", "given" : "Ed", "non-dropping-particle" : "", "parse-names" : false, "suffix" : "" }, { "dropping-particle" : "", "family" : "Macovei", "given" : "Ioana S.", "non-dropping-particle" : "", "parse-names" : false, "suffix" : "" }, { "dropping-particle" : "", "family" : "Mentula", "given" : "Silja", "non-dropping-particle" : "", "parse-names" : false, "suffix" : "" }, { "dropping-particle" : "", "family" : "Mastrantonio", "given" : "Paola", "non-dropping-particle" : "", "parse-names" : false, "suffix" : "" }, { "dropping-particle" : "", "family" : "M??ller", "given" : "Lutz", "non-dropping-particle" : "von", "parse-names" : false, "suffix" : "" }, { "dropping-particle" : "", "family" : "Oleastro", "given" : "M??nica", "non-dropping-particle" : "", "parse-names" : false, "suffix" : "" }, { "dropping-particle" : "", "family" : "Petinaki", "given" : "Efthymia", "non-dropping-particle" : "", "parse-names" : false, "suffix" : "" }, { "dropping-particle" : "", "family" : "Pituch", "given" : "Hanna", "non-dropping-particle" : "", "parse-names" : false, "suffix" : "" }, { "dropping-particle" : "", "family" : "Nor??n", "given" : "Torbj??rn", "non-dropping-particle" : "", "parse-names" : false, "suffix" : "" }, { "dropping-particle" : "", "family" : "Nov??kov??", "given" : "Elena", "non-dropping-particle" : "", "parse-names" : false, "suffix" : "" }, { "dropping-particle" : "", "family" : "Ny??", "given" : "Otakar", "non-dropping-particle" : "", "parse-names" : false, "suffix" : "" }, { "dropping-particle" : "", "family" : "Rupnik", "given" : "Maja", "non-dropping-particle" : "", "parse-names" : false, "suffix" : "" }, { "dropping-particle" : "", "family" : "Schmid", "given" : "Daniela", "non-dropping-particle" : "", "parse-names" : false, "suffix" : "" }, { "dropping-particle" : "", "family" : "Wilcox", "given" : "Mark H.", "non-dropping-particle" : "", "parse-names" : false, "suffix" : "" } ], "container-title" : "The Lancet Infectious Diseases", "id" : "ITEM-1", "issue" : "12", "issued" : { "date-parts" : [ [ "2014" ] ] }, "page" : "1208-1219", "title" : "Underdiagnosis of Clostridium difficile across Europe: The European, multicentre, prospective, biannual, point-prevalence study of Clostridium difficile infection in hospitalised patients with diarrhoea (EUCLID)", "type" : "article-journal", "volume" : "14" }, "uris" : [ "http://www.mendeley.com/documents/?uuid=58c058dc-2c4a-403a-b2f6-ce2902aaf661" ] } ], "mendeley" : { "formattedCitation" : "\\autocite{Davies2014}", "plainTextFormattedCitation" : "\\autocite{Davies2014}", "previouslyFormattedCitation" : "&lt;sup&gt;2&lt;/sup&gt;" }, "properties" : { "noteIndex" : 0 }, "schema" : "https://github.com/citation-style-language/schema/raw/master/csl-citation.json" }</w:instrText>
      </w:r>
      <w:r w:rsidR="00D54099">
        <w:fldChar w:fldCharType="separate"/>
      </w:r>
      <w:r w:rsidR="00717812" w:rsidRPr="00717812">
        <w:rPr>
          <w:noProof/>
        </w:rPr>
        <w:t>\autocite{Davies2014}</w:t>
      </w:r>
      <w:r w:rsidR="00D54099">
        <w:fldChar w:fldCharType="end"/>
      </w:r>
      <w:r w:rsidR="006D5C6B">
        <w:t xml:space="preserve"> </w:t>
      </w:r>
      <w:r w:rsidR="003D517B">
        <w:t>incurring</w:t>
      </w:r>
      <w:r>
        <w:t xml:space="preserve"> billion</w:t>
      </w:r>
      <w:r w:rsidR="006D5C6B">
        <w:t>s of dollars</w:t>
      </w:r>
      <w:r>
        <w:t xml:space="preserve"> in excess medical costs per year</w:t>
      </w:r>
      <w:r w:rsidR="00CA628B">
        <w:t>.</w:t>
      </w:r>
      <w:r>
        <w:fldChar w:fldCharType="begin" w:fldLock="1"/>
      </w:r>
      <w:r w:rsidR="00717812">
        <w:instrText>ADDIN CSL_CITATION { "citationItems" : [ { "id" : "ITEM-1", "itemData" : { "DOI" : "10.1001/jamainternmed.2013.9763", "ISBN" : "2168-6114", "ISSN" : "2168-6114", "PMID" : "23999949", "abstract" : "IMPORTANCE: Health care-associated infections (HAIs) account for a large proportion of the harms caused by health care and are associated with high costs. Better evaluation of the costs of these infections could help providers and payers to justify investing in prevention.\\n\\nOBJECTIVE: To estimate costs associated with the most significant and targetable HAIs.\\n\\nDATA SOURCES: For estimation of attributable costs, we conducted a systematic review of the literature using PubMed for the years 1986 through April 2013. For HAI incidence estimates, we used the National Healthcare Safety Network of the Centers for Disease Control and Prevention (CDC).\\n\\nSTUDY SELECTION: Studies performed outside the United States were excluded. Inclusion criteria included a robust method of comparison using a matched control group or an appropriate regression strategy, generalizable populations typical of inpatient wards and critical care units, methodologic consistency with CDC definitions, and soundness of handling economic outcomes.\\n\\nDATA EXTRACTION AND SYNTHESIS: Three review cycles were completed, with the final iteration carried out from July 2011 to April 2013. Selected publications underwent a secondary review by the research team.\\n\\nMAIN OUTCOMES AND MEASURES: Costs, inflated to 2012 US dollars.\\n\\nRESULTS: Using Monte Carlo simulation, we generated point estimates and 95% CIs for attributable costs and length of hospital stay. On a per-case basis, central line-associated bloodstream infections were found to be the most costly HAIs at $45,814 (95% CI, $30,919-$65,245), followed by ventilator-associated pneumonia at $40,144 (95% CI, $36,286-$44,220), surgical site infections at $20,785 (95% CI, $18,902-$22,667), Clostridium difficile infection at $11,285 (95% CI, $9118-$13,574), and catheter-associated urinary tract infections at $896 (95% CI, $603-$1189). The total annual costs for the 5 major infections were $9.8 billion (95% CI, $8.3-$11.5 billion), with surgical site infections contributing the most to overall costs (33.7% of the total), followed by ventilator-associated pneumonia (31.6%), central line-associated bloodstream infections (18.9%), C difficile infections (15.4%), and catheter-associated urinary tract infections (&lt;1%).\\n\\nCONCLUSIONS AND RELEVANCE: While quality improvement initiatives have decreased HAI incidence and costs, much more remains to be done. As hospitals realize savings from prevention of these complications under payment reforms, the\u2026", "author" : [ { "dropping-particle" : "", "family" : "Zimlichman", "given" : "Eyal", "non-dropping-particle" : "", "parse-names" : false, "suffix" : "" }, { "dropping-particle" : "", "family" : "Henderson", "given" : "Daniel", "non-dropping-particle" : "", "parse-names" : false, "suffix" : "" }, { "dropping-particle" : "", "family" : "Tamir", "given" : "Orly", "non-dropping-particle" : "", "parse-names" : false, "suffix" : "" }, { "dropping-particle" : "", "family" : "Franz", "given" : "Calvin", "non-dropping-particle" : "", "parse-names" : false, "suffix" : "" }, { "dropping-particle" : "", "family" : "Song", "given" : "Peter", "non-dropping-particle" : "", "parse-names" : false, "suffix" : "" }, { "dropping-particle" : "", "family" : "Yamin", "given" : "Cyrus K.", "non-dropping-particle" : "", "parse-names" : false, "suffix" : "" }, { "dropping-particle" : "", "family" : "Keohane", "given" : "Carol", "non-dropping-particle" : "", "parse-names" : false, "suffix" : "" }, { "dropping-particle" : "", "family" : "Denham", "given" : "Charles R.", "non-dropping-particle" : "", "parse-names" : false, "suffix" : "" }, { "dropping-particle" : "", "family" : "Bates", "given" : "David W.", "non-dropping-particle" : "", "parse-names" : false, "suffix" : "" } ], "container-title" : "JAMA internal medicine", "id" : "ITEM-1", "issue" : "22", "issued" : { "date-parts" : [ [ "2013" ] ] }, "page" : "2039-46", "title" : "Health care-associated infections: a meta-analysis of costs and financial impact on the US health care system.", "type" : "article-journal", "volume" : "173" }, "uris" : [ "http://www.mendeley.com/documents/?uuid=c3782faa-a896-4aff-bdab-e8997d58b765" ] } ], "mendeley" : { "formattedCitation" : "\\autocite{Zimlichman2013}", "plainTextFormattedCitation" : "\\autocite{Zimlichman2013}", "previouslyFormattedCitation" : "&lt;sup&gt;3&lt;/sup&gt;" }, "properties" : { "noteIndex" : 0 }, "schema" : "https://github.com/citation-style-language/schema/raw/master/csl-citation.json" }</w:instrText>
      </w:r>
      <w:r>
        <w:fldChar w:fldCharType="separate"/>
      </w:r>
      <w:r w:rsidR="00717812" w:rsidRPr="00717812">
        <w:rPr>
          <w:noProof/>
        </w:rPr>
        <w:t>\autocite{Zimlichman2013}</w:t>
      </w:r>
      <w:r>
        <w:fldChar w:fldCharType="end"/>
      </w:r>
      <w:r w:rsidR="00B54626">
        <w:t xml:space="preserve"> </w:t>
      </w:r>
      <w:r w:rsidR="00E72A94">
        <w:t>E</w:t>
      </w:r>
      <w:r w:rsidR="00D04BE1">
        <w:t>stimates</w:t>
      </w:r>
      <w:r w:rsidR="00B54626">
        <w:t xml:space="preserve"> of </w:t>
      </w:r>
      <w:r w:rsidR="00CA628B">
        <w:t>the per-</w:t>
      </w:r>
      <w:r w:rsidR="00813E86">
        <w:t xml:space="preserve">patient </w:t>
      </w:r>
      <w:r w:rsidR="00B54626">
        <w:t xml:space="preserve">cost </w:t>
      </w:r>
      <w:r w:rsidR="006F4DFC">
        <w:t xml:space="preserve">of </w:t>
      </w:r>
      <w:r w:rsidR="00277AC5" w:rsidRPr="00277AC5">
        <w:t>CDI</w:t>
      </w:r>
      <w:r w:rsidR="006F4DFC">
        <w:t xml:space="preserve"> have varied from </w:t>
      </w:r>
      <w:r w:rsidR="00813E86">
        <w:t>$2,871 to $</w:t>
      </w:r>
      <w:r w:rsidR="00CA628B">
        <w:t>122</w:t>
      </w:r>
      <w:r w:rsidR="00813E86">
        <w:t>,</w:t>
      </w:r>
      <w:r w:rsidR="00CA628B">
        <w:t>318</w:t>
      </w:r>
      <w:r w:rsidR="00430C16">
        <w:t xml:space="preserve"> </w:t>
      </w:r>
      <w:r w:rsidR="00AB5E3F">
        <w:t xml:space="preserve">due to </w:t>
      </w:r>
      <w:r w:rsidR="00CA628B">
        <w:t>differences in</w:t>
      </w:r>
      <w:r w:rsidR="006A25AB">
        <w:t xml:space="preserve"> methodology, </w:t>
      </w:r>
      <w:r w:rsidR="00357E90">
        <w:t>patient inclusion criteria</w:t>
      </w:r>
      <w:r w:rsidR="006A25AB">
        <w:t>, and regional cost</w:t>
      </w:r>
      <w:r w:rsidR="009C2C4D">
        <w:t>s</w:t>
      </w:r>
      <w:r w:rsidR="00CA628B">
        <w:t>.</w:t>
      </w:r>
      <w:r w:rsidR="00CA628B">
        <w:fldChar w:fldCharType="begin" w:fldLock="1"/>
      </w:r>
      <w:r w:rsidR="00717812">
        <w:instrText>ADDIN CSL_CITATION { "citationItems" : [ { "id" : "ITEM-1", "itemData" : { "DOI" : "10.1016/j.jhin.2009.10.016", "ISBN" : "1532-2939", "ISSN" : "01956701", "PMID" : "20153547", "abstract" : "Clostridium difficile infection (CDI) is the leading cause of infectious diarrhoea in hospitalised patients. CDI increases patient healthcare costs due to extended hospitalisation, re-hospitalisation, laboratory tests and medications. However, the economic costs of CDI on healthcare systems remain uncertain. The purpose of this study was to perform a systematic review to summarise available studies aimed at defining the economic healthcare costs of CDI. We conducted a literature search for peer-reviewed studies that investigated costs associated with CDI (1980 to present). Thirteen studies met inclusion and exclusion criteria. CDI costs in 2008 US dollars were calculated using the consumer price index. The total and incremental costs for primary and recurrent CDI were estimated. Of the 13, 10 were from the USA and one each from Canada, UK, and Ireland. In US-based studies incremental cost estimates ranged from $2,871 to $4,846 per case for primary CDI and from $13,655 to $18,067 per case for recurrent CDI. US-based studies in special populations (subjects with irritable bowel disease, surgical inpatients, and patients treated in the intensive care unit) showed an incremental cost range from $6,242 to $90,664. Non-US-based studies showed an estimated incremental cost of $5,243 to $8,570 per case for primary CDI and $13,655 per case for recurrent CDI. Economic healthcare costs of CDI were high for primary and recurrent cases. The high cost associated with CDI justifies the use of additional resources for CDI prevention and control. ?? 2009 The Hospital Infection Society.", "author" : [ { "dropping-particle" : "", "family" : "Ghantoji", "given" : "S. S.", "non-dropping-particle" : "", "parse-names" : false, "suffix" : "" }, { "dropping-particle" : "", "family" : "Sail", "given" : "K.", "non-dropping-particle" : "", "parse-names" : false, "suffix" : "" }, { "dropping-particle" : "", "family" : "Lairson", "given" : "D. R.", "non-dropping-particle" : "", "parse-names" : false, "suffix" : "" }, { "dropping-particle" : "", "family" : "DuPont", "given" : "H. L.", "non-dropping-particle" : "", "parse-names" : false, "suffix" : "" }, { "dropping-particle" : "", "family" : "Garey", "given" : "K. W.", "non-dropping-particle" : "", "parse-names" : false, "suffix" : "" } ], "container-title" : "Journal of Hospital Infection", "id" : "ITEM-1", "issue" : "4", "issued" : { "date-parts" : [ [ "2010" ] ] }, "page" : "309-318", "publisher" : "Elsevier Ltd", "title" : "Economic healthcare costs of Clostridium difficile infection: A systematic review", "type" : "article-journal", "volume" : "74" }, "uris" : [ "http://www.mendeley.com/documents/?uuid=40e14ad6-7732-4391-b292-c502f7b2747a" ] }, { "id" : "ITEM-2", "itemData" : { "DOI" : "10.1186/s12879-016-1786-6", "ISSN" : "1471-2334", "abstract" : "Clostridium difficile infection (CDI) is the leading cause of infectious nosocomial diarrhoea but the economic costs of CDI on healthcare systems in the US remain uncertain. We conducted a systematic search for published studies investigating the direct medical cost associated with CDI hospital management in the past 10\u00a0years (2005\u20132015) and included 42 studies to the final data analysis to estimate the financial impact of CDI in the US. We also conducted a meta-analysis of all costs using Monte Carlo simulation. The average cost for CDI case management and average CDI-attributable costs per case were $42,316 (90\u00a0% CI: $39,886, $44,765) and $21,448 (90\u00a0% CI: $21,152, $21,744) in 2015 US dollars. Hospital-onset CDI-attributable cost per case was $34,157 (90\u00a0% CI: $33,134, $35,180), which was 1.5 times the cost of community-onset CDI ($20,095 [90\u00a0% CI: $4991, $35,204]). The average and incremental length of stay (LOS) for CDI inpatient treatment were 11.1 (90\u00a0% CI: 8.7\u201313.6) and 9.7 (90\u00a0% CI: 9.6\u20139.8) days respectively. Total annual CDI-attributable cost in the US is estimated US$6.3 (Range: $1.9\u2013$7.0) billion. Total annual CDI hospital management required nearly 2.4 million days of inpatient stay. This review indicates that CDI places a significant financial burden on the US healthcare system. This review adds strong evidence to aid policy-making on adequate resource allocation to CDI prevention and treatment in the US. Future studies should focus on recurrent CDI, CDI in long-term care facilities and persons with comorbidities and indirect cost from a societal perspective. Health-economic studies for CDI preventive intervention are needed.", "author" : [ { "dropping-particle" : "", "family" : "Zhang", "given" : "Shanshan", "non-dropping-particle" : "", "parse-names" : false, "suffix" : "" }, { "dropping-particle" : "", "family" : "Palazuelos-Munoz", "given" : "Sarah", "non-dropping-particle" : "", "parse-names" : false, "suffix" : "" }, { "dropping-particle" : "", "family" : "Balsells", "given" : "Evelyn M.", "non-dropping-particle" : "", "parse-names" : false, "suffix" : "" }, { "dropping-particle" : "", "family" : "Nair", "given" : "Harish", "non-dropping-particle" : "", "parse-names" : false, "suffix" : "" }, { "dropping-particle" : "", "family" : "Chit", "given" : "Ayman", "non-dropping-particle" : "", "parse-names" : false, "suffix" : "" }, { "dropping-particle" : "", "family" : "Kyaw", "given" : "Moe H.", "non-dropping-particle" : "", "parse-names" : false, "suffix" : "" }, { "dropping-particle" : "", "family" : "Crobach", "given" : "M", "non-dropping-particle" : "", "parse-names" : false, "suffix" : "" }, { "dropping-particle" : "", "family" : "Dekkers", "given" : "O", "non-dropping-particle" : "", "parse-names" : false, "suffix" : "" }, { "dropping-particle" : "", "family" : "Wilcox", "given" : "M", "non-dropping-particle" : "", "parse-names" : false, "suffix" : "" }, { "dropping-particle" : "", "family" : "Kuijper", "given" : "E", "non-dropping-particle" : "", "parse-names" : false, "suffix" : "" }, { "dropping-particle" : "", "family" : "Dubberke", "given" : "ER", "non-dropping-particle" : "", "parse-names" : false, "suffix" : "" }, { "dropping-particle" : "", "family" : "Carling", "given" : "P", "non-dropping-particle" : "", "parse-names" : false, "suffix" : "" }, { "dropping-particle" : "", "family" : "Carrico", "given" : "R", "non-dropping-particle" : "", "parse-names" : false, "suffix" : "" }, { "dropping-particle" : "", "family" : "Mylonakis", "given" : "E", "non-dropping-particle" : "", "parse-names" : false, "suffix" : "" }, { "dropping-particle" : "", "family" : "Ryan", "given" : "E", "non-dropping-particle" : "", "parse-names" : false, "suffix" : "" }, { "dropping-particle" : "", "family" : "Calderwood", "given" : "S", "non-dropping-particle" : "", "parse-names" : false, "suffix" : "" }, { "dropping-particle" : "", "family" : "Rubin", "given" : "M", "non-dropping-particle" : "", "parse-names" : false, "suffix" : "" }, { "dropping-particle" : "", "family" : "Bodenstein", "given" : "L", "non-dropping-particle" : "", "parse-names" : false, "suffix" : "" }, { "dropping-particle" : "", "family" : "Kent", "given" : "K", "non-dropping-particle" : "", "parse-names" : false, "suffix" : "" }, { "dropping-particle" : "", "family" : "Triadafilopoulos", "given" : "G", "non-dropping-particle" : "", "parse-names" : false, "suffix" : "" }, { "dropping-particle" : "", "family" : "Hallstone", "given" : "AE", "non-dropping-particle" : "", "parse-names" : false, "suffix" : "" }, { "dropping-particle" : "", "family" : "Sanchez", "given" : "T", "non-dropping-particle" : "", "parse-names" : false, "suffix" : "" }, { "dropping-particle" : "", "family" : "Brooks", "given" : "J", "non-dropping-particle" : "", "parse-names" : false, "suffix" : "" }, { "dropping-particle" : "", "family" : "Sullivan", "given" : "P", "non-dropping-particle" : "", "parse-names" : false, "suffix" : "" }, { "dropping-particle" : "", "family" : "Bilgrami", "given" : "S", "non-dropping-particle" : "", "parse-names" : false, "suffix" : "" }, { "dropping-particle" : "", "family" : "Feingold", "given" : "J", "non-dropping-particle" : "", "parse-names" : false, "suffix" : "" }, { "dropping-particle" : "", "family" : "Dorsky", "given" : "D", "non-dropping-particle" : "", "parse-names" : false, "suffix" : "" }, { "dropping-particle" : "", "family" : "Barbut", "given" : "F", "non-dropping-particle" : "", "parse-names" : false, "suffix" : "" }, { "dropping-particle" : "", "family" : "Corthier", "given" : "G", "non-dropping-particle" : "", "parse-names" : false, "suffix" : "" }, { "dropping-particle" : "", "family" : "Charpak", "given" : "Y", "non-dropping-particle" : "", "parse-names" : false, "suffix" : "" }, { "dropping-particle" : "", "family" : "Cohen", "given" : "S", "non-dropping-particle" : "", "parse-names" : false, "suffix" : "" }, { "dropping-particle" : "", "family" : "Gerding", "given" : "D", "non-dropping-particle" : "", "parse-names" : false, "suffix" : "" }, { "dropping-particle" : "", "family" : "Johnson", "given" : "S", "non-dropping-particle" : "", "parse-names" : false, "suffix" : "" }, { "dropping-particle" : "", "family" : "Bignardi", "given" : "G", "non-dropping-particle" : "", "parse-names" : false, "suffix" : "" }, { "dropping-particle" : "", "family" : "Aseeri", "given" : "M", "non-dropping-particle" : "", "parse-names" : false, "suffix" : "" }, { "dropping-particle" : "", "family" : "Schroeder", "given" : "T", "non-dropping-particle" : "", "parse-names" : false, "suffix" : "" }, { "dropping-particle" : "", "family" : "Kramer", "given" : "J", "non-dropping-particle" : "", "parse-names" : false, "suffix" : "" }, { "dropping-particle" : "", "family" : "Zackula", "given" : "R", "non-dropping-particle" : "", "parse-names" : false, "suffix" : "" }, { "dropping-particle" : "", "family" : "Bauer", "given" : "M", "non-dropping-particle" : "", "parse-names" : false, "suffix" : "" }, { "dropping-particle" : "", "family" : "Notermans", "given" : "D", "non-dropping-particle" : "", "parse-names" : false, "suffix" : "" }, { "dropping-particle" : "", "family" : "Benthem", "given" : "B", "non-dropping-particle" : "", "parse-names" : false, "suffix" : "" }, { "dropping-particle" : "", "family" : "Dubberke", "given" : "ER", "non-dropping-particle" : "", "parse-names" : false, "suffix" : "" }, { "dropping-particle" : "", "family" : "Wertheimer", "given" : "AI", "non-dropping-particle" : "", "parse-names" : false, "suffix" : "" }, { "dropping-particle" : "", "family" : "Dubberke", "given" : "ER", "non-dropping-particle" : "", "parse-names" : false, "suffix" : "" }, { "dropping-particle" : "", "family" : "Olsen", "given" : "MA", "non-dropping-particle" : "", "parse-names" : false, "suffix" : "" }, { "dropping-particle" : "", "family" : "Gabriel", "given" : "L", "non-dropping-particle" : "", "parse-names" : false, "suffix" : "" }, { "dropping-particle" : "", "family" : "Beriot-Mathiot", "given" : "A", "non-dropping-particle" : "", "parse-names" : false, "suffix" : "" }, { "dropping-particle" : "", "family" : "Ghantoji", "given" : "SS", "non-dropping-particle" : "", "parse-names" : false, "suffix" : "" }, { "dropping-particle" : "", "family" : "Sail", "given" : "K", "non-dropping-particle" : "", "parse-names" : false, "suffix" : "" }, { "dropping-particle" : "", "family" : "Lairson", "given" : "DR", "non-dropping-particle" : "", "parse-names" : false, "suffix" : "" }, { "dropping-particle" : "", "family" : "Dupont", "given" : "HL", "non-dropping-particle" : "", "parse-names" : false, "suffix" : "" }, { "dropping-particle" : "", "family" : "Garey", "given" : "KW", "non-dropping-particle" : "", "parse-names" : false, "suffix" : "" }, { "dropping-particle" : "", "family" : "Zimlichman", "given" : "E", "non-dropping-particle" : "", "parse-names" : false, "suffix" : "" }, { "dropping-particle" : "", "family" : "Henderson", "given" : "D", "non-dropping-particle" : "", "parse-names" : false, "suffix" : "" }, { "dropping-particle" : "", "family" : "Tamir", "given" : "O", "non-dropping-particle" : "", "parse-names" : false, "suffix" : "" }, { "dropping-particle" : "", "family" : "Johnson", "given" : "S", "non-dropping-particle" : "", "parse-names" : false, "suffix" : "" }, { "dropping-particle" : "", "family" : "Mergenhagen", "given" : "KA", "non-dropping-particle" : "", "parse-names" : false, "suffix" : "" }, { "dropping-particle" : "", "family" : "Wojciechowski", "given" : "AL", "non-dropping-particle" : "", "parse-names" : false, "suffix" : "" }, { "dropping-particle" : "", "family" : "Paladino", "given" : "JA", "non-dropping-particle" : "", "parse-names" : false, "suffix" : "" }, { "dropping-particle" : "", "family" : "Wiegand", "given" : "PN", "non-dropping-particle" : "", "parse-names" : false, "suffix" : "" }, { "dropping-particle" : "", "family" : "Nathwani", "given" : "D", "non-dropping-particle" : "", "parse-names" : false, "suffix" : "" }, { "dropping-particle" : "", "family" : "Wilcox", "given" : "MH", "non-dropping-particle" : "", "parse-names" : false, "suffix" : "" }, { "dropping-particle" : "", "family" : "Stephens", "given" : "J", "non-dropping-particle" : "", "parse-names" : false, "suffix" : "" }, { "dropping-particle" : "", "family" : "Shelbaya", "given" : "A", "non-dropping-particle" : "", "parse-names" : false, "suffix" : "" }, { "dropping-particle" : "", "family" : "Haider", "given" : "S", "non-dropping-particle" : "", "parse-names" : false, "suffix" : "" }, { "dropping-particle" : "", "family" : "Bouza", "given" : "E", "non-dropping-particle" : "", "parse-names" : false, "suffix" : "" }, { "dropping-particle" : "", "family" : "Jha", "given" : "A", "non-dropping-particle" : "", "parse-names" : false, "suffix" : "" }, { "dropping-particle" : "", "family" : "Chan", "given" : "D", "non-dropping-particle" : "", "parse-names" : false, "suffix" : "" }, { "dropping-particle" : "", "family" : "Ridgway", "given" : "A", "non-dropping-particle" : "", "parse-names" : false, "suffix" : "" }, { "dropping-particle" : "", "family" : "Franz", "given" : "C", "non-dropping-particle" : "", "parse-names" : false, "suffix" : "" }, { "dropping-particle" : "", "family" : "Bates", "given" : "DW", "non-dropping-particle" : "", "parse-names" : false, "suffix" : "" }, { "dropping-particle" : "", "family" : "Lessa", "given" : "FC", "non-dropping-particle" : "", "parse-names" : false, "suffix" : "" }, { "dropping-particle" : "", "family" : "Winston", "given" : "LG", "non-dropping-particle" : "", "parse-names" : false, "suffix" : "" }, { "dropping-particle" : "", "family" : "McDonald", "given" : "LC", "non-dropping-particle" : "", "parse-names" : false, "suffix" : "" }, { "dropping-particle" : "", "family" : "Nanwa", "given" : "N", "non-dropping-particle" : "", "parse-names" : false, "suffix" : "" }, { "dropping-particle" : "", "family" : "Kendzerska", "given" : "T", "non-dropping-particle" : "", "parse-names" : false, "suffix" : "" }, { "dropping-particle" : "", "family" : "Krahn", "given" : "M", "non-dropping-particle" : "", "parse-names" : false, "suffix" : "" }, { "dropping-particle" : "", "family" : "Ali", "given" : "M", "non-dropping-particle" : "", "parse-names" : false, "suffix" : "" }, { "dropping-particle" : "", "family" : "Ananthakrishnan", "given" : "AN", "non-dropping-particle" : "", "parse-names" : false, "suffix" : "" }, { "dropping-particle" : "", "family" : "Ahmad", "given" : "S", "non-dropping-particle" : "", "parse-names" : false, "suffix" : "" }, { "dropping-particle" : "", "family" : "Kumar", "given" : "N", "non-dropping-particle" : "", "parse-names" : false, "suffix" : "" }, { "dropping-particle" : "", "family" : "Kumar", "given" : "G", "non-dropping-particle" : "", "parse-names" : false, "suffix" : "" }, { "dropping-particle" : "", "family" : "Saeian", "given" : "K", "non-dropping-particle" : "", "parse-names" : false, "suffix" : "" }, { "dropping-particle" : "", "family" : "Ananthakrishnan", "given" : "AN", "non-dropping-particle" : "", "parse-names" : false, "suffix" : "" }, { "dropping-particle" : "", "family" : "Mcginley", "given" : "EL", "non-dropping-particle" : "", "parse-names" : false, "suffix" : "" }, { "dropping-particle" : "", "family" : "Binion", "given" : "DG", "non-dropping-particle" : "", "parse-names" : false, "suffix" : "" }, { "dropping-particle" : "", "family" : "Arora", "given" : "V", "non-dropping-particle" : "", "parse-names" : false, "suffix" : "" }, { "dropping-particle" : "", "family" : "Kachroo", "given" : "S", "non-dropping-particle" : "", "parse-names" : false, "suffix" : "" }, { "dropping-particle" : "", "family" : "Ghantoji", "given" : "SS", "non-dropping-particle" : "", "parse-names" : false, "suffix" : "" }, { "dropping-particle" : "", "family" : "Dupont", "given" : "HL", "non-dropping-particle" : "", "parse-names" : false, "suffix" : "" }, { "dropping-particle" : "", "family" : "Garey", "given" : "KW", "non-dropping-particle" : "", "parse-names" : false, "suffix" : "" }, { "dropping-particle" : "", "family" : "Bajaj", "given" : "JS", "non-dropping-particle" : "", "parse-names" : false, "suffix" : "" }, { "dropping-particle" : "", "family" : "Ananthakrishnan", "given" : "AN", "non-dropping-particle" : "", "parse-names" : false, "suffix" : "" }, { "dropping-particle" : "", "family" : "Hafeezullah", "given" : "M", "non-dropping-particle" : "", "parse-names" : false, "suffix" : "" }, { "dropping-particle" : "", "family" : "Campbell", "given" : "R", "non-dropping-particle" : "", "parse-names" : false, "suffix" : "" }, { "dropping-particle" : "", "family" : "Dean", "given" : "B", "non-dropping-particle" : "", "parse-names" : false, "suffix" : "" }, { "dropping-particle" : "", "family" : "Nathanson", "given" : "B", "non-dropping-particle" : "", "parse-names" : false, "suffix" : "" }, { "dropping-particle" : "", "family" : "Haidar", "given" : "T", "non-dropping-particle" : "", "parse-names" : false, "suffix" : "" }, { "dropping-particle" : "", "family" : "Strauss", "given" : "M", "non-dropping-particle" : "", "parse-names" : false, "suffix" : "" }, { "dropping-particle" : "", "family" : "Thomas", "given" : "S", "non-dropping-particle" : "", "parse-names" : false, "suffix" : "" }, { "dropping-particle" : "", "family" : "Damle", "given" : "RN", "non-dropping-particle" : "", "parse-names" : false, "suffix" : "" }, { "dropping-particle" : "", "family" : "Cherng", "given" : "NB", "non-dropping-particle" : "", "parse-names" : false, "suffix" : "" }, { "dropping-particle" : "", "family" : "Flahive", "given" : "JM", "non-dropping-particle" : "", "parse-names" : false, "suffix" : "" }, { "dropping-particle" : "", "family" : "Dubberke", "given" : "ER", "non-dropping-particle" : "", "parse-names" : false, "suffix" : "" }, { "dropping-particle" : "", "family" : "Reske", "given" : "KA", "non-dropping-particle" : "", "parse-names" : false, "suffix" : "" }, { "dropping-particle" : "", "family" : "Olsen", "given" : "MA", "non-dropping-particle" : "", "parse-names" : false, "suffix" : "" }, { "dropping-particle" : "", "family" : "McDonald", "given" : "LC", "non-dropping-particle" : "", "parse-names" : false, "suffix" : "" }, { "dropping-particle" : "", "family" : "Fraser", "given" : "VJ", "non-dropping-particle" : "", "parse-names" : false, "suffix" : "" }, { "dropping-particle" : "", "family" : "Dubberke", "given" : "ER", "non-dropping-particle" : "", "parse-names" : false, "suffix" : "" }, { "dropping-particle" : "", "family" : "Schaefer", "given" : "E", "non-dropping-particle" : "", "parse-names" : false, "suffix" : "" }, { "dropping-particle" : "", "family" : "Reske", "given" : "KA", "non-dropping-particle" : "", "parse-names" : false, "suffix" : "" }, { "dropping-particle" : "", "family" : "Zilberberg", "given" : "M", "non-dropping-particle" : "", "parse-names" : false, "suffix" : "" }, { "dropping-particle" : "", "family" : "Hollenbeak", "given" : "CS", "non-dropping-particle" : "", "parse-names" : false, "suffix" : "" }, { "dropping-particle" : "", "family" : "Olsen", "given" : "MA", "non-dropping-particle" : "", "parse-names" : false, "suffix" : "" }, { "dropping-particle" : "", "family" : "Egorova", "given" : "NN", "non-dropping-particle" : "", "parse-names" : false, "suffix" : "" }, { "dropping-particle" : "", "family" : "Siracuse", "given" : "JJ", "non-dropping-particle" : "", "parse-names" : false, "suffix" : "" }, { "dropping-particle" : "", "family" : "Mckinsey", "given" : "JF", "non-dropping-particle" : "", "parse-names" : false, "suffix" : "" }, { "dropping-particle" : "", "family" : "Nowygrod", "given" : "R", "non-dropping-particle" : "", "parse-names" : false, "suffix" : "" }, { "dropping-particle" : "", "family" : "Flagg", "given" : "A", "non-dropping-particle" : "", "parse-names" : false, "suffix" : "" }, { "dropping-particle" : "", "family" : "Koch", "given" : "CG", "non-dropping-particle" : "", "parse-names" : false, "suffix" : "" }, { "dropping-particle" : "", "family" : "Schiltz", "given" : "N", "non-dropping-particle" : "", "parse-names" : false, "suffix" : "" }, { "dropping-particle" : "", "family" : "Fuller", "given" : "RL", "non-dropping-particle" : "", "parse-names" : false, "suffix" : "" }, { "dropping-particle" : "", "family" : "McCullough", "given" : "EC", "non-dropping-particle" : "", "parse-names" : false, "suffix" : "" }, { "dropping-particle" : "", "family" : "Bao", "given" : "MZ", "non-dropping-particle" : "", "parse-names" : false, "suffix" : "" }, { "dropping-particle" : "", "family" : "Averill", "given" : "RF", "non-dropping-particle" : "", "parse-names" : false, "suffix" : "" }, { "dropping-particle" : "", "family" : "Glance", "given" : "LG", "non-dropping-particle" : "", "parse-names" : false, "suffix" : "" }, { "dropping-particle" : "", "family" : "Stone", "given" : "PW", "non-dropping-particle" : "", "parse-names" : false, "suffix" : "" }, { "dropping-particle" : "", "family" : "Mukamel", "given" : "DB", "non-dropping-particle" : "", "parse-names" : false, "suffix" : "" }, { "dropping-particle" : "", "family" : "Dick", "given" : "AW", "non-dropping-particle" : "", "parse-names" : false, "suffix" : "" }, { "dropping-particle" : "", "family" : "Jiang", "given" : "Y", "non-dropping-particle" : "", "parse-names" : false, "suffix" : "" }, { "dropping-particle" : "", "family" : "Viner-Brown", "given" : "S", "non-dropping-particle" : "", "parse-names" : false, "suffix" : "" }, { "dropping-particle" : "", "family" : "Baier", "given" : "R", "non-dropping-particle" : "", "parse-names" : false, "suffix" : "" }, { "dropping-particle" : "", "family" : "Kim", "given" : "SP", "non-dropping-particle" : "", "parse-names" : false, "suffix" : "" }, { "dropping-particle" : "", "family" : "Shah", "given" : "ND", "non-dropping-particle" : "", "parse-names" : false, "suffix" : "" }, { "dropping-particle" : "", "family" : "Karnes", "given" : "RJ", "non-dropping-particle" : "", "parse-names" : false, "suffix" : "" }, { "dropping-particle" : "", "family" : "Kuntz", "given" : "JL", "non-dropping-particle" : "", "parse-names" : false, "suffix" : "" }, { "dropping-particle" : "", "family" : "Johnson", "given" : "ES", "non-dropping-particle" : "", "parse-names" : false, "suffix" : "" }, { "dropping-particle" : "", "family" : "Raebel", "given" : "MA", "non-dropping-particle" : "", "parse-names" : false, "suffix" : "" }, { "dropping-particle" : "", "family" : "Lagu", "given" : "T", "non-dropping-particle" : "", "parse-names" : false, "suffix" : "" }, { "dropping-particle" : "", "family" : "Stefan", "given" : "MS", "non-dropping-particle" : "", "parse-names" : false, "suffix" : "" }, { "dropping-particle" : "", "family" : "Haessler", "given" : "S", "non-dropping-particle" : "", "parse-names" : false, "suffix" : "" }, { "dropping-particle" : "", "family" : "Lemaire", "given" : "A", "non-dropping-particle" : "", "parse-names" : false, "suffix" : "" }, { "dropping-particle" : "", "family" : "Dombrovskiy", "given" : "V", "non-dropping-particle" : "", "parse-names" : false, "suffix" : "" }, { "dropping-particle" : "", "family" : "Batsides", "given" : "G", "non-dropping-particle" : "", "parse-names" : false, "suffix" : "" }, { "dropping-particle" : "", "family" : "Lawrence", "given" : "SJ", "non-dropping-particle" : "", "parse-names" : false, "suffix" : "" }, { "dropping-particle" : "", "family" : "Puzniak", "given" : "LA", "non-dropping-particle" : "", "parse-names" : false, "suffix" : "" }, { "dropping-particle" : "", "family" : "Shadel", "given" : "BN", "non-dropping-particle" : "", "parse-names" : false, "suffix" : "" }, { "dropping-particle" : "", "family" : "Gillespie", "given" : "KN", "non-dropping-particle" : "", "parse-names" : false, "suffix" : "" }, { "dropping-particle" : "", "family" : "Kollef", "given" : "MH", "non-dropping-particle" : "", "parse-names" : false, "suffix" : "" }, { "dropping-particle" : "", "family" : "Mundy", "given" : "LM", "non-dropping-particle" : "", "parse-names" : false, "suffix" : "" }, { "dropping-particle" : "", "family" : "Lesperance", "given" : "K", "non-dropping-particle" : "", "parse-names" : false, "suffix" : "" }, { "dropping-particle" : "", "family" : "Causey", "given" : "MW", "non-dropping-particle" : "", "parse-names" : false, "suffix" : "" }, { "dropping-particle" : "", "family" : "Spencer", "given" : "M", "non-dropping-particle" : "", "parse-names" : false, "suffix" : "" }, { "dropping-particle" : "", "family" : "Steele", "given" : "SR", "non-dropping-particle" : "", "parse-names" : false, "suffix" : "" }, { "dropping-particle" : "", "family" : "Lipp", "given" : "MJ", "non-dropping-particle" : "", "parse-names" : false, "suffix" : "" }, { "dropping-particle" : "", "family" : "Nero", "given" : "DC", "non-dropping-particle" : "", "parse-names" : false, "suffix" : "" }, { "dropping-particle" : "", "family" : "Callahan", "given" : "MA", "non-dropping-particle" : "", "parse-names" : false, "suffix" : "" }, { "dropping-particle" : "", "family" : "Maltenfort", "given" : "MG", "non-dropping-particle" : "", "parse-names" : false, "suffix" : "" }, { "dropping-particle" : "", "family" : "Rasouli", "given" : "MR", "non-dropping-particle" : "", "parse-names" : false, "suffix" : "" }, { "dropping-particle" : "", "family" : "Morrison", "given" : "TA", "non-dropping-particle" : "", "parse-names" : false, "suffix" : "" }, { "dropping-particle" : "", "family" : "Parvizi", "given" : "J", "non-dropping-particle" : "", "parse-names" : false, "suffix" : "" }, { "dropping-particle" : "", "family" : "Mcglone", "given" : "SM", "non-dropping-particle" : "", "parse-names" : false, "suffix" : "" }, { "dropping-particle" : "", "family" : "Bailey", "given" : "RR", "non-dropping-particle" : "", "parse-names" : false, "suffix" : "" }, { "dropping-particle" : "", "family" : "Zimmer", "given" : "SM", "non-dropping-particle" : "", "parse-names" : false, "suffix" : "" }, { "dropping-particle" : "", "family" : "Nguyen", "given" : "GC", "non-dropping-particle" : "", "parse-names" : false, "suffix" : "" }, { "dropping-particle" : "", "family" : "Kaplan", "given" : "GG", "non-dropping-particle" : "", "parse-names" : false, "suffix" : "" }, { "dropping-particle" : "", "family" : "Harris", "given" : "ML", "non-dropping-particle" : "", "parse-names" : false, "suffix" : "" }, { "dropping-particle" : "", "family" : "Brant", "given" : "SR", "non-dropping-particle" : "", "parse-names" : false, "suffix" : "" }, { "dropping-particle" : "", "family" : "Nylund", "given" : "CM", "non-dropping-particle" : "", "parse-names" : false, "suffix" : "" }, { "dropping-particle" : "", "family" : "Goudie", "given" : "A", "non-dropping-particle" : "", "parse-names" : false, "suffix" : "" }, { "dropping-particle" : "", "family" : "Garza", "given" : "JM", "non-dropping-particle" : "", "parse-names" : false, "suffix" : "" }, { "dropping-particle" : "", "family" : "Fairbrother", "given" : "G", "non-dropping-particle" : "", "parse-names" : false, "suffix" : "" }, { "dropping-particle" : "", "family" : "Cohen", "given" : "MB", "non-dropping-particle" : "", "parse-names" : false, "suffix" : "" }, { "dropping-particle" : "", "family" : "O\u2019Brien", "given" : "JA", "non-dropping-particle" : "", "parse-names" : false, "suffix" : "" }, { "dropping-particle" : "", "family" : "Lahue", "given" : "BJ", "non-dropping-particle" : "", "parse-names" : false, "suffix" : "" }, { "dropping-particle" : "", "family" : "Caro", "given" : "JJ", "non-dropping-particle" : "", "parse-names" : false, "suffix" : "" }, { "dropping-particle" : "", "family" : "Davidson", "given" : "DM", "non-dropping-particle" : "", "parse-names" : false, "suffix" : "" }, { "dropping-particle" : "", "family" : "Pakyz", "given" : "A", "non-dropping-particle" : "", "parse-names" : false, "suffix" : "" }, { "dropping-particle" : "", "family" : "Carroll", "given" : "NV", "non-dropping-particle" : "", "parse-names" : false, "suffix" : "" }, { "dropping-particle" : "", "family" : "Harpe", "given" : "SE", "non-dropping-particle" : "", "parse-names" : false, "suffix" : "" }, { "dropping-particle" : "", "family" : "Oinonen", "given" : "M", "non-dropping-particle" : "", "parse-names" : false, "suffix" : "" }, { "dropping-particle" : "", "family" : "Polk", "given" : "RE", "non-dropping-particle" : "", "parse-names" : false, "suffix" : "" }, { "dropping-particle" : "", "family" : "Pant", "given" : "C", "non-dropping-particle" : "", "parse-names" : false, "suffix" : "" }, { "dropping-particle" : "", "family" : "Anderson", "given" : "MP", "non-dropping-particle" : "", "parse-names" : false, "suffix" : "" }, { "dropping-particle" : "", "family" : "O\u2019Connor", "given" : "JA", "non-dropping-particle" : "", "parse-names" : false, "suffix" : "" }, { "dropping-particle" : "", "family" : "Marshall", "given" : "CM", "non-dropping-particle" : "", "parse-names" : false, "suffix" : "" }, { "dropping-particle" : "", "family" : "Deshpande", "given" : "A", "non-dropping-particle" : "", "parse-names" : false, "suffix" : "" }, { "dropping-particle" : "", "family" : "Sferra", "given" : "TJ", "non-dropping-particle" : "", "parse-names" : false, "suffix" : "" }, { "dropping-particle" : "", "family" : "Pant", "given" : "C", "non-dropping-particle" : "", "parse-names" : false, "suffix" : "" }, { "dropping-particle" : "", "family" : "Deshpande", "given" : "A", "non-dropping-particle" : "", "parse-names" : false, "suffix" : "" }, { "dropping-particle" : "", "family" : "Anderson", "given" : "MP", "non-dropping-particle" : "", "parse-names" : false, "suffix" : "" }, { "dropping-particle" : "", "family" : "Sferra", "given" : "TJ", "non-dropping-particle" : "", "parse-names" : false, "suffix" : "" }, { "dropping-particle" : "", "family" : "Pant", "given" : "C", "non-dropping-particle" : "", "parse-names" : false, "suffix" : "" }, { "dropping-particle" : "", "family" : "Anderson", "given" : "MP", "non-dropping-particle" : "", "parse-names" : false, "suffix" : "" }, { "dropping-particle" : "", "family" : "Deshpande", "given" : "A", "non-dropping-particle" : "", "parse-names" : false, "suffix" : "" }, { "dropping-particle" : "", "family" : "Peery", "given" : "AF", "non-dropping-particle" : "", "parse-names" : false, "suffix" : "" }, { "dropping-particle" : "", "family" : "Dellon", "given" : "ES", "non-dropping-particle" : "", "parse-names" : false, "suffix" : "" }, { "dropping-particle" : "", "family" : "Lund", "given" : "J", "non-dropping-particle" : "", "parse-names" : false, "suffix" : "" }, { "dropping-particle" : "", "family" : "Quimbo", "given" : "RA", "non-dropping-particle" : "", "parse-names" : false, "suffix" : "" }, { "dropping-particle" : "", "family" : "Palli", "given" : "SR", "non-dropping-particle" : "", "parse-names" : false, "suffix" : "" }, { "dropping-particle" : "", "family" : "Singer", "given" : "J", "non-dropping-particle" : "", "parse-names" : false, "suffix" : "" }, { "dropping-particle" : "", "family" : "Strauss", "given" : "ME", "non-dropping-particle" : "", "parse-names" : false, "suffix" : "" }, { "dropping-particle" : "", "family" : "Thomas", "given" : "SM", "non-dropping-particle" : "", "parse-names" : false, "suffix" : "" }, { "dropping-particle" : "", "family" : "Reed", "given" : "IJF", "non-dropping-particle" : "", "parse-names" : false, "suffix" : "" }, { "dropping-particle" : "", "family" : "Edris", "given" : "BA", "non-dropping-particle" : "", "parse-names" : false, "suffix" : "" }, { "dropping-particle" : "", "family" : "Eid", "given" : "S", "non-dropping-particle" : "", "parse-names" : false, "suffix" : "" }, { "dropping-particle" : "", "family" : "Molitoris", "given" : "A", "non-dropping-particle" : "", "parse-names" : false, "suffix" : "" }, { "dropping-particle" : "", "family" : "Sammons", "given" : "JS", "non-dropping-particle" : "", "parse-names" : false, "suffix" : "" }, { "dropping-particle" : "", "family" : "Localio", "given" : "R", "non-dropping-particle" : "", "parse-names" : false, "suffix" : "" }, { "dropping-particle" : "", "family" : "Xiao", "given" : "R", "non-dropping-particle" : "", "parse-names" : false, "suffix" : "" }, { "dropping-particle" : "", "family" : "Coffin", "given" : "SE", "non-dropping-particle" : "", "parse-names" : false, "suffix" : "" }, { "dropping-particle" : "", "family" : "Zaoutis", "given" : "T", "non-dropping-particle" : "", "parse-names" : false, "suffix" : "" }, { "dropping-particle" : "", "family" : "Singal", "given" : "AK", "non-dropping-particle" : "", "parse-names" : false, "suffix" : "" }, { "dropping-particle" : "", "family" : "Salameh", "given" : "H", "non-dropping-particle" : "", "parse-names" : false, "suffix" : "" }, { "dropping-particle" : "", "family" : "Kamath", "given" : "PS", "non-dropping-particle" : "", "parse-names" : false, "suffix" : "" }, { "dropping-particle" : "", "family" : "Song", "given" : "X", "non-dropping-particle" : "", "parse-names" : false, "suffix" : "" }, { "dropping-particle" : "", "family" : "Bartlett", "given" : "JG", "non-dropping-particle" : "", "parse-names" : false, "suffix" : "" }, { "dropping-particle" : "", "family" : "Speck", "given" : "K", "non-dropping-particle" : "", "parse-names" : false, "suffix" : "" }, { "dropping-particle" : "", "family" : "Naegeli", "given" : "A", "non-dropping-particle" : "", "parse-names" : false, "suffix" : "" }, { "dropping-particle" : "", "family" : "Carroll", "given" : "K", "non-dropping-particle" : "", "parse-names" : false, "suffix" : "" }, { "dropping-particle" : "", "family" : "Perl", "given" : "TM", "non-dropping-particle" : "", "parse-names" : false, "suffix" : "" }, { "dropping-particle" : "", "family" : "Stewart", "given" : "DB", "non-dropping-particle" : "", "parse-names" : false, "suffix" : "" }, { "dropping-particle" : "", "family" : "Hollenbeak", "given" : "CS", "non-dropping-particle" : "", "parse-names" : false, "suffix" : "" }, { "dropping-particle" : "", "family" : "Tabak", "given" : "YP", "non-dropping-particle" : "", "parse-names" : false, "suffix" : "" }, { "dropping-particle" : "", "family" : "Zilberberg", "given" : "MD", "non-dropping-particle" : "", "parse-names" : false, "suffix" : "" }, { "dropping-particle" : "", "family" : "Johannes", "given" : "RS", "non-dropping-particle" : "", "parse-names" : false, "suffix" : "" }, { "dropping-particle" : "", "family" : "Sun", "given" : "X", "non-dropping-particle" : "", "parse-names" : false, "suffix" : "" }, { "dropping-particle" : "", "family" : "McDonald", "given" : "LC", "non-dropping-particle" : "", "parse-names" : false, "suffix" : "" }, { "dropping-particle" : "", "family" : "Verlee", "given" : "KE", "non-dropping-particle" : "", "parse-names" : false, "suffix" : "" }, { "dropping-particle" : "", "family" : "Finks", "given" : "JL", "non-dropping-particle" : "", "parse-names" : false, "suffix" : "" }, { "dropping-particle" : "", "family" : "Wilkins", "given" : "MJ", "non-dropping-particle" : "", "parse-names" : false, "suffix" : "" }, { "dropping-particle" : "", "family" : "Wells", "given" : "EV", "non-dropping-particle" : "", "parse-names" : false, "suffix" : "" }, { "dropping-particle" : "", "family" : "Wang", "given" : "L", "non-dropping-particle" : "", "parse-names" : false, "suffix" : "" }, { "dropping-particle" : "", "family" : "Stewart", "given" : "DB", "non-dropping-particle" : "", "parse-names" : false, "suffix" : "" }, { "dropping-particle" : "", "family" : "Wilson", "given" : "MZ", "non-dropping-particle" : "", "parse-names" : false, "suffix" : "" }, { "dropping-particle" : "", "family" : "Hollenbeak", "given" : "CS", "non-dropping-particle" : "", "parse-names" : false, "suffix" : "" }, { "dropping-particle" : "", "family" : "Stewart", "given" : "DB", "non-dropping-particle" : "", "parse-names" : false, "suffix" : "" }, { "dropping-particle" : "", "family" : "Zerey", "given" : "M", "non-dropping-particle" : "", "parse-names" : false, "suffix" : "" }, { "dropping-particle" : "", "family" : "Paton", "given" : "BL", "non-dropping-particle" : "", "parse-names" : false, "suffix" : "" }, { "dropping-particle" : "", "family" : "Lincourt", "given" : "AE", "non-dropping-particle" : "", "parse-names" : false, "suffix" : "" }, { "dropping-particle" : "", "family" : "Gersin", "given" : "KS", "non-dropping-particle" : "", "parse-names" : false, "suffix" : "" }, { "dropping-particle" : "", "family" : "Kercher", "given" : "KW", "non-dropping-particle" : "", "parse-names" : false, "suffix" : "" }, { "dropping-particle" : "", "family" : "Heniford", "given" : "BT", "non-dropping-particle" : "", "parse-names" : false, "suffix" : "" }, { "dropping-particle" : "", "family" : "Zilberberg", "given" : "MD", "non-dropping-particle" : "", "parse-names" : false, "suffix" : "" }, { "dropping-particle" : "", "family" : "Nathanson", "given" : "BH", "non-dropping-particle" : "", "parse-names" : false, "suffix" : "" }, { "dropping-particle" : "", "family" : "Sadigov", "given" : "S", "non-dropping-particle" : "", "parse-names" : false, "suffix" : "" }, { "dropping-particle" : "", "family" : "Higgins", "given" : "TL", "non-dropping-particle" : "", "parse-names" : false, "suffix" : "" }, { "dropping-particle" : "", "family" : "Kollef", "given" : "MH", "non-dropping-particle" : "", "parse-names" : false, "suffix" : "" }, { "dropping-particle" : "", "family" : "Shorr", "given" : "AF", "non-dropping-particle" : "", "parse-names" : false, "suffix" : "" }, { "dropping-particle" : "", "family" : "Kyne", "given" : "L", "non-dropping-particle" : "", "parse-names" : false, "suffix" : "" }, { "dropping-particle" : "", "family" : "Hamel", "given" : "M", "non-dropping-particle" : "", "parse-names" : false, "suffix" : "" }, { "dropping-particle" : "", "family" : "Polavaram", "given" : "R", "non-dropping-particle" : "", "parse-names" : false, "suffix" : "" }, { "dropping-particle" : "", "family" : "Kelly", "given" : "C", "non-dropping-particle" : "", "parse-names" : false, "suffix" : "" }, { "dropping-particle" : "", "family" : "Angelis", "given" : "G", "non-dropping-particle" : "", "parse-names" : false, "suffix" : "" }, { "dropping-particle" : "", "family" : "Murthy", "given" : "AR", "non-dropping-particle" : "", "parse-names" : false, "suffix" : "" }, { "dropping-particle" : "", "family" : "Beyersmann", "given" : "J", "non-dropping-particle" : "", "parse-names" : false, "suffix" : "" }, { "dropping-particle" : "", "family" : "Harbarth", "given" : "S", "non-dropping-particle" : "", "parse-names" : false, "suffix" : "" }, { "dropping-particle" : "", "family" : "Dubberke", "given" : "E", "non-dropping-particle" : "", "parse-names" : false, "suffix" : "" }, { "dropping-particle" : "", "family" : "Carling", "given" : "P", "non-dropping-particle" : "", "parse-names" : false, "suffix" : "" }, { "dropping-particle" : "", "family" : "Carrico", "given" : "R", "non-dropping-particle" : "", "parse-names" : false, "suffix" : "" }, { "dropping-particle" : "", "family" : "Foglia", "given" : "G", "non-dropping-particle" : "", "parse-names" : false, "suffix" : "" }, { "dropping-particle" : "", "family" : "Shah", "given" : "S", "non-dropping-particle" : "", "parse-names" : false, "suffix" : "" }, { "dropping-particle" : "", "family" : "Luxemburger", "given" : "C", "non-dropping-particle" : "", "parse-names" : false, "suffix" : "" }, { "dropping-particle" : "", "family" : "Pietrobon", "given" : "PJF", "non-dropping-particle" : "", "parse-names" : false, "suffix" : "" } ], "container-title" : "BMC Infectious Diseases", "id" : "ITEM-2", "issue" : "1", "issued" : { "date-parts" : [ [ "2016" ] ] }, "page" : "447", "publisher" : "BMC Infectious Diseases", "title" : "Cost of hospital management of Clostridium difficile infection in United States\u2014a meta-analysis and modelling study", "type" : "article-journal", "volume" : "16" }, "uris" : [ "http://www.mendeley.com/documents/?uuid=5f760f23-4ae0-43ca-8f0b-67c11eed44d4" ] }, { "id" : "ITEM-3", "itemData" : { "DOI" : "10.1016/j.jhin.2014.04.011", "ISBN" : "1532-2939 (Electronic)\\r0195-6701 (Linking)", "ISSN" : "15322939", "PMID" : "24996516", "abstract" : "In most healthcare systems, third-party payers fund the costs for patients admitted to hospital for Clostridium difficile infection (CDI) whereas, for CDI cases arising as complications of hospitalization, not all related costs are refundable to the hospital. We therefore aimed to critically review and categorize hospital costs and length of hospital stay (LOS) attributable to Clostridium difficile infection and to investigate the economic burden associated with it. A comprehensive literature review selected papers describing the costs and LOS for hospitalized patients as outcomes of CDI, following the use of statisticsto identify costs and LOS solely attributable to CDI. Twenty-four studies were selected. Estimated attributable costs, all ranges expressed in US dollars, were $6,774-$10,212 for CDI requiring admission, $2,992-$29,000 for hospital-acquired CDI, and $2,454-$12,850 where no categorization was made. The ranges for LOS values were 5-13.6, 2.7-21.3, and 2.8-17.9 days, respectively. The categorization of CDI attributable costs allows budget holders to anticipate the cost per CDI case, a perspective that should enrich the design of appropriate incentives for the various budget holders to invest in prevention so that CDI prevention is optimized globally. ?? 2014 The Healthcare Infection Society.", "author" : [ { "dropping-particle" : "", "family" : "Gabriel", "given" : "L.", "non-dropping-particle" : "", "parse-names" : false, "suffix" : "" }, { "dropping-particle" : "", "family" : "Beriot-Mathiot", "given" : "A.", "non-dropping-particle" : "", "parse-names" : false, "suffix" : "" } ], "container-title" : "Journal of Hospital Infection", "id" : "ITEM-3", "issue" : "1", "issued" : { "date-parts" : [ [ "2014" ] ] }, "page" : "12-21", "publisher" : "Elsevier Ltd", "title" : "Hospitalization stay and costs attributable to Clostridium difficile infection: A critical review", "type" : "article-journal", "volume" : "88" }, "uris" : [ "http://www.mendeley.com/documents/?uuid=4cff00f0-7c90-4a16-9e07-102871cb16ae" ] } ], "mendeley" : { "formattedCitation" : "\\autocite{Gabriel2014,Ghantoji2010,Zhang2016}", "plainTextFormattedCitation" : "\\autocite{Gabriel2014,Ghantoji2010,Zhang2016}", "previouslyFormattedCitation" : "&lt;sup&gt;4\u20136&lt;/sup&gt;" }, "properties" : { "noteIndex" : 0 }, "schema" : "https://github.com/citation-style-language/schema/raw/master/csl-citation.json" }</w:instrText>
      </w:r>
      <w:r w:rsidR="00CA628B">
        <w:fldChar w:fldCharType="separate"/>
      </w:r>
      <w:r w:rsidR="00717812" w:rsidRPr="00717812">
        <w:rPr>
          <w:noProof/>
        </w:rPr>
        <w:t>\autocite{Gabriel2014,Ghantoji2010,Zhang2016}</w:t>
      </w:r>
      <w:r w:rsidR="00CA628B">
        <w:fldChar w:fldCharType="end"/>
      </w:r>
      <w:r w:rsidR="00CA628B">
        <w:t xml:space="preserve"> </w:t>
      </w:r>
      <w:r w:rsidR="00581754">
        <w:t>G</w:t>
      </w:r>
      <w:r w:rsidR="00996344">
        <w:t xml:space="preserve">iven </w:t>
      </w:r>
      <w:r w:rsidR="00245344">
        <w:t xml:space="preserve">the </w:t>
      </w:r>
      <w:r w:rsidR="00996344">
        <w:t>high hospital</w:t>
      </w:r>
      <w:r w:rsidR="00FB45BE">
        <w:t>-to-</w:t>
      </w:r>
      <w:r w:rsidR="00996344">
        <w:t>hospital</w:t>
      </w:r>
      <w:r w:rsidR="003628CD">
        <w:t xml:space="preserve"> </w:t>
      </w:r>
      <w:r w:rsidR="00996344">
        <w:t>variability</w:t>
      </w:r>
      <w:r w:rsidR="00FB45BE">
        <w:t xml:space="preserve"> </w:t>
      </w:r>
      <w:r w:rsidR="00245344">
        <w:t>of</w:t>
      </w:r>
      <w:r w:rsidR="00FB45BE">
        <w:t xml:space="preserve"> </w:t>
      </w:r>
      <w:r w:rsidR="004F1901">
        <w:t>these</w:t>
      </w:r>
      <w:r w:rsidR="00FB45BE">
        <w:t xml:space="preserve"> costs</w:t>
      </w:r>
      <w:r w:rsidR="001F06C6">
        <w:t>,</w:t>
      </w:r>
      <w:r w:rsidR="00996344">
        <w:fldChar w:fldCharType="begin" w:fldLock="1"/>
      </w:r>
      <w:r w:rsidR="00717812">
        <w:instrText>ADDIN CSL_CITATION { "citationItems" : [ { "id" : "ITEM-1", "itemData" : { "DOI" : "10.1017/ice.2015.132", "ISBN" : "1559-6834", "ISSN" : "1559-6834", "PMID" : "26006153", "abstract" : "BACKGROUND Standard estimates of the impact of Clostridium difficile infections (CDI) on inpatient lengths of stay (LOS) may overstate inpatient care costs attributable to CDI. In this study, we used multistate modeling (MSM) of CDI timing to reduce bias in estimates of excess LOS. METHODS A retrospective cohort study of all hospitalizations at any of 120 acute care facilities within the US Department of Veterans Affairs (VA) between 2005 and 2012 was conducted. We estimated the excess LOS attributable to CDI using an MSM to address time-dependent bias. Bootstrapping was used to generate 95% confidence intervals (CI). These estimates were compared to unadjusted differences in mean LOS for hospitalizations with and without CDI. RESULTS During the study period, there were 3.96 million hospitalizations and 43,540 CDIs. A comparison of unadjusted means suggested an excess LOS of 14.0 days (19.4 vs 5.4 days). In contrast, the MSM estimated an attributable LOS of only 2.27 days (95% CI, 2.14-2.40). The excess LOS for mild-to-moderate CDI was 0.75 days (95% CI, 0.59-0.89), and for severe CDI, it was 4.11 days (95% CI, 3.90-4.32). Substantial variation across the Veteran Integrated Services Networks (VISN) was observed. CONCLUSIONS CDI significantly contributes to LOS, but the magnitude of its estimated impact is smaller when methods are used that account for the time-varying nature of infection. The greatest impact on LOS occurred among patients with severe CDI. Significant geographic variability was observed. MSM is a useful tool for obtaining more accurate estimates of the inpatient care costs of CDI. Infect. Control Hosp. Epidemiol. 2015;00(0):1-7.", "author" : [ { "dropping-particle" : "", "family" : "Stevens", "given" : "Vanessa W", "non-dropping-particle" : "", "parse-names" : false, "suffix" : "" }, { "dropping-particle" : "", "family" : "Khader", "given" : "Karim", "non-dropping-particle" : "", "parse-names" : false, "suffix" : "" }, { "dropping-particle" : "", "family" : "Nelson", "given" : "Richard E", "non-dropping-particle" : "", "parse-names" : false, "suffix" : "" }, { "dropping-particle" : "", "family" : "Jones", "given" : "Makoto", "non-dropping-particle" : "", "parse-names" : false, "suffix" : "" }, { "dropping-particle" : "", "family" : "Rubin", "given" : "Michael a", "non-dropping-particle" : "", "parse-names" : false, "suffix" : "" }, { "dropping-particle" : "", "family" : "Brown", "given" : "Kevin a", "non-dropping-particle" : "", "parse-names" : false, "suffix" : "" }, { "dropping-particle" : "", "family" : "Evans", "given" : "Martin E", "non-dropping-particle" : "", "parse-names" : false, "suffix" : "" }, { "dropping-particle" : "", "family" : "Greene", "given" : "Tom", "non-dropping-particle" : "", "parse-names" : false, "suffix" : "" }, { "dropping-particle" : "", "family" : "Slade", "given" : "Eric", "non-dropping-particle" : "", "parse-names" : false, "suffix" : "" }, { "dropping-particle" : "", "family" : "Samore", "given" : "Matthew H", "non-dropping-particle" : "", "parse-names" : false, "suffix" : "" } ], "container-title" : "Infection control and hospital epidemiology", "id" : "ITEM-1", "issue" : "Cdi", "issued" : { "date-parts" : [ [ "2015" ] ] }, "page" : "1-7", "title" : "Excess Length of Stay Attributable to Clostridium difficile Infection (CDI) in the Acute Care Setting: A Multistate Model.", "type" : "article-journal", "volume" : "36" }, "uris" : [ "http://www.mendeley.com/documents/?uuid=48762d07-8992-4ffd-a6c6-cae69631360e" ] }, { "id" : "ITEM-2", "itemData" : { "DOI" : "10.1097/EDE.0000000000000119", "ISBN" : "0000000000000", "ISSN" : "1044-3983", "author" : [ { "dropping-particle" : "", "family" : "Lofgren", "given" : "Eric T.", "non-dropping-particle" : "", "parse-names" : false, "suffix" : "" }, { "dropping-particle" : "", "family" : "Cole", "given" : "Stephen R.", "non-dropping-particle" : "", "parse-names" : false, "suffix" : "" }, { "dropping-particle" : "", "family" : "Weber", "given" : "David J.", "non-dropping-particle" : "", "parse-names" : false, "suffix" : "" }, { "dropping-particle" : "", "family" : "Anderson", "given" : "Deverick J.", "non-dropping-particle" : "", "parse-names" : false, "suffix" : "" }, { "dropping-particle" : "", "family" : "Moehring", "given" : "Rebekah W.", "non-dropping-particle" : "", "parse-names" : false, "suffix" : "" } ], "container-title" : "Epidemiology", "id" : "ITEM-2", "issue" : "4", "issued" : { "date-parts" : [ [ "2014" ] ] }, "page" : "570-575", "title" : "Hospital-Acquired Clostridium difficile Infections", "type" : "article-journal", "volume" : "25" }, "uris" : [ "http://www.mendeley.com/documents/?uuid=ec578068-720e-4ff2-84d5-ca3817990306" ] } ], "mendeley" : { "formattedCitation" : "\\autocite{Lofgren2014,Stevens2015}", "plainTextFormattedCitation" : "\\autocite{Lofgren2014,Stevens2015}", "previouslyFormattedCitation" : "&lt;sup&gt;7,8&lt;/sup&gt;" }, "properties" : { "noteIndex" : 0 }, "schema" : "https://github.com/citation-style-language/schema/raw/master/csl-citation.json" }</w:instrText>
      </w:r>
      <w:r w:rsidR="00996344">
        <w:fldChar w:fldCharType="separate"/>
      </w:r>
      <w:r w:rsidR="00717812" w:rsidRPr="00717812">
        <w:rPr>
          <w:noProof/>
        </w:rPr>
        <w:t>\autocite{Lofgren2014,Stevens2015}</w:t>
      </w:r>
      <w:r w:rsidR="00996344">
        <w:fldChar w:fldCharType="end"/>
      </w:r>
      <w:r w:rsidR="001F06C6">
        <w:t xml:space="preserve"> </w:t>
      </w:r>
      <w:r w:rsidR="006A25AB">
        <w:t>infection control officers, hospital administrators, and clinicians would b</w:t>
      </w:r>
      <w:r w:rsidR="00FE0712">
        <w:t xml:space="preserve">enefit from </w:t>
      </w:r>
      <w:r w:rsidR="00BE3E34">
        <w:t xml:space="preserve">estimates </w:t>
      </w:r>
      <w:r w:rsidR="00D17232">
        <w:t>tailored</w:t>
      </w:r>
      <w:r w:rsidR="00BE3E34">
        <w:t xml:space="preserve"> </w:t>
      </w:r>
      <w:r w:rsidR="00D17232">
        <w:t>to</w:t>
      </w:r>
      <w:r w:rsidR="00BE3E34">
        <w:t xml:space="preserve"> their particular</w:t>
      </w:r>
      <w:r w:rsidR="00FE0712">
        <w:t xml:space="preserve"> population</w:t>
      </w:r>
      <w:r w:rsidR="00996344">
        <w:t xml:space="preserve"> and healthcare practices</w:t>
      </w:r>
      <w:r w:rsidR="00FE0712">
        <w:t xml:space="preserve">. </w:t>
      </w:r>
      <w:r w:rsidR="0009155E">
        <w:t xml:space="preserve">Concretely </w:t>
      </w:r>
      <w:r w:rsidR="003E48BF">
        <w:t>defining</w:t>
      </w:r>
      <w:r w:rsidR="00996344">
        <w:t xml:space="preserve"> the</w:t>
      </w:r>
      <w:r w:rsidR="003E48BF">
        <w:t xml:space="preserve"> </w:t>
      </w:r>
      <w:r w:rsidR="00250E7C">
        <w:t xml:space="preserve">potential </w:t>
      </w:r>
      <w:r w:rsidR="00996344">
        <w:t xml:space="preserve">economic </w:t>
      </w:r>
      <w:r w:rsidR="003E5E3E">
        <w:t>savings</w:t>
      </w:r>
      <w:r w:rsidR="00996344">
        <w:t xml:space="preserve"> </w:t>
      </w:r>
      <w:r w:rsidR="000B7B4D">
        <w:t xml:space="preserve">of </w:t>
      </w:r>
      <w:r w:rsidR="003E5E3E">
        <w:t>CDI</w:t>
      </w:r>
      <w:r w:rsidR="00C318F6">
        <w:t xml:space="preserve"> prevention</w:t>
      </w:r>
      <w:r w:rsidR="00250E7C">
        <w:t xml:space="preserve"> </w:t>
      </w:r>
      <w:r w:rsidR="00695D63">
        <w:t>would</w:t>
      </w:r>
      <w:r w:rsidR="00CC1CAF">
        <w:t xml:space="preserve"> </w:t>
      </w:r>
      <w:r w:rsidR="00C93292">
        <w:t>empower</w:t>
      </w:r>
      <w:r w:rsidR="00CC1CAF">
        <w:t xml:space="preserve"> </w:t>
      </w:r>
      <w:r w:rsidR="00872A49">
        <w:t>stakeholders</w:t>
      </w:r>
      <w:r w:rsidR="0009155E">
        <w:t xml:space="preserve"> </w:t>
      </w:r>
      <w:r w:rsidR="00C93292">
        <w:t>to</w:t>
      </w:r>
      <w:r w:rsidR="005613D8">
        <w:t xml:space="preserve"> </w:t>
      </w:r>
      <w:r w:rsidR="005D06C6">
        <w:t>prudently</w:t>
      </w:r>
      <w:r w:rsidR="000E4AF2">
        <w:t xml:space="preserve"> </w:t>
      </w:r>
      <w:r w:rsidR="0052280C">
        <w:t>choose</w:t>
      </w:r>
      <w:r w:rsidR="00333980">
        <w:t xml:space="preserve"> among</w:t>
      </w:r>
      <w:r w:rsidR="000E0E1B">
        <w:t xml:space="preserve"> </w:t>
      </w:r>
      <w:r w:rsidR="00042C58">
        <w:t xml:space="preserve">the </w:t>
      </w:r>
      <w:r w:rsidR="00BA1D1C">
        <w:t xml:space="preserve">many </w:t>
      </w:r>
      <w:r w:rsidR="006A6AB4">
        <w:t xml:space="preserve">available </w:t>
      </w:r>
      <w:r w:rsidR="008F0A7E">
        <w:t xml:space="preserve">validated </w:t>
      </w:r>
      <w:r w:rsidR="003177A5">
        <w:t>interventions</w:t>
      </w:r>
      <w:r w:rsidR="003E48BF">
        <w:t>.</w:t>
      </w:r>
      <w:r w:rsidR="00C979B4">
        <w:fldChar w:fldCharType="begin" w:fldLock="1"/>
      </w:r>
      <w:r w:rsidR="00717812">
        <w:instrText>ADDIN CSL_CITATION { "citationItems" : [ { "id" : "ITEM-1", "itemData" : { "DOI" : "10.1001/jamainternmed.2013.9754", "ISSN" : "2168-6114", "PMID" : "23999771", "abstract" : "The answer is that the editors believe that the extraordinary costs of these infections\u2014an estimated $10 billion a year in the United States\u2014will motivate health care administrators to invest in the necessary systems to decrease these infections. The costs of these investments are not trivial. Information technology systems to monitor infection rates (successful quality improvement projects require knowledge of baseline rates of infection and infection following interventions); dedicated time to educate clinicians; supplementary assessments of patients for need of lines, catheters, or ventilator support; and preventive measures (eg, chlorhexidine baths, oral care with antiseptic solution) are costly. This study, however, will enable hospital administrators to better prioritize their spending by allowing them to compare the costs of interventions with the savings accrued by avoiding infections.", "author" : [ { "dropping-particle" : "", "family" : "Katz", "given" : "Mitchell H", "non-dropping-particle" : "", "parse-names" : false, "suffix" : "" } ], "container-title" : "JAMA internal medicine", "id" : "ITEM-1", "issue" : "22", "issued" : { "date-parts" : [ [ "2013" ] ] }, "page" : "2046", "title" : "Pay for preventing (not causing) health care-associated infections.", "type" : "article-journal", "volume" : "173" }, "uris" : [ "http://www.mendeley.com/documents/?uuid=a26463c2-f8b2-4e07-be05-3cf532466f37" ] }, { "id" : "ITEM-2", "itemData" : { "DOI" : "10.1086/676023", "ISBN" : "0195941700093", "ISSN" : "0899823X", "abstract" : "Downloaded from http://journals.cambridge.org/ICE, IP address: 200.24.16.139 on 12 Feb 2016 infection control and hospital epidemiology june 2014, vol. 35, no. 6 s h e a / i d s a p r a c t i c e r e c o m m e n d a t i o n", "author" : [ { "dropping-particle" : "", "family" : "Dubberke", "given" : "Erik R", "non-dropping-particle" : "", "parse-names" : false, "suffix" : "" }, { "dropping-particle" : "", "family" : "Carling", "given" : "Philip", "non-dropping-particle" : "", "parse-names" : false, "suffix" : "" }, { "dropping-particle" : "", "family" : "Carrico", "given" : "Ruth", "non-dropping-particle" : "", "parse-names" : false, "suffix" : "" }, { "dropping-particle" : "", "family" : "Donskey", "given" : "Curtis J", "non-dropping-particle" : "", "parse-names" : false, "suffix" : "" }, { "dropping-particle" : "", "family" : "Loo", "given" : "Vivian G", "non-dropping-particle" : "", "parse-names" : false, "suffix" : "" }, { "dropping-particle" : "", "family" : "McDonald", "given" : "L. Clifford", "non-dropping-particle" : "", "parse-names" : false, "suffix" : "" }, { "dropping-particle" : "", "family" : "Maragakis", "given" : "Lisa L", "non-dropping-particle" : "", "parse-names" : false, "suffix" : "" }, { "dropping-particle" : "", "family" : "Sandora", "given" : "Thomas J", "non-dropping-particle" : "", "parse-names" : false, "suffix" : "" }, { "dropping-particle" : "", "family" : "Weber", "given" : "David J", "non-dropping-particle" : "", "parse-names" : false, "suffix" : "" }, { "dropping-particle" : "", "family" : "Yokoe", "given" : "Deborah S", "non-dropping-particle" : "", "parse-names" : false, "suffix" : "" }, { "dropping-particle" : "", "family" : "Gerding", "given" : "Dale N", "non-dropping-particle" : "", "parse-names" : false, "suffix" : "" } ], "container-title" : "Infection Control and Hospital Epidemiology", "id" : "ITEM-2", "issue" : "6", "issued" : { "date-parts" : [ [ "2014", "6" ] ] }, "page" : "628-645", "title" : "Strategies to Prevent Clostridium difficile Infections in Acute Care Hospitals: 2014 Update", "type" : "article-journal", "volume" : "35" }, "uris" : [ "http://www.mendeley.com/documents/?uuid=eadb2612-f7bf-4480-b210-f1cc42beb629" ] } ], "mendeley" : { "formattedCitation" : "\\autocite{Dubberke2014,Katz2013}", "plainTextFormattedCitation" : "\\autocite{Dubberke2014,Katz2013}", "previouslyFormattedCitation" : "&lt;sup&gt;9,10&lt;/sup&gt;" }, "properties" : { "noteIndex" : 0 }, "schema" : "https://github.com/citation-style-language/schema/raw/master/csl-citation.json" }</w:instrText>
      </w:r>
      <w:r w:rsidR="00C979B4">
        <w:fldChar w:fldCharType="separate"/>
      </w:r>
      <w:r w:rsidR="00717812" w:rsidRPr="00717812">
        <w:rPr>
          <w:noProof/>
        </w:rPr>
        <w:t>\autocite{Dubberke2014,Katz2013}</w:t>
      </w:r>
      <w:r w:rsidR="00C979B4">
        <w:fldChar w:fldCharType="end"/>
      </w:r>
    </w:p>
    <w:p w14:paraId="3F1A814E" w14:textId="29930A8C" w:rsidR="00394153" w:rsidRDefault="006A25AB" w:rsidP="00E3653D">
      <w:pPr>
        <w:ind w:firstLine="720"/>
      </w:pPr>
      <w:r>
        <w:t xml:space="preserve"> </w:t>
      </w:r>
      <w:r w:rsidR="00D459B9">
        <w:t xml:space="preserve">Measuring </w:t>
      </w:r>
      <w:r w:rsidR="005C581C">
        <w:t xml:space="preserve">costs within </w:t>
      </w:r>
      <w:r w:rsidR="00D459B9">
        <w:t xml:space="preserve">healthcare </w:t>
      </w:r>
      <w:r w:rsidR="00C61B48">
        <w:t>system</w:t>
      </w:r>
      <w:r w:rsidR="005C581C">
        <w:t xml:space="preserve">s </w:t>
      </w:r>
      <w:r w:rsidR="00E14829">
        <w:t>is notoriously difficult</w:t>
      </w:r>
      <w:r w:rsidR="00132191">
        <w:t xml:space="preserve"> (</w:t>
      </w:r>
      <w:r w:rsidR="005C581C">
        <w:t>particularly in the US</w:t>
      </w:r>
      <w:r w:rsidR="00132191">
        <w:t>)</w:t>
      </w:r>
      <w:r w:rsidR="00E14829">
        <w:t xml:space="preserve">, as </w:t>
      </w:r>
      <w:r w:rsidR="00A17530">
        <w:t>many</w:t>
      </w:r>
      <w:r w:rsidR="00FB005D">
        <w:t xml:space="preserve"> hospitals do not have access to </w:t>
      </w:r>
      <w:r w:rsidR="00C61B48">
        <w:t xml:space="preserve">structured, </w:t>
      </w:r>
      <w:r w:rsidR="00D459B9">
        <w:t xml:space="preserve">itemized reimbursement data linked to </w:t>
      </w:r>
      <w:r w:rsidR="00EB5296">
        <w:t>all</w:t>
      </w:r>
      <w:r w:rsidR="00E14829">
        <w:t xml:space="preserve"> </w:t>
      </w:r>
      <w:proofErr w:type="gramStart"/>
      <w:r w:rsidR="00E14829">
        <w:t>of</w:t>
      </w:r>
      <w:proofErr w:type="gramEnd"/>
      <w:r w:rsidR="00E14829">
        <w:t xml:space="preserve"> their</w:t>
      </w:r>
      <w:r w:rsidR="00100ACA">
        <w:t xml:space="preserve"> </w:t>
      </w:r>
      <w:r w:rsidR="00D459B9">
        <w:t xml:space="preserve">patient medical </w:t>
      </w:r>
      <w:r w:rsidR="00C61B48">
        <w:t>records</w:t>
      </w:r>
      <w:r w:rsidR="00D459B9">
        <w:t>.</w:t>
      </w:r>
      <w:r w:rsidR="00B071E8">
        <w:fldChar w:fldCharType="begin" w:fldLock="1"/>
      </w:r>
      <w:r w:rsidR="00717812">
        <w:instrText>ADDIN CSL_CITATION { "citationItems" : [ { "id" : "ITEM-1", "itemData" : { "DOI" : "10.3386/w21815", "ISBN" : "9780874216561", "ISSN" : "0717-6163", "abstract" : "We use insurance claims data for 27.6 percent of individuals with private employer-sponsored insurance in the US between 2007 and 2011 to examine the variation in health spending and in hospitals\u2019 transaction prices. We document the variation in hospital prices within and across geographic areas, examine how hospital prices influence the variation in health spending on the privately insured, and analyze the factors associated with hospital price variation. Four key findings emerge. First, health care spending per privately insured beneficiary varies by a factor of three across the 306 Hospital Referral Regions (HRRs) in the US. Moreover, the correlation between total spending per privately insured beneficiary and total spending per Medicare beneficiary across HRRs is only 0.14. Second, variation in providers\u2019 transaction prices across HRRs is the primary driver of spending variation for the privately insured, whereas variation in the quantity of care provided across HRRs is the primary driver of Medicare spending variation. Consequently, extrapolating lessons on health spending from Medicare to the privately insured must be done with caution. Third, we document large dispersion in overall inpatient hospital prices and in prices for seven relatively homogenous procedures. For example, hospital prices for lower-limb MRIs vary by a factor of twelve across the nation and, on average, two-fold within HRRs. Finally, hospital prices are positively associated with indicators of hospital market power. Even after conditioning on many demand and cost factors, hospital prices in monopoly markets are 15.3 percent higher than those in markets with four or more hospitals.", "author" : [ { "dropping-particle" : "", "family" : "Cooper", "given" : "Zack", "non-dropping-particle" : "", "parse-names" : false, "suffix" : "" }, { "dropping-particle" : "", "family" : "Craig", "given" : "Stuart", "non-dropping-particle" : "", "parse-names" : false, "suffix" : "" }, { "dropping-particle" : "", "family" : "Gaynor", "given" : "Martin", "non-dropping-particle" : "", "parse-names" : false, "suffix" : "" }, { "dropping-particle" : "", "family" : "Reenen", "given" : "John", "non-dropping-particle" : "Van", "parse-names" : false, "suffix" : "" } ], "collection-title" : "NBER Working Paper", "container-title" : "NBER Working Paper", "id" : "ITEM-1", "issued" : { "date-parts" : [ [ "2015" ] ] }, "page" : "21815", "title" : "The Price Ain\u2019t Right? Hospital Prices and Health Spending on the Privately Insured", "type" : "article-journal" }, "uris" : [ "http://www.mendeley.com/documents/?uuid=812f6aad-0a9e-4376-b94d-decd3bd65a7a" ] } ], "mendeley" : { "formattedCitation" : "\\autocite{Cooper2015}", "plainTextFormattedCitation" : "\\autocite{Cooper2015}", "previouslyFormattedCitation" : "&lt;sup&gt;11&lt;/sup&gt;" }, "properties" : { "noteIndex" : 0 }, "schema" : "https://github.com/citation-style-language/schema/raw/master/csl-citation.json" }</w:instrText>
      </w:r>
      <w:r w:rsidR="00B071E8">
        <w:fldChar w:fldCharType="separate"/>
      </w:r>
      <w:r w:rsidR="00717812" w:rsidRPr="00717812">
        <w:rPr>
          <w:noProof/>
        </w:rPr>
        <w:t>\autocite{Cooper2015}</w:t>
      </w:r>
      <w:r w:rsidR="00B071E8">
        <w:fldChar w:fldCharType="end"/>
      </w:r>
      <w:r w:rsidR="009E4DCB">
        <w:t xml:space="preserve"> Even </w:t>
      </w:r>
      <w:r w:rsidR="00DB7A2D">
        <w:t xml:space="preserve">the </w:t>
      </w:r>
      <w:r w:rsidR="009E4DCB">
        <w:t>institutions that have</w:t>
      </w:r>
      <w:r w:rsidR="00B74C00">
        <w:t xml:space="preserve"> </w:t>
      </w:r>
      <w:r w:rsidR="0051713C">
        <w:t xml:space="preserve">informatics </w:t>
      </w:r>
      <w:r w:rsidR="00601C82">
        <w:t>capabilities</w:t>
      </w:r>
      <w:r w:rsidR="00527093">
        <w:t xml:space="preserve"> </w:t>
      </w:r>
      <w:r w:rsidR="009E4DCB">
        <w:t xml:space="preserve">to </w:t>
      </w:r>
      <w:r w:rsidR="00FB1962">
        <w:t xml:space="preserve">retrospectively </w:t>
      </w:r>
      <w:r w:rsidR="00A66C82">
        <w:t>link</w:t>
      </w:r>
      <w:r w:rsidR="009E4DCB">
        <w:t xml:space="preserve"> these data have relied on the curation of </w:t>
      </w:r>
      <w:r w:rsidR="00FB4777">
        <w:t>select</w:t>
      </w:r>
      <w:r w:rsidR="009E4DCB">
        <w:t xml:space="preserve"> </w:t>
      </w:r>
      <w:r w:rsidR="002175F0">
        <w:t>variables</w:t>
      </w:r>
      <w:r w:rsidR="00F3526A">
        <w:t xml:space="preserve"> </w:t>
      </w:r>
      <w:r w:rsidR="00415864">
        <w:t>and</w:t>
      </w:r>
      <w:r w:rsidR="00F3526A">
        <w:t xml:space="preserve"> chart review</w:t>
      </w:r>
      <w:r w:rsidR="008B745C">
        <w:t xml:space="preserve"> </w:t>
      </w:r>
      <w:r w:rsidR="00814AE2">
        <w:t xml:space="preserve">to </w:t>
      </w:r>
      <w:r w:rsidR="009E4DCB">
        <w:t>estimate</w:t>
      </w:r>
      <w:r w:rsidR="000D2C69">
        <w:t xml:space="preserve"> attributable</w:t>
      </w:r>
      <w:r w:rsidR="009E4DCB">
        <w:t xml:space="preserve"> CDI cost.</w:t>
      </w:r>
      <w:r w:rsidR="00F3526A">
        <w:fldChar w:fldCharType="begin" w:fldLock="1"/>
      </w:r>
      <w:r w:rsidR="00717812">
        <w:instrText>ADDIN CSL_CITATION { "citationItems" : [ { "id" : "ITEM-1", "itemData" : { "DOI" : "10.1086/678428", "ISSN" : "0899823X", "PMID" : "25333435", "author" : [ { "dropping-particle" : "", "family" : "Dubberke", "given" : "Erik R.", "non-dropping-particle" : "", "parse-names" : false, "suffix" : "" }, { "dropping-particle" : "", "family" : "Schaefer", "given" : "Eric", "non-dropping-particle" : "", "parse-names" : false, "suffix" : "" }, { "dropping-particle" : "", "family" : "Reske", "given" : "Kimberly A.", "non-dropping-particle" : "", "parse-names" : false, "suffix" : "" }, { "dropping-particle" : "", "family" : "Zilberberg", "given" : "Marya", "non-dropping-particle" : "", "parse-names" : false, "suffix" : "" }, { "dropping-particle" : "", "family" : "Hollenbeak", "given" : "Christopher S.", "non-dropping-particle" : "", "parse-names" : false, "suffix" : "" }, { "dropping-particle" : "", "family" : "Olsen", "given" : "Margaret A.", "non-dropping-particle" : "", "parse-names" : false, "suffix" : "" } ], "container-title" : "Infection Control and Hospital Epidemiology", "id" : "ITEM-1", "issue" : "11", "issued" : { "date-parts" : [ [ "2014" ] ] }, "page" : "1400-1407", "title" : "Attributable Inpatient Costs of Recurrent &lt;i&gt;Clostridium difficile&lt;/i&gt; Infections", "type" : "article-journal", "volume" : "35" }, "uris" : [ "http://www.mendeley.com/documents/?uuid=97636d13-caa2-41d4-b8e1-8de5c7d4b355" ] }, { "id" : "ITEM-2", "itemData" : { "DOI" : "10.1086/526530", "ISSN" : "1058-4838", "PMID" : "18197759", "author" : [ { "dropping-particle" : "", "family" : "Dubberke", "given" : "E. R.", "non-dropping-particle" : "", "parse-names" : false, "suffix" : "" }, { "dropping-particle" : "", "family" : "Reske", "given" : "K. A.", "non-dropping-particle" : "", "parse-names" : false, "suffix" : "" }, { "dropping-particle" : "", "family" : "Olsen", "given" : "M. A.", "non-dropping-particle" : "", "parse-names" : false, "suffix" : "" }, { "dropping-particle" : "", "family" : "McDonald", "given" : "L. C.", "non-dropping-particle" : "", "parse-names" : false, "suffix" : "" }, { "dropping-particle" : "", "family" : "Fraser", "given" : "V. J.", "non-dropping-particle" : "", "parse-names" : false, "suffix" : "" } ], "container-title" : "Clinical Infectious Diseases", "id" : "ITEM-2", "issue" : "4", "issued" : { "date-parts" : [ [ "2008" ] ] }, "page" : "497-504", "title" : "Short- and Long-Term Attributable Costs of Clostridium difficile-Associated Disease in Nonsurgical Inpatients", "type" : "article-journal", "volume" : "46" }, "uris" : [ "http://www.mendeley.com/documents/?uuid=f5c60b21-1862-4e4c-ada5-732efc6692cf" ] }, { "id" : "ITEM-3", "itemData" : { "DOI" : "10.1016/j.jacc.2014.09.079", "ISBN" : "1558-3597", "ISSN" : "15583597", "PMID" : "25572505", "abstract" : "Background Health care-associated infections (HAIs) are the most common noncardiac complications after cardiac surgery and are associated with increased morbidity and mortality. Current information about their economic burden is limited.\nObjectives This research was designed to determine the cost associated with major types of HAIs during the first 2 months after cardiac surgery.\nMethods Prospectively collected data from a multicenter, observational study of the Cardiothoracic Surgery Clinical Trials Network, in which patients were monitored for infections for 65 days after surgery, were merged with related financial data routinely collected by the University HealthSystem Consortium. Incremental length of stay (LOS) and cost associated with HAIs were estimated using generalized linear models, with adjustments for patient demographics, clinical history, baseline laboratory values, and surgery type.\nResults Among 4,320 cardiac surgery patients (mean age: 64 ?? 13 years), 119 (2.8%) experienced a major HAI during the index hospitalization. The most common HAIs were pneumonia (48%), sepsis (20%), and Clostridium difficile colitis (18%). On average, the estimated incremental cost associated with a major HAI was nearly $38,000, of which 47% was related to intensive care unit services. The incremental LOS was 14 days. Overall, there were 849 readmissions; among these, 8.7% were attributed to major HAIs. The cost of readmissions due to major HAIs was, on average, nearly threefold that of readmissions not related to HAIs.\nConclusions Hospital cost, LOS, and readmissions are strongly associated with HAIs. These associations suggest the potential for large reductions in costs if HAIs following cardiac surgery can be reduced. (Management Practices and the Risk of Infections Following Cardiac Surgery; NCT01089712).", "author" : [ { "dropping-particle" : "", "family" : "Greco", "given" : "Giampaolo", "non-dropping-particle" : "", "parse-names" : false, "suffix" : "" }, { "dropping-particle" : "", "family" : "Shi", "given" : "Wei", "non-dropping-particle" : "", "parse-names" : false, "suffix" : "" }, { "dropping-particle" : "", "family" : "Michler", "given" : "Robert E.", "non-dropping-particle" : "", "parse-names" : false, "suffix" : "" }, { "dropping-particle" : "", "family" : "Meltzer", "given" : "David O.", "non-dropping-particle" : "", "parse-names" : false, "suffix" : "" }, { "dropping-particle" : "", "family" : "Ailawadi", "given" : "Gorav", "non-dropping-particle" : "", "parse-names" : false, "suffix" : "" }, { "dropping-particle" : "", "family" : "Hohmann", "given" : "Samuel F.", "non-dropping-particle" : "", "parse-names" : false, "suffix" : "" }, { "dropping-particle" : "", "family" : "Thourani", "given" : "Vinod H.", "non-dropping-particle" : "", "parse-names" : false, "suffix" : "" }, { "dropping-particle" : "", "family" : "Argenziano", "given" : "Michael", "non-dropping-particle" : "", "parse-names" : false, "suffix" : "" }, { "dropping-particle" : "", "family" : "Alexander", "given" : "John H.", "non-dropping-particle" : "", "parse-names" : false, "suffix" : "" }, { "dropping-particle" : "", "family" : "Sankovic", "given" : "Kathy", "non-dropping-particle" : "", "parse-names" : false, "suffix" : "" }, { "dropping-particle" : "", "family" : "Gupta", "given" : "Lopa", "non-dropping-particle" : "", "parse-names" : false, "suffix" : "" }, { "dropping-particle" : "", "family" : "Blackstone", "given" : "Eugene H.", "non-dropping-particle" : "", "parse-names" : false, "suffix" : "" }, { "dropping-particle" : "", "family" : "Acker", "given" : "Michael A.", "non-dropping-particle" : "", "parse-names" : false, "suffix" : "" }, { "dropping-particle" : "", "family" : "Russo", "given" : "Mark J.", "non-dropping-particle" : "", "parse-names" : false, "suffix" : "" }, { "dropping-particle" : "", "family" : "Lee", "given" : "Albert", "non-dropping-particle" : "", "parse-names" : false, "suffix" : "" }, { "dropping-particle" : "", "family" : "Burks", "given" : "Sandra G.", "non-dropping-particle" : "", "parse-names" : false, "suffix" : "" }, { "dropping-particle" : "", "family" : "Gelijns", "given" : "Annetine C.", "non-dropping-particle" : "", "parse-names" : false, "suffix" : "" }, { "dropping-particle" : "", "family" : "Bagiella", "given" : "Emilia", "non-dropping-particle" : "", "parse-names" : false, "suffix" : "" }, { "dropping-particle" : "", "family" : "Moskowitz", "given" : "Alan J.", "non-dropping-particle" : "", "parse-names" : false, "suffix" : "" }, { "dropping-particle" : "", "family" : "Gardner", "given" : "Timothy J.", "non-dropping-particle" : "", "parse-names" : false, "suffix" : "" } ], "container-title" : "Journal of the American College of Cardiology", "id" : "ITEM-3", "issue" : "1", "issued" : { "date-parts" : [ [ "2015" ] ] }, "page" : "15-23", "title" : "Costs associated with health care-associated infections in cardiac surgery", "type" : "article-journal", "volume" : "65" }, "uris" : [ "http://www.mendeley.com/documents/?uuid=78b0c04e-9dee-4e24-ad00-8dc84a7e529a" ] } ], "mendeley" : { "formattedCitation" : "\\autocite{Dubberke2008, 2014,Greco2015}", "plainTextFormattedCitation" : "\\autocite{Dubberke2008, 2014,Greco2015}", "previouslyFormattedCitation" : "&lt;sup&gt;12\u201314&lt;/sup&gt;" }, "properties" : { "noteIndex" : 0 }, "schema" : "https://github.com/citation-style-language/schema/raw/master/csl-citation.json" }</w:instrText>
      </w:r>
      <w:r w:rsidR="00F3526A">
        <w:fldChar w:fldCharType="separate"/>
      </w:r>
      <w:r w:rsidR="00717812" w:rsidRPr="00717812">
        <w:rPr>
          <w:noProof/>
        </w:rPr>
        <w:t>\autocite{Dubberke2008, 2014,Greco2015}</w:t>
      </w:r>
      <w:r w:rsidR="00F3526A">
        <w:fldChar w:fldCharType="end"/>
      </w:r>
      <w:r w:rsidR="009E4DCB">
        <w:t xml:space="preserve"> </w:t>
      </w:r>
      <w:r w:rsidR="003E0F66">
        <w:t>Nevertheless</w:t>
      </w:r>
      <w:r w:rsidR="00C50070">
        <w:t xml:space="preserve">, </w:t>
      </w:r>
      <w:r w:rsidR="004B2704">
        <w:t xml:space="preserve">electronic medical record (EMR) systems are </w:t>
      </w:r>
      <w:r w:rsidR="00954BA9">
        <w:t>used</w:t>
      </w:r>
      <w:r w:rsidR="004B2704">
        <w:t xml:space="preserve"> by </w:t>
      </w:r>
      <w:r w:rsidR="00EE0495">
        <w:t xml:space="preserve">the </w:t>
      </w:r>
      <w:r w:rsidR="00972949">
        <w:t xml:space="preserve">majority of </w:t>
      </w:r>
      <w:r w:rsidR="004B2704">
        <w:t xml:space="preserve">first-world </w:t>
      </w:r>
      <w:r w:rsidR="00BE5CBF">
        <w:t>acute care facilities</w:t>
      </w:r>
      <w:r w:rsidR="00EE0495">
        <w:t>.</w:t>
      </w:r>
      <w:r w:rsidR="002E4E57">
        <w:fldChar w:fldCharType="begin" w:fldLock="1"/>
      </w:r>
      <w:r w:rsidR="00717812">
        <w:instrText>ADDIN CSL_CITATION { "citationItems" : [ { "id" : "ITEM-1", "itemData" : { "author" : [ { "dropping-particle" : "", "family" : "Henry", "given" : "Jawanna", "non-dropping-particle" : "", "parse-names" : false, "suffix" : "" }, { "dropping-particle" : "", "family" : "Pylypchuk", "given" : "Yuriy", "non-dropping-particle" : "", "parse-names" : false, "suffix" : "" }, { "dropping-particle" : "", "family" : "Searcy", "given" : "Talisha", "non-dropping-particle" : "", "parse-names" : false, "suffix" : "" }, { "dropping-particle" : "", "family" : "Patel", "given" : "Vaishali", "non-dropping-particle" : "", "parse-names" : false, "suffix" : "" } ], "container-title" : "ONC Data Brief", "id" : "ITEM-1", "issued" : { "date-parts" : [ [ "2016" ] ] }, "page" : "no.35", "publisher-place" : "Washington, DC", "title" : "Adoption of Electronic Health Record Systems among U.S. Non-Federal Acute Care Hospitals: 2008-2015", "type" : "article-journal" }, "uris" : [ "http://www.mendeley.com/documents/?uuid=41d611d0-6e95-3731-a648-451357cd531c" ] }, { "id" : "ITEM-2", "itemData" : { "ISBN" : "1558-6847", "ISSN" : "1558-6847", "PMID" : "22164356", "abstract" : "Research has shown that the United States lags many other countries in the adoption of electronic health records (EHRs). The U.S. has now embarked on a major effort to achieve \"meaningful use\" of health information technology by clinicians and hospitals. This issue brief describes the extent of meaningful use in three countries with very high levels of health information technology adoption\u2014Denmark, New Zealand, and Sweden. While all three have achieved high levels of meaningful use, none has reached 100 percent in all categories. The brief find[sic] high levels of meaningful use for EHR items and substantial information-sharing with other organizations or health authorities, although less information is shared with patients. Insights that may prove useful to the United States include providing economic incentives to encourage adoption and designating an organization to take responsibility for standardization and interoperability.", "author" : [ { "dropping-particle" : "", "family" : "Gray", "given" : "Bradford H", "non-dropping-particle" : "", "parse-names" : false, "suffix" : "" }, { "dropping-particle" : "", "family" : "Bowden", "given" : "Thomas", "non-dropping-particle" : "", "parse-names" : false, "suffix" : "" }, { "dropping-particle" : "", "family" : "Johansen", "given" : "Ib", "non-dropping-particle" : "", "parse-names" : false, "suffix" : "" }, { "dropping-particle" : "", "family" : "Koch", "given" : "Sabine", "non-dropping-particle" : "", "parse-names" : false, "suffix" : "" } ], "container-title" : "Issue brief (Commonwealth Fund)", "id" : "ITEM-2", "issue" : "November", "issued" : { "date-parts" : [ [ "2011" ] ] }, "page" : "1-18", "title" : "Electronic health records: an international perspective on \"meaningful use\".", "type" : "article-journal", "volume" : "28" }, "uris" : [ "http://www.mendeley.com/documents/?uuid=620cc8be-6415-4747-87d2-9c901f777dfd" ] } ], "mendeley" : { "formattedCitation" : "\\autocite{Gray2011,Henry2016}", "plainTextFormattedCitation" : "\\autocite{Gray2011,Henry2016}", "previouslyFormattedCitation" : "&lt;sup&gt;15,16&lt;/sup&gt;" }, "properties" : { "noteIndex" : 0 }, "schema" : "https://github.com/citation-style-language/schema/raw/master/csl-citation.json" }</w:instrText>
      </w:r>
      <w:r w:rsidR="002E4E57">
        <w:fldChar w:fldCharType="separate"/>
      </w:r>
      <w:r w:rsidR="00717812" w:rsidRPr="00717812">
        <w:rPr>
          <w:noProof/>
        </w:rPr>
        <w:t>\autocite{Gray2011,Henry2016}</w:t>
      </w:r>
      <w:r w:rsidR="002E4E57">
        <w:fldChar w:fldCharType="end"/>
      </w:r>
      <w:r w:rsidR="00EE0495">
        <w:t xml:space="preserve"> </w:t>
      </w:r>
      <w:r w:rsidR="0077252B">
        <w:t>Part of the rationale for these systems</w:t>
      </w:r>
      <w:r w:rsidR="00FB45BE">
        <w:t xml:space="preserve"> </w:t>
      </w:r>
      <w:r w:rsidR="005B694C">
        <w:t xml:space="preserve">is </w:t>
      </w:r>
      <w:r w:rsidR="004B2C2C">
        <w:t>that hospitals</w:t>
      </w:r>
      <w:r w:rsidR="005B694C">
        <w:t xml:space="preserve"> </w:t>
      </w:r>
      <w:r w:rsidR="000E2C32">
        <w:t xml:space="preserve">may </w:t>
      </w:r>
      <w:r w:rsidR="005B694C">
        <w:t>leverag</w:t>
      </w:r>
      <w:r w:rsidR="004B2C2C">
        <w:t>e</w:t>
      </w:r>
      <w:r w:rsidR="005B694C">
        <w:t xml:space="preserve"> </w:t>
      </w:r>
      <w:r w:rsidR="00582F66">
        <w:t xml:space="preserve">EMR </w:t>
      </w:r>
      <w:r w:rsidR="005B694C">
        <w:t>data</w:t>
      </w:r>
      <w:r w:rsidR="006E304E">
        <w:t xml:space="preserve"> for </w:t>
      </w:r>
      <w:r w:rsidR="0039186E">
        <w:t>optimal</w:t>
      </w:r>
      <w:r w:rsidR="00E447D3">
        <w:t xml:space="preserve"> decision-making by </w:t>
      </w:r>
      <w:r w:rsidR="00C43451">
        <w:t xml:space="preserve">inferring </w:t>
      </w:r>
      <w:r w:rsidR="00EE0495">
        <w:t>causal relationships from</w:t>
      </w:r>
      <w:r w:rsidR="003B4309">
        <w:t xml:space="preserve"> </w:t>
      </w:r>
      <w:r w:rsidR="00EE0495">
        <w:t xml:space="preserve">raw </w:t>
      </w:r>
      <w:r w:rsidR="005B694C">
        <w:t xml:space="preserve">observations </w:t>
      </w:r>
      <w:r w:rsidR="001D1528">
        <w:t xml:space="preserve">during </w:t>
      </w:r>
      <w:r w:rsidR="00E447D3">
        <w:t>routine care</w:t>
      </w:r>
      <w:r w:rsidR="00102AF7">
        <w:t>.</w:t>
      </w:r>
      <w:r w:rsidR="00102AF7">
        <w:fldChar w:fldCharType="begin" w:fldLock="1"/>
      </w:r>
      <w:r w:rsidR="00717812">
        <w:instrText>ADDIN CSL_CITATION { "citationItems" : [ { "id" : "ITEM-1", "itemData" : { "DOI" : "10.1377/hlthaff.26.2.w107", "ISSN" : "1544-5208", "PMID" : "17259191", "abstract" : "Private- and public-sector initiatives, using electronic health record (EHR) databases from millions of people, could rapidly advance the U.S. evidence base for clinical care. Rapid learning could fill major knowledge gaps about health care costs, the benefits and risks of drugs and procedures, geographic variations, environmental health influences, the health of special populations, and personalized medicine. Policymakers could use rapid learning to revitalize value-based competition, redesign Medicare's payments, advance Medicaid into national health care leadership, foster national collaborative research initiatives, and design a national technology assessment system.", "author" : [ { "dropping-particle" : "", "family" : "Etheredge", "given" : "Lynn M", "non-dropping-particle" : "", "parse-names" : false, "suffix" : "" } ], "container-title" : "Health affairs (Project Hope)", "id" : "ITEM-1", "issue" : "2", "issued" : { "date-parts" : [ [ "2007" ] ] }, "page" : "w107-18", "title" : "A rapid-learning health system.", "type" : "article-journal", "volume" : "26" }, "uris" : [ "http://www.mendeley.com/documents/?uuid=7c571ab1-37cf-4873-bd3a-685f82be8730" ] }, { "id" : "ITEM-2", "itemData" : { "DOI" : "10.1001/jama.2014.4364", "ISSN" : "1538-3598", "PMID" : "25005647", "author" : [ { "dropping-particle" : "", "family" : "Dahabreh", "given" : "Issa J", "non-dropping-particle" : "", "parse-names" : false, "suffix" : "" }, { "dropping-particle" : "", "family" : "Kent", "given" : "David M", "non-dropping-particle" : "", "parse-names" : false, "suffix" : "" } ], "container-title" : "JAMA", "id" : "ITEM-2", "issue" : "2", "issued" : { "date-parts" : [ [ "2014", "7" ] ] }, "page" : "129-30", "title" : "Can the learning health care system be educated with observational data?", "type" : "article-journal", "volume" : "312" }, "uris" : [ "http://www.mendeley.com/documents/?uuid=a05780cd-8889-4d3e-80a3-a04e77b17ce5" ] }, { "id" : "ITEM-3", "itemData" : { "DOI" : "10.1093/cid/civ670", "ISSN" : "1058-4838", "PMID" : "26251049", "author" : [ { "dropping-particle" : "", "family" : "Pak", "given" : "Theodore R.", "non-dropping-particle" : "", "parse-names" : false, "suffix" : "" }, { "dropping-particle" : "", "family" : "Kasarskis", "given" : "Andrew", "non-dropping-particle" : "", "parse-names" : false, "suffix" : "" } ], "container-title" : "Clinical Infectious Diseases", "id" : "ITEM-3", "issue" : "11", "issued" : { "date-parts" : [ [ "2015" ] ] }, "page" : "1695-1702", "title" : "How Next-Generation Sequencing and Multiscale Data Analysis Will Transform Infectious Disease Management", "type" : "article-journal", "volume" : "61" }, "uris" : [ "http://www.mendeley.com/documents/?uuid=84e0eade-0015-4b4f-bf68-2a7718b9cbc7" ] } ], "mendeley" : { "formattedCitation" : "\\autocite{Dahabreh2014,Etheredge2007,Pak2015}", "plainTextFormattedCitation" : "\\autocite{Dahabreh2014,Etheredge2007,Pak2015}", "previouslyFormattedCitation" : "&lt;sup&gt;17\u201319&lt;/sup&gt;" }, "properties" : { "noteIndex" : 0 }, "schema" : "https://github.com/citation-style-language/schema/raw/master/csl-citation.json" }</w:instrText>
      </w:r>
      <w:r w:rsidR="00102AF7">
        <w:fldChar w:fldCharType="separate"/>
      </w:r>
      <w:r w:rsidR="00717812" w:rsidRPr="00717812">
        <w:rPr>
          <w:noProof/>
        </w:rPr>
        <w:t>\autocite{Dahabreh2014,Etheredge2007,Pak2015}</w:t>
      </w:r>
      <w:r w:rsidR="00102AF7">
        <w:fldChar w:fldCharType="end"/>
      </w:r>
      <w:r w:rsidR="00102AF7">
        <w:t xml:space="preserve"> </w:t>
      </w:r>
      <w:r w:rsidR="009E4DCB">
        <w:t xml:space="preserve">An analysis </w:t>
      </w:r>
      <w:r w:rsidR="00C343AC">
        <w:t xml:space="preserve">based on </w:t>
      </w:r>
      <w:r w:rsidR="008240EF" w:rsidRPr="008240EF">
        <w:rPr>
          <w:i/>
        </w:rPr>
        <w:t>automatically extractable</w:t>
      </w:r>
      <w:r w:rsidR="008240EF">
        <w:t xml:space="preserve"> data from </w:t>
      </w:r>
      <w:r w:rsidR="00261C40">
        <w:t>an</w:t>
      </w:r>
      <w:r w:rsidR="009E4DCB">
        <w:t xml:space="preserve"> EMR </w:t>
      </w:r>
      <w:r w:rsidR="008240EF">
        <w:t>that</w:t>
      </w:r>
      <w:r w:rsidR="009E4DCB">
        <w:t xml:space="preserve"> </w:t>
      </w:r>
      <w:r w:rsidR="002412F5">
        <w:t>quantifies</w:t>
      </w:r>
      <w:r w:rsidR="00BE5CBF">
        <w:t xml:space="preserve"> preventable hospital </w:t>
      </w:r>
      <w:r w:rsidR="00226C3F">
        <w:t>costs</w:t>
      </w:r>
      <w:r w:rsidR="008240EF">
        <w:t xml:space="preserve">, such as </w:t>
      </w:r>
      <w:r w:rsidR="00D703F2">
        <w:t xml:space="preserve">those attributable to </w:t>
      </w:r>
      <w:r w:rsidR="008240EF">
        <w:t xml:space="preserve">an HAI </w:t>
      </w:r>
      <w:r w:rsidR="00BE5CBF">
        <w:t xml:space="preserve">like CDI, would be </w:t>
      </w:r>
      <w:r w:rsidR="009E4DCB">
        <w:t>of</w:t>
      </w:r>
      <w:r w:rsidR="00D703F2">
        <w:t xml:space="preserve"> great value in building </w:t>
      </w:r>
      <w:r w:rsidR="007B078C">
        <w:t xml:space="preserve">a </w:t>
      </w:r>
      <w:r w:rsidR="00923C8B">
        <w:t xml:space="preserve">continuously </w:t>
      </w:r>
      <w:r w:rsidR="00D703F2">
        <w:t>le</w:t>
      </w:r>
      <w:r w:rsidR="008240EF">
        <w:t>arning healthcare system.</w:t>
      </w:r>
      <w:r w:rsidR="00A52DE4">
        <w:fldChar w:fldCharType="begin" w:fldLock="1"/>
      </w:r>
      <w:r w:rsidR="00717812">
        <w:instrText>ADDIN CSL_CITATION { "citationItems" : [ { "id" : "ITEM-1", "itemData" : { "DOI" : "10.1001/jama.2016.12537", "ISSN" : "0098-7484", "PMID" : "27668668", "author" : [ { "dropping-particle" : "", "family" : "Krumholz", "given" : "Harlan M.", "non-dropping-particle" : "", "parse-names" : false, "suffix" : "" }, { "dropping-particle" : "", "family" : "Terry", "given" : "Sharon F.", "non-dropping-particle" : "", "parse-names" : false, "suffix" : "" }, { "dropping-particle" : "", "family" : "Waldstreicher", "given" : "Joanne", "non-dropping-particle" : "", "parse-names" : false, "suffix" : "" } ], "container-title" : "JAMA", "id" : "ITEM-1", "issue" : "16", "issued" : { "date-parts" : [ [ "2016", "10", "25" ] ] }, "page" : "1669", "title" : "Data Acquisition, Curation, and Use for a Continuously Learning Health System", "type" : "article-journal", "volume" : "316" }, "uris" : [ "http://www.mendeley.com/documents/?uuid=975efd08-3c88-4caf-9a00-807d96912730" ] } ], "mendeley" : { "formattedCitation" : "\\autocite{Krumholz2016}", "plainTextFormattedCitation" : "\\autocite{Krumholz2016}", "previouslyFormattedCitation" : "&lt;sup&gt;20&lt;/sup&gt;" }, "properties" : { "noteIndex" : 0 }, "schema" : "https://github.com/citation-style-language/schema/raw/master/csl-citation.json" }</w:instrText>
      </w:r>
      <w:r w:rsidR="00A52DE4">
        <w:fldChar w:fldCharType="separate"/>
      </w:r>
      <w:r w:rsidR="00717812" w:rsidRPr="00717812">
        <w:rPr>
          <w:noProof/>
        </w:rPr>
        <w:t>\autocite{Krumholz2016}</w:t>
      </w:r>
      <w:r w:rsidR="00A52DE4">
        <w:fldChar w:fldCharType="end"/>
      </w:r>
      <w:r w:rsidR="00C01D17">
        <w:t xml:space="preserve"> EMRs contain </w:t>
      </w:r>
      <w:r w:rsidR="00356428">
        <w:t>many</w:t>
      </w:r>
      <w:r w:rsidR="00C01D17">
        <w:t xml:space="preserve"> structured </w:t>
      </w:r>
      <w:r w:rsidR="00C51CB6">
        <w:t xml:space="preserve">fields </w:t>
      </w:r>
      <w:r w:rsidR="004563BB">
        <w:t xml:space="preserve">relevant to this </w:t>
      </w:r>
      <w:r w:rsidR="00C01D17">
        <w:t xml:space="preserve">analysis, </w:t>
      </w:r>
      <w:r w:rsidR="00156F42">
        <w:t>including</w:t>
      </w:r>
      <w:r w:rsidR="00C43532">
        <w:t>:</w:t>
      </w:r>
      <w:r w:rsidR="00C01D17">
        <w:t xml:space="preserve"> diagnosis codes </w:t>
      </w:r>
      <w:r w:rsidR="00A42F2E">
        <w:t>and</w:t>
      </w:r>
      <w:r w:rsidR="00C01D17">
        <w:t xml:space="preserve"> lab results </w:t>
      </w:r>
      <w:r w:rsidR="00511E88">
        <w:t>demonstrating</w:t>
      </w:r>
      <w:r w:rsidR="00C01D17">
        <w:t xml:space="preserve"> onset of</w:t>
      </w:r>
      <w:r w:rsidR="004E5BAE">
        <w:t xml:space="preserve"> </w:t>
      </w:r>
      <w:r w:rsidR="00C43532">
        <w:t>HAI</w:t>
      </w:r>
      <w:r w:rsidR="00A05C66">
        <w:t>s</w:t>
      </w:r>
      <w:r w:rsidR="00C43532">
        <w:t>;</w:t>
      </w:r>
      <w:r w:rsidR="00C01D17">
        <w:t xml:space="preserve"> thousands of variables for </w:t>
      </w:r>
      <w:r w:rsidR="00213A5A">
        <w:t>procedures</w:t>
      </w:r>
      <w:r w:rsidR="00195BC2">
        <w:t>, problems,</w:t>
      </w:r>
      <w:r w:rsidR="00213A5A">
        <w:t xml:space="preserve"> and medications</w:t>
      </w:r>
      <w:r w:rsidR="00C01D17">
        <w:t xml:space="preserve"> that </w:t>
      </w:r>
      <w:r w:rsidR="00213A5A">
        <w:t>can serve as</w:t>
      </w:r>
      <w:r w:rsidR="00C01D17">
        <w:t xml:space="preserve"> covariates </w:t>
      </w:r>
      <w:r w:rsidR="000C7A4A">
        <w:t xml:space="preserve">for </w:t>
      </w:r>
      <w:r w:rsidR="003E0168">
        <w:t xml:space="preserve">adjustment in </w:t>
      </w:r>
      <w:r w:rsidR="000C7A4A">
        <w:t xml:space="preserve">observational </w:t>
      </w:r>
      <w:r w:rsidR="004063C0">
        <w:t>studies</w:t>
      </w:r>
      <w:r w:rsidR="00C43532">
        <w:t>;</w:t>
      </w:r>
      <w:r w:rsidR="000C7A4A">
        <w:t xml:space="preserve"> and</w:t>
      </w:r>
      <w:r w:rsidR="00C43532">
        <w:t xml:space="preserve"> importantly,</w:t>
      </w:r>
      <w:r w:rsidR="000C7A4A">
        <w:t xml:space="preserve"> </w:t>
      </w:r>
      <w:r w:rsidR="00A1527C">
        <w:t xml:space="preserve">the </w:t>
      </w:r>
      <w:r w:rsidR="00C01D17">
        <w:t>length of stay</w:t>
      </w:r>
      <w:r w:rsidR="00D8771D">
        <w:t xml:space="preserve"> </w:t>
      </w:r>
      <w:r w:rsidR="00ED4F26">
        <w:t xml:space="preserve">(LOS) </w:t>
      </w:r>
      <w:r w:rsidR="00D8771D">
        <w:t>for each visit</w:t>
      </w:r>
      <w:r w:rsidR="00C01D17">
        <w:t xml:space="preserve">, which </w:t>
      </w:r>
      <w:r w:rsidR="000C7A4A">
        <w:t xml:space="preserve">is the </w:t>
      </w:r>
      <w:r w:rsidR="006B2994">
        <w:t>primary</w:t>
      </w:r>
      <w:r w:rsidR="00F83A59">
        <w:t xml:space="preserve"> </w:t>
      </w:r>
      <w:r w:rsidR="008F7C7B">
        <w:t>contributor</w:t>
      </w:r>
      <w:r w:rsidR="00F83A59">
        <w:t xml:space="preserve"> </w:t>
      </w:r>
      <w:r w:rsidR="008F7C7B">
        <w:t>to</w:t>
      </w:r>
      <w:r w:rsidR="00F83A59">
        <w:t xml:space="preserve"> </w:t>
      </w:r>
      <w:r w:rsidR="005D68F7">
        <w:t>excess</w:t>
      </w:r>
      <w:r w:rsidR="000C7A4A">
        <w:t xml:space="preserve"> costs</w:t>
      </w:r>
      <w:r w:rsidR="00213A5A">
        <w:t xml:space="preserve"> for</w:t>
      </w:r>
      <w:r w:rsidR="004E5BAE">
        <w:t xml:space="preserve"> </w:t>
      </w:r>
      <w:r w:rsidR="00F83A59">
        <w:t>most</w:t>
      </w:r>
      <w:r w:rsidR="004E5BAE">
        <w:t xml:space="preserve"> HAIs, </w:t>
      </w:r>
      <w:r w:rsidR="00A770F3">
        <w:t>including</w:t>
      </w:r>
      <w:r w:rsidR="00213A5A">
        <w:t xml:space="preserve"> CDI.</w:t>
      </w:r>
      <w:r w:rsidR="00213A5A">
        <w:fldChar w:fldCharType="begin" w:fldLock="1"/>
      </w:r>
      <w:r w:rsidR="00717812">
        <w:instrText>ADDIN CSL_CITATION { "citationItems" : [ { "id" : "ITEM-1", "itemData" : { "DOI" : "10.1001/jamainternmed.2013.9763", "ISBN" : "2168-6114", "ISSN" : "2168-6114", "PMID" : "23999949", "abstract" : "IMPORTANCE: Health care-associated infections (HAIs) account for a large proportion of the harms caused by health care and are associated with high costs. Better evaluation of the costs of these infections could help providers and payers to justify investing in prevention.\\n\\nOBJECTIVE: To estimate costs associated with the most significant and targetable HAIs.\\n\\nDATA SOURCES: For estimation of attributable costs, we conducted a systematic review of the literature using PubMed for the years 1986 through April 2013. For HAI incidence estimates, we used the National Healthcare Safety Network of the Centers for Disease Control and Prevention (CDC).\\n\\nSTUDY SELECTION: Studies performed outside the United States were excluded. Inclusion criteria included a robust method of comparison using a matched control group or an appropriate regression strategy, generalizable populations typical of inpatient wards and critical care units, methodologic consistency with CDC definitions, and soundness of handling economic outcomes.\\n\\nDATA EXTRACTION AND SYNTHESIS: Three review cycles were completed, with the final iteration carried out from July 2011 to April 2013. Selected publications underwent a secondary review by the research team.\\n\\nMAIN OUTCOMES AND MEASURES: Costs, inflated to 2012 US dollars.\\n\\nRESULTS: Using Monte Carlo simulation, we generated point estimates and 95% CIs for attributable costs and length of hospital stay. On a per-case basis, central line-associated bloodstream infections were found to be the most costly HAIs at $45,814 (95% CI, $30,919-$65,245), followed by ventilator-associated pneumonia at $40,144 (95% CI, $36,286-$44,220), surgical site infections at $20,785 (95% CI, $18,902-$22,667), Clostridium difficile infection at $11,285 (95% CI, $9118-$13,574), and catheter-associated urinary tract infections at $896 (95% CI, $603-$1189). The total annual costs for the 5 major infections were $9.8 billion (95% CI, $8.3-$11.5 billion), with surgical site infections contributing the most to overall costs (33.7% of the total), followed by ventilator-associated pneumonia (31.6%), central line-associated bloodstream infections (18.9%), C difficile infections (15.4%), and catheter-associated urinary tract infections (&lt;1%).\\n\\nCONCLUSIONS AND RELEVANCE: While quality improvement initiatives have decreased HAI incidence and costs, much more remains to be done. As hospitals realize savings from prevention of these complications under payment reforms, the\u2026", "author" : [ { "dropping-particle" : "", "family" : "Zimlichman", "given" : "Eyal", "non-dropping-particle" : "", "parse-names" : false, "suffix" : "" }, { "dropping-particle" : "", "family" : "Henderson", "given" : "Daniel", "non-dropping-particle" : "", "parse-names" : false, "suffix" : "" }, { "dropping-particle" : "", "family" : "Tamir", "given" : "Orly", "non-dropping-particle" : "", "parse-names" : false, "suffix" : "" }, { "dropping-particle" : "", "family" : "Franz", "given" : "Calvin", "non-dropping-particle" : "", "parse-names" : false, "suffix" : "" }, { "dropping-particle" : "", "family" : "Song", "given" : "Peter", "non-dropping-particle" : "", "parse-names" : false, "suffix" : "" }, { "dropping-particle" : "", "family" : "Yamin", "given" : "Cyrus K.", "non-dropping-particle" : "", "parse-names" : false, "suffix" : "" }, { "dropping-particle" : "", "family" : "Keohane", "given" : "Carol", "non-dropping-particle" : "", "parse-names" : false, "suffix" : "" }, { "dropping-particle" : "", "family" : "Denham", "given" : "Charles R.", "non-dropping-particle" : "", "parse-names" : false, "suffix" : "" }, { "dropping-particle" : "", "family" : "Bates", "given" : "David W.", "non-dropping-particle" : "", "parse-names" : false, "suffix" : "" } ], "container-title" : "JAMA internal medicine", "id" : "ITEM-1", "issue" : "22", "issued" : { "date-parts" : [ [ "2013" ] ] }, "page" : "2039-46", "title" : "Health care-associated infections: a meta-analysis of costs and financial impact on the US health care system.", "type" : "article-journal", "volume" : "173" }, "uris" : [ "http://www.mendeley.com/documents/?uuid=c3782faa-a896-4aff-bdab-e8997d58b765" ] }, { "id" : "ITEM-2", "itemData" : { "DOI" : "10.1016/S0195-6701(96)90122-X", "ISBN" : "0195-6701", "ISSN" : "0195-6701", "PMID" : "8880547", "abstract" : "Clostridium difficile infection has become endemic in many hospitals and yet few data on the associated costs of such cases are available. We prospectively followed 50 consecutive cases of C. difficile infection and 92 control patients, who were admitted to the same geriatric wards within 72 h of the cases. Cases and controls had similar age, sex and major diagnosis distributions. Cases stayed significantly longer (mean 21.3 days, median 20.5 days; P &lt; 0.001) in hospital than controls, including an average 14 days in a side room. Diarrhoea developed in cases on average 10.8 days after admission, which, when compared with a mean duration of stay for controls of 25.2 days, implies that C. difficile infection caused an increased duration of stay, as opposed to infection occurring because of longer residence. There was a significantly higher death rate in cases compared with controls (P &lt; 0.01). Antibiotic treatment of C. difficile infection cost an average of Pounds 47 per case. The average number of laboratory investigations per day was similar for cases and controls, but the increased length of stay meant an extra cost for tests of approximately Pounds 210 per case. Assuming hotel costs of Pounds 150 (Pounds 200) per day stay (in a side room), 94% of the additional costs associated with C. difficile infection were due to increased duration of stay (Pounds 3850). The total identifiable increased cost of C. difficile infection was, therefore, in excess of Pounds 4000 per case. Such high costs can be used to justify expenditure on personnel and/or other control measures to reduce the incidence of this hospital-acquired infection.", "author" : [ { "dropping-particle" : "", "family" : "Wilcox", "given" : "M H", "non-dropping-particle" : "", "parse-names" : false, "suffix" : "" }, { "dropping-particle" : "", "family" : "Cunniffe", "given" : "J G", "non-dropping-particle" : "", "parse-names" : false, "suffix" : "" }, { "dropping-particle" : "", "family" : "Trundle", "given" : "C", "non-dropping-particle" : "", "parse-names" : false, "suffix" : "" }, { "dropping-particle" : "", "family" : "Redpath", "given" : "C", "non-dropping-particle" : "", "parse-names" : false, "suffix" : "" } ], "container-title" : "The Journal of hospital infection", "id" : "ITEM-2", "issue" : "1", "issued" : { "date-parts" : [ [ "1996" ] ] }, "page" : "23-30", "title" : "Financial burden of hospital-acquired Clostridium difficile infection.", "type" : "article-journal", "volume" : "34" }, "uris" : [ "http://www.mendeley.com/documents/?uuid=fb4c33e6-57cb-4561-89ce-59c9637c9e2b" ] }, { "id" : "ITEM-3", "itemData" : { "DOI" : "10.1111/j.1469-0691.2011.03571.x", "ISBN" : "1469-0691 (Electronic)\\r1198-743X (Linking)", "ISSN" : "1198743X", "PMID" : "21668576", "abstract" : "Although Clostridium difficile (C. difficile) is the leading cause of infectious diarrhoea in hospitalized patients, the economic burden of this major nosocomial pathogen for hospitals, third-party payers and society remains unclear. We developed an economic computer simulation model to determine the costs attributable to healthcare-acquired C. difficile infection (CDI) from the hospital, third-party payer and societal perspectives. Sensitivity analyses explored the effects of varying the cost of hospitalization, C. difficile-attributable length of stay, and the probability of initial and secondary recurrences. The median cost of a case ranged from $9179 to $11 456 from the hospital perspective, $8932 to $11 679 from the third-party payor perspective, and $13 310 to $16 464 from the societal perspective. Most of the costs incurred were accrued during a patient's primary CDI episode. Hospitals with an incidence of 4.1 CDI cases per 100 000 discharges would incur costs &gt;/=$3.2 million (hospital perspective); an incidence of 10.5 would lead to costs &gt;/=$30.6 million. Our model suggests that the annual US economic burden of CDI would be &gt;/=$496 million (hospital perspective), &gt;/=$547 million (third-party payer perspective) and &gt;/=$796 million (societal perspective). Our results show that C. difficile infection is indeed costly, not only to third-party payers and the hospital, but to society as well. These results are consistent with current literature citing C. difficile as a costly disease.", "author" : [ { "dropping-particle" : "", "family" : "McGlone", "given" : "S. M.", "non-dropping-particle" : "", "parse-names" : false, "suffix" : "" }, { "dropping-particle" : "", "family" : "Bailey", "given" : "R. R.", "non-dropping-particle" : "", "parse-names" : false, "suffix" : "" }, { "dropping-particle" : "", "family" : "Zimmer", "given" : "S. M.", "non-dropping-particle" : "", "parse-names" : false, "suffix" : "" }, { "dropping-particle" : "", "family" : "Popovich", "given" : "M. J.", "non-dropping-particle" : "", "parse-names" : false, "suffix" : "" }, { "dropping-particle" : "", "family" : "Tian", "given" : "Y.", "non-dropping-particle" : "", "parse-names" : false, "suffix" : "" }, { "dropping-particle" : "", "family" : "Ufberg", "given" : "P.", "non-dropping-particle" : "", "parse-names" : false, "suffix" : "" }, { "dropping-particle" : "", "family" : "Muder", "given" : "R. R.", "non-dropping-particle" : "", "parse-names" : false, "suffix" : "" }, { "dropping-particle" : "", "family" : "Lee", "given" : "B. Y.", "non-dropping-particle" : "", "parse-names" : false, "suffix" : "" } ], "container-title" : "Clinical Microbiology and Infection", "id" : "ITEM-3", "issue" : "3", "issued" : { "date-parts" : [ [ "2012" ] ] }, "page" : "282-289", "publisher" : "European Society of Clinical Infectious Diseases", "title" : "The economic burden of Clostridium difficile", "type" : "article-journal", "volume" : "18" }, "uris" : [ "http://www.mendeley.com/documents/?uuid=9da019eb-34a9-4776-a37b-9b8820273ef3" ] } ], "mendeley" : { "formattedCitation" : "\\autocite{McGlone2012,Wilcox1996,Zimlichman2013}", "plainTextFormattedCitation" : "\\autocite{McGlone2012,Wilcox1996,Zimlichman2013}", "previouslyFormattedCitation" : "&lt;sup&gt;3,21,22&lt;/sup&gt;" }, "properties" : { "noteIndex" : 0 }, "schema" : "https://github.com/citation-style-language/schema/raw/master/csl-citation.json" }</w:instrText>
      </w:r>
      <w:r w:rsidR="00213A5A">
        <w:fldChar w:fldCharType="separate"/>
      </w:r>
      <w:r w:rsidR="00717812" w:rsidRPr="00717812">
        <w:rPr>
          <w:noProof/>
        </w:rPr>
        <w:t>\autocite{McGlone2012,Wilcox1996,Zimlichman2013}</w:t>
      </w:r>
      <w:r w:rsidR="00213A5A">
        <w:fldChar w:fldCharType="end"/>
      </w:r>
    </w:p>
    <w:p w14:paraId="76DF6F6A" w14:textId="11324BD9" w:rsidR="002B4983" w:rsidRPr="00BE5CBF" w:rsidRDefault="00861C79" w:rsidP="00861C79">
      <w:pPr>
        <w:ind w:firstLine="720"/>
      </w:pPr>
      <w:r>
        <w:lastRenderedPageBreak/>
        <w:t xml:space="preserve">The goal of this study was to generate a robust estimate of local cost </w:t>
      </w:r>
      <w:r w:rsidR="00EC5A81">
        <w:t>associated with</w:t>
      </w:r>
      <w:r>
        <w:t xml:space="preserve"> CDI using data that are automatically extractable from </w:t>
      </w:r>
      <w:r w:rsidR="005E5FFB">
        <w:t>a typical</w:t>
      </w:r>
      <w:r>
        <w:t xml:space="preserve"> EMR.</w:t>
      </w:r>
      <w:r w:rsidR="009E4DCB">
        <w:t xml:space="preserve"> </w:t>
      </w:r>
      <w:r>
        <w:t>W</w:t>
      </w:r>
      <w:r w:rsidR="00437F2E">
        <w:t>e use</w:t>
      </w:r>
      <w:r w:rsidR="006D6E9A">
        <w:t xml:space="preserve"> </w:t>
      </w:r>
      <w:r w:rsidR="00BD47D7">
        <w:t>all available structured data recorded within 24 hours of</w:t>
      </w:r>
      <w:r w:rsidR="003277F8">
        <w:t xml:space="preserve"> admission in the EMR—</w:t>
      </w:r>
      <w:r w:rsidR="00E65EA0">
        <w:t xml:space="preserve">including </w:t>
      </w:r>
      <w:r w:rsidR="00804274">
        <w:t xml:space="preserve">over 20,000 </w:t>
      </w:r>
      <w:r w:rsidR="00D97035">
        <w:t xml:space="preserve">variables, </w:t>
      </w:r>
      <w:r w:rsidR="00E65EA0">
        <w:t xml:space="preserve">such as </w:t>
      </w:r>
      <w:r w:rsidR="00437F2E">
        <w:t>medications</w:t>
      </w:r>
      <w:r w:rsidR="00C47BCA">
        <w:t xml:space="preserve"> reported </w:t>
      </w:r>
      <w:r w:rsidR="00B51809">
        <w:t xml:space="preserve">and </w:t>
      </w:r>
      <w:r w:rsidR="00C47BCA">
        <w:t>administered</w:t>
      </w:r>
      <w:r w:rsidR="00437F2E">
        <w:t xml:space="preserve">, abnormal lab values, and </w:t>
      </w:r>
      <w:r w:rsidR="003277F8">
        <w:t>problem list entries—</w:t>
      </w:r>
      <w:r w:rsidR="000A3223">
        <w:t>to build</w:t>
      </w:r>
      <w:r w:rsidR="00B72626">
        <w:t xml:space="preserve"> </w:t>
      </w:r>
      <w:r w:rsidR="00761B43">
        <w:t>fully</w:t>
      </w:r>
      <w:r w:rsidR="007278AA">
        <w:t xml:space="preserve"> </w:t>
      </w:r>
      <w:r w:rsidR="00B72626">
        <w:t>data-driven</w:t>
      </w:r>
      <w:r w:rsidR="00B82114">
        <w:t xml:space="preserve"> </w:t>
      </w:r>
      <w:r w:rsidR="00437F2E">
        <w:t xml:space="preserve">models for CDI </w:t>
      </w:r>
      <w:r w:rsidR="003E5807">
        <w:t>risk</w:t>
      </w:r>
      <w:r w:rsidR="00B82114">
        <w:t xml:space="preserve"> using </w:t>
      </w:r>
      <w:r w:rsidR="00FC6770">
        <w:t xml:space="preserve">a </w:t>
      </w:r>
      <w:r w:rsidR="00B82114">
        <w:t xml:space="preserve">machine learning </w:t>
      </w:r>
      <w:r w:rsidR="00162BDB">
        <w:t>algorithm</w:t>
      </w:r>
      <w:r w:rsidR="00973C53">
        <w:t>,</w:t>
      </w:r>
      <w:r w:rsidR="000A3223">
        <w:t xml:space="preserve"> avoid</w:t>
      </w:r>
      <w:r w:rsidR="00973C53">
        <w:t>ing</w:t>
      </w:r>
      <w:r w:rsidR="000A3223">
        <w:t xml:space="preserve"> the</w:t>
      </w:r>
      <w:r w:rsidR="00A031A6">
        <w:t xml:space="preserve"> potential</w:t>
      </w:r>
      <w:r w:rsidR="000A3223">
        <w:t xml:space="preserve"> bias</w:t>
      </w:r>
      <w:r w:rsidR="00D46A05">
        <w:t xml:space="preserve"> of preselected</w:t>
      </w:r>
      <w:r w:rsidR="000A3223">
        <w:t xml:space="preserve"> covariates</w:t>
      </w:r>
      <w:r w:rsidR="003073C2">
        <w:t xml:space="preserve"> </w:t>
      </w:r>
      <w:r w:rsidR="00A031A6">
        <w:t>and</w:t>
      </w:r>
      <w:r w:rsidR="003073C2">
        <w:t xml:space="preserve"> manual </w:t>
      </w:r>
      <w:r w:rsidR="00CF5720">
        <w:t>chart review</w:t>
      </w:r>
      <w:r w:rsidR="00A5322F">
        <w:t xml:space="preserve">. </w:t>
      </w:r>
      <w:r w:rsidR="000A3223">
        <w:t>CDI risk models</w:t>
      </w:r>
      <w:r w:rsidR="00A5322F">
        <w:t xml:space="preserve"> </w:t>
      </w:r>
      <w:r w:rsidR="00A81D21">
        <w:t>trained on</w:t>
      </w:r>
      <w:r w:rsidR="00B74768">
        <w:t xml:space="preserve"> </w:t>
      </w:r>
      <w:r w:rsidR="00C418BD">
        <w:t>uncurated</w:t>
      </w:r>
      <w:r w:rsidR="00B74768">
        <w:t xml:space="preserve"> data from</w:t>
      </w:r>
      <w:r w:rsidR="00A5322F">
        <w:t xml:space="preserve"> EMR</w:t>
      </w:r>
      <w:r w:rsidR="00B74768">
        <w:t xml:space="preserve">s </w:t>
      </w:r>
      <w:r w:rsidR="004F0623">
        <w:t xml:space="preserve">have </w:t>
      </w:r>
      <w:r w:rsidR="0030482F">
        <w:t xml:space="preserve">already </w:t>
      </w:r>
      <w:r w:rsidR="00A5322F">
        <w:t>outperform</w:t>
      </w:r>
      <w:r w:rsidR="004F0623">
        <w:t>ed</w:t>
      </w:r>
      <w:r w:rsidR="00ED4F26">
        <w:t xml:space="preserve"> </w:t>
      </w:r>
      <w:r w:rsidR="00A5322F">
        <w:t xml:space="preserve">models </w:t>
      </w:r>
      <w:r w:rsidR="00207C52">
        <w:t>that only incorporate</w:t>
      </w:r>
      <w:r w:rsidR="006D1734">
        <w:t xml:space="preserve"> variables </w:t>
      </w:r>
      <w:r w:rsidR="00C87BD2">
        <w:t>for</w:t>
      </w:r>
      <w:r w:rsidR="00A5322F">
        <w:t xml:space="preserve"> known risk factors</w:t>
      </w:r>
      <w:r w:rsidR="00F26442">
        <w:t xml:space="preserve">, </w:t>
      </w:r>
      <w:r w:rsidR="00A92B99">
        <w:t>indicating that</w:t>
      </w:r>
      <w:r w:rsidR="00F26442">
        <w:t xml:space="preserve"> CDI </w:t>
      </w:r>
      <w:r w:rsidR="00B82114">
        <w:t xml:space="preserve">risk </w:t>
      </w:r>
      <w:r w:rsidR="00BF523C">
        <w:t>m</w:t>
      </w:r>
      <w:r w:rsidR="00923B9D">
        <w:t xml:space="preserve">ay </w:t>
      </w:r>
      <w:r w:rsidR="004631B2">
        <w:t xml:space="preserve">be </w:t>
      </w:r>
      <w:r w:rsidR="00923B9D">
        <w:t xml:space="preserve">nuanced </w:t>
      </w:r>
      <w:r w:rsidR="00DC222F">
        <w:t>in</w:t>
      </w:r>
      <w:r w:rsidR="00294A6E">
        <w:t xml:space="preserve"> </w:t>
      </w:r>
      <w:r w:rsidR="006B2191">
        <w:t>particular</w:t>
      </w:r>
      <w:r w:rsidR="00923B9D">
        <w:t xml:space="preserve"> care setting</w:t>
      </w:r>
      <w:r w:rsidR="00294A6E">
        <w:t>s</w:t>
      </w:r>
      <w:r w:rsidR="00ED4F26">
        <w:t>.</w:t>
      </w:r>
      <w:r w:rsidR="000A3223">
        <w:fldChar w:fldCharType="begin" w:fldLock="1"/>
      </w:r>
      <w:r w:rsidR="00717812">
        <w:instrText>ADDIN CSL_CITATION { "citationItems" : [ { "id" : "ITEM-1", "itemData" : { "DOI" : "10.1093/ofid/ofu045", "author" : [ { "dropping-particle" : "", "family" : "Wiens", "given" : "Jenna", "non-dropping-particle" : "", "parse-names" : false, "suffix" : "" }, { "dropping-particle" : "", "family" : "Campbell", "given" : "WN", "non-dropping-particle" : "", "parse-names" : false, "suffix" : "" } ], "container-title" : "Open Forum Infectious Diseases", "id" : "ITEM-1", "issue" : "2", "issued" : { "date-parts" : [ [ "2014" ] ] }, "page" : "1-9", "title" : "Learning Data-Driven Patient Risk Stratification Models for Clostridium difficile", "type" : "article-journal", "volume" : "1" }, "uris" : [ "http://www.mendeley.com/documents/?uuid=1be90483-7594-4ef3-a0a1-92457eeca6f0" ] } ], "mendeley" : { "formattedCitation" : "\\autocite{Wiens2014}", "plainTextFormattedCitation" : "\\autocite{Wiens2014}", "previouslyFormattedCitation" : "&lt;sup&gt;23&lt;/sup&gt;" }, "properties" : { "noteIndex" : 0 }, "schema" : "https://github.com/citation-style-language/schema/raw/master/csl-citation.json" }</w:instrText>
      </w:r>
      <w:r w:rsidR="000A3223">
        <w:fldChar w:fldCharType="separate"/>
      </w:r>
      <w:r w:rsidR="00717812" w:rsidRPr="00717812">
        <w:rPr>
          <w:noProof/>
        </w:rPr>
        <w:t>\autocite{Wiens2014}</w:t>
      </w:r>
      <w:r w:rsidR="000A3223">
        <w:fldChar w:fldCharType="end"/>
      </w:r>
      <w:r w:rsidR="00B72626">
        <w:t xml:space="preserve"> </w:t>
      </w:r>
      <w:proofErr w:type="gramStart"/>
      <w:r w:rsidR="006D1734">
        <w:t>We</w:t>
      </w:r>
      <w:proofErr w:type="gramEnd"/>
      <w:r w:rsidR="006D1734">
        <w:t xml:space="preserve"> then use</w:t>
      </w:r>
      <w:r w:rsidR="00D53BD0">
        <w:t xml:space="preserve"> </w:t>
      </w:r>
      <w:r w:rsidR="00CC21CB">
        <w:t xml:space="preserve">these trained </w:t>
      </w:r>
      <w:r w:rsidR="00D53BD0">
        <w:t xml:space="preserve">CDI risk </w:t>
      </w:r>
      <w:r w:rsidR="00437F2E">
        <w:t xml:space="preserve">models </w:t>
      </w:r>
      <w:r w:rsidR="004E3F35">
        <w:t>for propensity sco</w:t>
      </w:r>
      <w:r w:rsidR="00995045">
        <w:t xml:space="preserve">re matching, which allows </w:t>
      </w:r>
      <w:r w:rsidR="004E3F35">
        <w:t>estima</w:t>
      </w:r>
      <w:r w:rsidR="00ED4F26">
        <w:t>tion of change</w:t>
      </w:r>
      <w:r w:rsidR="006D1734">
        <w:t>s</w:t>
      </w:r>
      <w:r w:rsidR="00ED4F26">
        <w:t xml:space="preserve"> in LOS </w:t>
      </w:r>
      <w:r w:rsidR="00747072">
        <w:t>associated with</w:t>
      </w:r>
      <w:r w:rsidR="004E3F35">
        <w:t xml:space="preserve"> CDI. </w:t>
      </w:r>
      <w:r w:rsidR="00633D35">
        <w:t>M</w:t>
      </w:r>
      <w:r w:rsidR="004E3F35">
        <w:t xml:space="preserve">ost previous studies of CDI cost do not account for the </w:t>
      </w:r>
      <w:r w:rsidR="00ED4F26">
        <w:t>possibility that longer LOS increases the</w:t>
      </w:r>
      <w:r w:rsidR="00995045">
        <w:t xml:space="preserve"> risk of CDI, i.e., </w:t>
      </w:r>
      <w:r w:rsidR="00ED4F26">
        <w:t xml:space="preserve">reverse causation, and </w:t>
      </w:r>
      <w:r w:rsidR="00143660">
        <w:t xml:space="preserve">therefore </w:t>
      </w:r>
      <w:r w:rsidR="00ED4F26">
        <w:t>likely overestimate the cost of CDI.</w:t>
      </w:r>
      <w:r w:rsidR="00ED4F26">
        <w:fldChar w:fldCharType="begin" w:fldLock="1"/>
      </w:r>
      <w:r w:rsidR="00717812">
        <w:instrText>ADDIN CSL_CITATION { "citationItems" : [ { "id" : "ITEM-1", "itemData" : { "DOI" : "10.1017/ice.2015.132", "ISBN" : "1559-6834", "ISSN" : "1559-6834", "PMID" : "26006153", "abstract" : "BACKGROUND Standard estimates of the impact of Clostridium difficile infections (CDI) on inpatient lengths of stay (LOS) may overstate inpatient care costs attributable to CDI. In this study, we used multistate modeling (MSM) of CDI timing to reduce bias in estimates of excess LOS. METHODS A retrospective cohort study of all hospitalizations at any of 120 acute care facilities within the US Department of Veterans Affairs (VA) between 2005 and 2012 was conducted. We estimated the excess LOS attributable to CDI using an MSM to address time-dependent bias. Bootstrapping was used to generate 95% confidence intervals (CI). These estimates were compared to unadjusted differences in mean LOS for hospitalizations with and without CDI. RESULTS During the study period, there were 3.96 million hospitalizations and 43,540 CDIs. A comparison of unadjusted means suggested an excess LOS of 14.0 days (19.4 vs 5.4 days). In contrast, the MSM estimated an attributable LOS of only 2.27 days (95% CI, 2.14-2.40). The excess LOS for mild-to-moderate CDI was 0.75 days (95% CI, 0.59-0.89), and for severe CDI, it was 4.11 days (95% CI, 3.90-4.32). Substantial variation across the Veteran Integrated Services Networks (VISN) was observed. CONCLUSIONS CDI significantly contributes to LOS, but the magnitude of its estimated impact is smaller when methods are used that account for the time-varying nature of infection. The greatest impact on LOS occurred among patients with severe CDI. Significant geographic variability was observed. MSM is a useful tool for obtaining more accurate estimates of the inpatient care costs of CDI. Infect. Control Hosp. Epidemiol. 2015;00(0):1-7.", "author" : [ { "dropping-particle" : "", "family" : "Stevens", "given" : "Vanessa W", "non-dropping-particle" : "", "parse-names" : false, "suffix" : "" }, { "dropping-particle" : "", "family" : "Khader", "given" : "Karim", "non-dropping-particle" : "", "parse-names" : false, "suffix" : "" }, { "dropping-particle" : "", "family" : "Nelson", "given" : "Richard E", "non-dropping-particle" : "", "parse-names" : false, "suffix" : "" }, { "dropping-particle" : "", "family" : "Jones", "given" : "Makoto", "non-dropping-particle" : "", "parse-names" : false, "suffix" : "" }, { "dropping-particle" : "", "family" : "Rubin", "given" : "Michael a", "non-dropping-particle" : "", "parse-names" : false, "suffix" : "" }, { "dropping-particle" : "", "family" : "Brown", "given" : "Kevin a", "non-dropping-particle" : "", "parse-names" : false, "suffix" : "" }, { "dropping-particle" : "", "family" : "Evans", "given" : "Martin E", "non-dropping-particle" : "", "parse-names" : false, "suffix" : "" }, { "dropping-particle" : "", "family" : "Greene", "given" : "Tom", "non-dropping-particle" : "", "parse-names" : false, "suffix" : "" }, { "dropping-particle" : "", "family" : "Slade", "given" : "Eric", "non-dropping-particle" : "", "parse-names" : false, "suffix" : "" }, { "dropping-particle" : "", "family" : "Samore", "given" : "Matthew H", "non-dropping-particle" : "", "parse-names" : false, "suffix" : "" } ], "container-title" : "Infection control and hospital epidemiology", "id" : "ITEM-1", "issue" : "Cdi", "issued" : { "date-parts" : [ [ "2015" ] ] }, "page" : "1-7", "title" : "Excess Length of Stay Attributable to Clostridium difficile Infection (CDI) in the Acute Care Setting: A Multistate Model.", "type" : "article-journal", "volume" : "36" }, "uris" : [ "http://www.mendeley.com/documents/?uuid=48762d07-8992-4ffd-a6c6-cae69631360e" ] }, { "id" : "ITEM-2", "itemData" : { "DOI" : "10.1016/j.ajic.2013.07.006", "ISBN" : "0196-6553\r1527-3296", "ISSN" : "01966553", "PMID" : "24290226", "abstract" : "Background Clostridium difficile infection (CDI) possibly extends hospital length of stay (LOS); however, the current evidence does not account for the time-dependent bias, ie, when infection is incorrectly analyzed as a baseline covariate. The aim of this study was to determine whether CDI increases LOS after managing this bias. Methods We examined the estimated extra LOS because of CDI using a multistate model. Data from all persons hospitalized &gt;48 hours over 4 years in a tertiary hospital in Australia were analyzed. Persons with health care-associated CDIs were identified. Cox proportional hazards models were applied together with multistate modeling. Results One hundred fifty-eight of 58,942 admissions examined had CDI. The mean extra LOS because of infection was 0.9 days (95% confidence interval: -1.8 to 3.6 days, P =.51) when a multistate model was applied. The hazard of discharge was lower in persons who had CDI (adjusted hazard ratio, 0.42; P &lt;.001) when a Cox proportional hazard model was applied. Conclusion This study is the first to use multistate models to determine the extra LOS because of CDI. Results suggest CDI does not significantly contribute to hospital LOS, contradicting findings published elsewhere. Conversely, when methods prone to result in time-dependent bias were applied to the data, the hazard of discharge significantly increased. These findings contribute to discussion on methods used to evaluate LOS and health care-associated infections.", "author" : [ { "dropping-particle" : "", "family" : "Mitchell", "given" : "Brett G.", "non-dropping-particle" : "", "parse-names" : false, "suffix" : "" }, { "dropping-particle" : "", "family" : "Gardner", "given" : "Anne", "non-dropping-particle" : "", "parse-names" : false, "suffix" : "" }, { "dropping-particle" : "", "family" : "Barnett", "given" : "Adrian G.", "non-dropping-particle" : "", "parse-names" : false, "suffix" : "" }, { "dropping-particle" : "", "family" : "Hiller", "given" : "Janet E.", "non-dropping-particle" : "", "parse-names" : false, "suffix" : "" }, { "dropping-particle" : "", "family" : "Graves", "given" : "Nicholas", "non-dropping-particle" : "", "parse-names" : false, "suffix" : "" } ], "container-title" : "American Journal of Infection Control", "id" : "ITEM-2", "issue" : "2", "issued" : { "date-parts" : [ [ "2014" ] ] }, "page" : "164-167", "publisher" : "Elsevier Inc", "title" : "The prolongation of length of stay because of Clostridium difficile infection", "type" : "article-journal", "volume" : "42" }, "uris" : [ "http://www.mendeley.com/documents/?uuid=a1f2dcd7-ed71-4ff1-9e5a-589fada7571d" ] } ], "mendeley" : { "formattedCitation" : "\\autocite{Mitchell2014,Stevens2015}", "plainTextFormattedCitation" : "\\autocite{Mitchell2014,Stevens2015}", "previouslyFormattedCitation" : "&lt;sup&gt;7,24&lt;/sup&gt;" }, "properties" : { "noteIndex" : 0 }, "schema" : "https://github.com/citation-style-language/schema/raw/master/csl-citation.json" }</w:instrText>
      </w:r>
      <w:r w:rsidR="00ED4F26">
        <w:fldChar w:fldCharType="separate"/>
      </w:r>
      <w:r w:rsidR="00717812" w:rsidRPr="00717812">
        <w:rPr>
          <w:noProof/>
        </w:rPr>
        <w:t>\autocite{Mitchell2014,Stevens2015}</w:t>
      </w:r>
      <w:r w:rsidR="00ED4F26">
        <w:fldChar w:fldCharType="end"/>
      </w:r>
      <w:r w:rsidR="00995045">
        <w:t xml:space="preserve"> </w:t>
      </w:r>
      <w:proofErr w:type="gramStart"/>
      <w:r w:rsidR="00995045">
        <w:t>To</w:t>
      </w:r>
      <w:proofErr w:type="gramEnd"/>
      <w:r w:rsidR="00995045">
        <w:t xml:space="preserve"> adjust for this, we stratify our analysis by the time of CDI diagnosis to find the </w:t>
      </w:r>
      <w:r w:rsidR="00466E0E">
        <w:t xml:space="preserve">change in </w:t>
      </w:r>
      <w:r w:rsidR="00995045">
        <w:t xml:space="preserve">LOS </w:t>
      </w:r>
      <w:r w:rsidR="00BF4023">
        <w:t>conditional on</w:t>
      </w:r>
      <w:r w:rsidR="00995045">
        <w:t xml:space="preserve"> minimal</w:t>
      </w:r>
      <w:r w:rsidR="0011750D">
        <w:t xml:space="preserve"> prior</w:t>
      </w:r>
      <w:r w:rsidR="00995045">
        <w:t xml:space="preserve"> exposure</w:t>
      </w:r>
      <w:r w:rsidR="0049006D">
        <w:t xml:space="preserve"> to the hospital environment. Finally, we</w:t>
      </w:r>
      <w:r w:rsidR="0083016D">
        <w:t xml:space="preserve"> </w:t>
      </w:r>
      <w:r w:rsidR="0059453A">
        <w:t xml:space="preserve">compare these </w:t>
      </w:r>
      <w:r>
        <w:t xml:space="preserve">results </w:t>
      </w:r>
      <w:r w:rsidR="00C22F56">
        <w:t xml:space="preserve">to a </w:t>
      </w:r>
      <w:r w:rsidR="009671FD">
        <w:t xml:space="preserve">multistate model of </w:t>
      </w:r>
      <w:r w:rsidR="00995045">
        <w:t xml:space="preserve">competing </w:t>
      </w:r>
      <w:r w:rsidR="008774A4">
        <w:t xml:space="preserve">time-dependent </w:t>
      </w:r>
      <w:r w:rsidR="00995045">
        <w:t xml:space="preserve">risks between discharge and </w:t>
      </w:r>
      <w:r w:rsidR="00D0431B">
        <w:t xml:space="preserve">the </w:t>
      </w:r>
      <w:r w:rsidR="00AF5DF0">
        <w:t xml:space="preserve">onset of </w:t>
      </w:r>
      <w:r w:rsidR="00331505">
        <w:t>C</w:t>
      </w:r>
      <w:r w:rsidR="00AF5DF0">
        <w:t>DI.</w:t>
      </w:r>
      <w:r w:rsidR="00584B78">
        <w:t xml:space="preserve"> </w:t>
      </w:r>
    </w:p>
    <w:p w14:paraId="74C22CCA" w14:textId="77777777" w:rsidR="00394153" w:rsidRDefault="00394153" w:rsidP="00394153">
      <w:pPr>
        <w:pStyle w:val="Heading1"/>
      </w:pPr>
      <w:r>
        <w:t>Methods</w:t>
      </w:r>
    </w:p>
    <w:p w14:paraId="583D482D" w14:textId="77777777" w:rsidR="006F5325" w:rsidRDefault="006F5325" w:rsidP="006F5325">
      <w:pPr>
        <w:pStyle w:val="Heading2"/>
      </w:pPr>
      <w:r>
        <w:t>Data Source</w:t>
      </w:r>
    </w:p>
    <w:p w14:paraId="4206DDDC" w14:textId="3BB13C4E" w:rsidR="00394153" w:rsidRDefault="009A7B7C" w:rsidP="004853B0">
      <w:r>
        <w:t>This study was conducted at The Mount Sinai Hospital, a 1,171-bed tertiary care hospital in New York, NY.</w:t>
      </w:r>
      <w:r w:rsidR="006B4B31">
        <w:t xml:space="preserve"> </w:t>
      </w:r>
      <w:r w:rsidR="00512D7A">
        <w:t>Records</w:t>
      </w:r>
      <w:r w:rsidR="006B4B31">
        <w:t xml:space="preserve"> of adult inpatient visits </w:t>
      </w:r>
      <w:r w:rsidR="005A6AC7">
        <w:t xml:space="preserve">were </w:t>
      </w:r>
      <w:r w:rsidR="009F79E4">
        <w:t>extracted</w:t>
      </w:r>
      <w:r w:rsidR="005A6AC7">
        <w:t xml:space="preserve"> from</w:t>
      </w:r>
      <w:r w:rsidR="00480A49">
        <w:t xml:space="preserve"> </w:t>
      </w:r>
      <w:r w:rsidR="00E36720">
        <w:t>warehoused</w:t>
      </w:r>
      <w:r w:rsidR="00150004">
        <w:t xml:space="preserve"> </w:t>
      </w:r>
      <w:r w:rsidR="005A6AC7">
        <w:t xml:space="preserve">Epic EMR </w:t>
      </w:r>
      <w:r w:rsidR="00E36720">
        <w:t xml:space="preserve">data </w:t>
      </w:r>
      <w:r w:rsidR="005A6AC7">
        <w:t>and de-identified using the</w:t>
      </w:r>
      <w:r w:rsidR="00DB4663">
        <w:t xml:space="preserve"> HIPAA</w:t>
      </w:r>
      <w:r w:rsidR="005A6AC7">
        <w:t xml:space="preserve"> Safe Harbor method</w:t>
      </w:r>
      <w:r w:rsidR="00DB4663">
        <w:t xml:space="preserve">, </w:t>
      </w:r>
      <w:r w:rsidR="004C7FE6">
        <w:t xml:space="preserve">45 CFR </w:t>
      </w:r>
      <w:r w:rsidR="005A6AC7">
        <w:t>§</w:t>
      </w:r>
      <w:r w:rsidR="005A6AC7" w:rsidRPr="005A6AC7">
        <w:t>164.514</w:t>
      </w:r>
      <w:r w:rsidR="004C7FE6">
        <w:t>(b)(2).</w:t>
      </w:r>
      <w:r w:rsidR="005B345D">
        <w:t xml:space="preserve"> D</w:t>
      </w:r>
      <w:r w:rsidR="00B61C6D">
        <w:t>ata was collected on demographics</w:t>
      </w:r>
      <w:r w:rsidR="005B345D">
        <w:t xml:space="preserve">, </w:t>
      </w:r>
      <w:r w:rsidR="00C856CC">
        <w:t>LOS</w:t>
      </w:r>
      <w:r w:rsidR="005B345D">
        <w:t xml:space="preserve">, time of death, admission sources, reported medications, and the presence of </w:t>
      </w:r>
      <w:r w:rsidR="00D43595">
        <w:t>a</w:t>
      </w:r>
      <w:r w:rsidR="005B345D">
        <w:t xml:space="preserve"> </w:t>
      </w:r>
      <w:r w:rsidR="00587BC2">
        <w:t>“</w:t>
      </w:r>
      <w:r w:rsidR="005B345D">
        <w:t>008.45</w:t>
      </w:r>
      <w:r w:rsidR="00587BC2">
        <w:t>”</w:t>
      </w:r>
      <w:r w:rsidR="002C5C52">
        <w:t xml:space="preserve"> </w:t>
      </w:r>
      <w:r w:rsidR="00F91C91">
        <w:t xml:space="preserve">ICD-9 </w:t>
      </w:r>
      <w:r w:rsidR="00802FDD">
        <w:t xml:space="preserve">principal or secondary </w:t>
      </w:r>
      <w:r w:rsidR="00127713">
        <w:t xml:space="preserve">visit </w:t>
      </w:r>
      <w:r w:rsidR="005B345D">
        <w:t>diagnosis code</w:t>
      </w:r>
      <w:r w:rsidR="00127713">
        <w:t xml:space="preserve"> </w:t>
      </w:r>
      <w:r w:rsidR="00060C27">
        <w:t xml:space="preserve">denoting </w:t>
      </w:r>
      <w:r w:rsidR="005B345D">
        <w:t xml:space="preserve">“Intestinal infection due to </w:t>
      </w:r>
      <w:r w:rsidR="005B345D">
        <w:rPr>
          <w:i/>
        </w:rPr>
        <w:t>Clostridium difficile.</w:t>
      </w:r>
      <w:r w:rsidR="005B345D">
        <w:t xml:space="preserve">” Furthermore, </w:t>
      </w:r>
      <w:r w:rsidR="00A83064">
        <w:t>all</w:t>
      </w:r>
      <w:r w:rsidR="005B345D">
        <w:t xml:space="preserve"> records of medications administered, abnormal lab result codes, surgery procedure codes, or problem list ICD-9 codes</w:t>
      </w:r>
      <w:r w:rsidR="000A6085">
        <w:t xml:space="preserve"> within the first </w:t>
      </w:r>
      <w:r w:rsidR="000A6085">
        <w:lastRenderedPageBreak/>
        <w:t>24 hours after admission were</w:t>
      </w:r>
      <w:r w:rsidR="006054FD">
        <w:t xml:space="preserve"> collected as boolean variables</w:t>
      </w:r>
      <w:r w:rsidR="000A6085">
        <w:t xml:space="preserve"> </w:t>
      </w:r>
      <w:r w:rsidR="00BE5F58">
        <w:t>(</w:t>
      </w:r>
      <w:r w:rsidR="000A6085">
        <w:t>presence or absence</w:t>
      </w:r>
      <w:r w:rsidR="00BE5F58">
        <w:t>)</w:t>
      </w:r>
      <w:r w:rsidR="005B345D">
        <w:t>.</w:t>
      </w:r>
      <w:r w:rsidR="00C97BF9">
        <w:t xml:space="preserve"> </w:t>
      </w:r>
      <w:r w:rsidR="00680F94">
        <w:t>All codes and</w:t>
      </w:r>
      <w:r w:rsidR="00C97BF9">
        <w:t xml:space="preserve"> variables that </w:t>
      </w:r>
      <w:r w:rsidR="00680F94">
        <w:t>were</w:t>
      </w:r>
      <w:r w:rsidR="00700CC3">
        <w:t xml:space="preserve"> uniform across </w:t>
      </w:r>
      <w:r w:rsidR="00680F94">
        <w:t>the study population</w:t>
      </w:r>
      <w:r w:rsidR="00C97BF9">
        <w:t xml:space="preserve"> were </w:t>
      </w:r>
      <w:r w:rsidR="00D93298">
        <w:t>dropped</w:t>
      </w:r>
      <w:r w:rsidR="00C97BF9">
        <w:t xml:space="preserve"> from the dataset.</w:t>
      </w:r>
      <w:r w:rsidR="005B345D">
        <w:t xml:space="preserve"> The relationship </w:t>
      </w:r>
      <w:r w:rsidR="00F773A9">
        <w:t>between collected data elements</w:t>
      </w:r>
      <w:r w:rsidR="006043C3">
        <w:t xml:space="preserve">, including </w:t>
      </w:r>
      <w:r w:rsidR="00F773A9">
        <w:t>the</w:t>
      </w:r>
      <w:r w:rsidR="00412655">
        <w:t xml:space="preserve"> maximal</w:t>
      </w:r>
      <w:r w:rsidR="00F773A9">
        <w:t xml:space="preserve"> </w:t>
      </w:r>
      <w:r w:rsidR="00C810A9">
        <w:t>cardinality of each datatype</w:t>
      </w:r>
      <w:r w:rsidR="003B1F88">
        <w:t>,</w:t>
      </w:r>
      <w:r w:rsidR="00C810A9">
        <w:t xml:space="preserve"> </w:t>
      </w:r>
      <w:r w:rsidR="00F773A9">
        <w:t>are</w:t>
      </w:r>
      <w:r w:rsidR="00856861">
        <w:t xml:space="preserve"> summarized in </w:t>
      </w:r>
      <w:r w:rsidR="005B345D">
        <w:t>Figure 1</w:t>
      </w:r>
      <w:r w:rsidR="00F773A9">
        <w:t>A</w:t>
      </w:r>
      <w:r w:rsidR="005B345D">
        <w:t>.</w:t>
      </w:r>
      <w:r w:rsidR="004853B0">
        <w:t xml:space="preserve"> </w:t>
      </w:r>
      <w:proofErr w:type="gramStart"/>
      <w:r w:rsidR="00623AD2" w:rsidRPr="00837464">
        <w:t xml:space="preserve">This study was </w:t>
      </w:r>
      <w:r w:rsidR="00FC0653" w:rsidRPr="00837464">
        <w:t xml:space="preserve">approved by </w:t>
      </w:r>
      <w:r w:rsidR="00B64244" w:rsidRPr="00837464">
        <w:t>Mount Sinai’s I</w:t>
      </w:r>
      <w:r w:rsidR="00FC0653" w:rsidRPr="00837464">
        <w:t xml:space="preserve">nstitutional </w:t>
      </w:r>
      <w:r w:rsidR="00B64244" w:rsidRPr="00837464">
        <w:t>Review B</w:t>
      </w:r>
      <w:r w:rsidR="00FC0653" w:rsidRPr="00837464">
        <w:t>oard</w:t>
      </w:r>
      <w:r w:rsidR="004853B0" w:rsidRPr="00837464">
        <w:t xml:space="preserve"> as exempt research</w:t>
      </w:r>
      <w:proofErr w:type="gramEnd"/>
      <w:r w:rsidR="00FC0653" w:rsidRPr="00837464">
        <w:t>.</w:t>
      </w:r>
    </w:p>
    <w:p w14:paraId="1C7A0FE6" w14:textId="77777777" w:rsidR="006F5325" w:rsidRDefault="006F5325" w:rsidP="006F5325">
      <w:pPr>
        <w:pStyle w:val="Heading2"/>
      </w:pPr>
      <w:r>
        <w:t>Study Population</w:t>
      </w:r>
    </w:p>
    <w:p w14:paraId="11C0AF44" w14:textId="77777777" w:rsidR="006F5325" w:rsidRDefault="00062740" w:rsidP="00394153">
      <w:r>
        <w:t>The cohort included all patients 18 years of age or older</w:t>
      </w:r>
      <w:r w:rsidR="00305972">
        <w:t xml:space="preserve"> </w:t>
      </w:r>
      <w:r w:rsidR="003107D2">
        <w:t>admitted between January 1, 2009 and October 22, 2015</w:t>
      </w:r>
      <w:r w:rsidR="003A3A57">
        <w:t xml:space="preserve"> (Figure 1B)</w:t>
      </w:r>
      <w:r w:rsidR="008E694F">
        <w:t xml:space="preserve">. </w:t>
      </w:r>
      <w:r w:rsidR="002C7397">
        <w:t xml:space="preserve">For each patient, visits </w:t>
      </w:r>
      <w:r w:rsidR="007058E2">
        <w:t>following</w:t>
      </w:r>
      <w:r w:rsidR="002C7397">
        <w:t xml:space="preserve"> the </w:t>
      </w:r>
      <w:r w:rsidR="00143A85">
        <w:t>first</w:t>
      </w:r>
      <w:r w:rsidR="002C7397">
        <w:t xml:space="preserve"> </w:t>
      </w:r>
      <w:r w:rsidR="00F61D63">
        <w:t xml:space="preserve">recorded </w:t>
      </w:r>
      <w:r w:rsidR="002C7397">
        <w:t>visit</w:t>
      </w:r>
      <w:r w:rsidR="00143A85">
        <w:t xml:space="preserve"> in the time range</w:t>
      </w:r>
      <w:r w:rsidR="002C7397">
        <w:t xml:space="preserve"> were excluded</w:t>
      </w:r>
      <w:r w:rsidR="005B2266">
        <w:t xml:space="preserve"> so that each patient corresponded to a single visit</w:t>
      </w:r>
      <w:r w:rsidR="0075246D">
        <w:t>.</w:t>
      </w:r>
      <w:r w:rsidR="008A6871">
        <w:t xml:space="preserve"> </w:t>
      </w:r>
      <w:r w:rsidR="006C2A6F">
        <w:t>Visits involving a patient death, defined as a</w:t>
      </w:r>
      <w:r w:rsidR="00225C58">
        <w:t xml:space="preserve"> </w:t>
      </w:r>
      <w:r w:rsidR="00A20ED1">
        <w:t xml:space="preserve">recorded </w:t>
      </w:r>
      <w:r w:rsidR="006C2A6F">
        <w:t xml:space="preserve">time of death </w:t>
      </w:r>
      <w:r w:rsidR="00225C58">
        <w:t xml:space="preserve">within </w:t>
      </w:r>
      <w:r w:rsidR="006C2A6F">
        <w:t xml:space="preserve">24 hours </w:t>
      </w:r>
      <w:r w:rsidR="00707549">
        <w:t xml:space="preserve">after </w:t>
      </w:r>
      <w:r w:rsidR="006C2A6F">
        <w:t>discharge, were excluded.</w:t>
      </w:r>
      <w:r w:rsidR="0087313D">
        <w:t xml:space="preserve"> Visits with missing</w:t>
      </w:r>
      <w:r w:rsidR="00EB489C">
        <w:t xml:space="preserve"> or invalid</w:t>
      </w:r>
      <w:r w:rsidR="0087313D">
        <w:t xml:space="preserve"> date information were excluded</w:t>
      </w:r>
      <w:r w:rsidR="000A404E">
        <w:t xml:space="preserve"> (&lt;0.01% of all records).</w:t>
      </w:r>
      <w:r w:rsidR="00512629">
        <w:t xml:space="preserve"> </w:t>
      </w:r>
    </w:p>
    <w:p w14:paraId="28108CD6" w14:textId="77777777" w:rsidR="002C26CC" w:rsidRDefault="009D755E" w:rsidP="002C26CC">
      <w:pPr>
        <w:pStyle w:val="Heading2"/>
      </w:pPr>
      <w:r>
        <w:t>Study</w:t>
      </w:r>
      <w:r w:rsidR="002C26CC">
        <w:t xml:space="preserve"> Design</w:t>
      </w:r>
    </w:p>
    <w:p w14:paraId="1DF7AC03" w14:textId="48AEE212" w:rsidR="002C26CC" w:rsidRDefault="0083016D" w:rsidP="00394153">
      <w:r>
        <w:t>Pr</w:t>
      </w:r>
      <w:r w:rsidR="00A73412">
        <w:t xml:space="preserve">ior studies </w:t>
      </w:r>
      <w:r w:rsidR="000629BB">
        <w:t xml:space="preserve">vary </w:t>
      </w:r>
      <w:r w:rsidR="00A73412">
        <w:t xml:space="preserve">on </w:t>
      </w:r>
      <w:r w:rsidR="00AB605D">
        <w:t>the</w:t>
      </w:r>
      <w:r w:rsidR="00A73412">
        <w:t xml:space="preserve"> use of </w:t>
      </w:r>
      <w:r w:rsidR="002C26CC">
        <w:t xml:space="preserve">ICD-9 discharge codes </w:t>
      </w:r>
      <w:r w:rsidR="00713657">
        <w:t>vs.</w:t>
      </w:r>
      <w:r w:rsidR="002C26CC">
        <w:t xml:space="preserve"> positive laboratory tests to define CDI</w:t>
      </w:r>
      <w:r w:rsidR="003E3081">
        <w:t xml:space="preserve"> cases</w:t>
      </w:r>
      <w:r w:rsidR="00AC7DF1">
        <w:fldChar w:fldCharType="begin" w:fldLock="1"/>
      </w:r>
      <w:r w:rsidR="00717812">
        <w:instrText>ADDIN CSL_CITATION { "citationItems" : [ { "id" : "ITEM-1", "itemData" : { "DOI" : "10.1016/j.jhin.2014.04.011", "ISBN" : "1532-2939 (Electronic)\\r0195-6701 (Linking)", "ISSN" : "15322939", "PMID" : "24996516", "abstract" : "In most healthcare systems, third-party payers fund the costs for patients admitted to hospital for Clostridium difficile infection (CDI) whereas, for CDI cases arising as complications of hospitalization, not all related costs are refundable to the hospital. We therefore aimed to critically review and categorize hospital costs and length of hospital stay (LOS) attributable to Clostridium difficile infection and to investigate the economic burden associated with it. A comprehensive literature review selected papers describing the costs and LOS for hospitalized patients as outcomes of CDI, following the use of statisticsto identify costs and LOS solely attributable to CDI. Twenty-four studies were selected. Estimated attributable costs, all ranges expressed in US dollars, were $6,774-$10,212 for CDI requiring admission, $2,992-$29,000 for hospital-acquired CDI, and $2,454-$12,850 where no categorization was made. The ranges for LOS values were 5-13.6, 2.7-21.3, and 2.8-17.9 days, respectively. The categorization of CDI attributable costs allows budget holders to anticipate the cost per CDI case, a perspective that should enrich the design of appropriate incentives for the various budget holders to invest in prevention so that CDI prevention is optimized globally. ?? 2014 The Healthcare Infection Society.", "author" : [ { "dropping-particle" : "", "family" : "Gabriel", "given" : "L.", "non-dropping-particle" : "", "parse-names" : false, "suffix" : "" }, { "dropping-particle" : "", "family" : "Beriot-Mathiot", "given" : "A.", "non-dropping-particle" : "", "parse-names" : false, "suffix" : "" } ], "container-title" : "Journal of Hospital Infection", "id" : "ITEM-1", "issue" : "1", "issued" : { "date-parts" : [ [ "2014" ] ] }, "page" : "12-21", "publisher" : "Elsevier Ltd", "title" : "Hospitalization stay and costs attributable to Clostridium difficile infection: A critical review", "type" : "article-journal", "volume" : "88" }, "uris" : [ "http://www.mendeley.com/documents/?uuid=4cff00f0-7c90-4a16-9e07-102871cb16ae" ] }, { "id" : "ITEM-2", "itemData" : { "DOI" : "10.1186/s12879-016-1786-6", "ISSN" : "1471-2334", "abstract" : "Clostridium difficile infection (CDI) is the leading cause of infectious nosocomial diarrhoea but the economic costs of CDI on healthcare systems in the US remain uncertain. We conducted a systematic search for published studies investigating the direct medical cost associated with CDI hospital management in the past 10\u00a0years (2005\u20132015) and included 42 studies to the final data analysis to estimate the financial impact of CDI in the US. We also conducted a meta-analysis of all costs using Monte Carlo simulation. The average cost for CDI case management and average CDI-attributable costs per case were $42,316 (90\u00a0% CI: $39,886, $44,765) and $21,448 (90\u00a0% CI: $21,152, $21,744) in 2015 US dollars. Hospital-onset CDI-attributable cost per case was $34,157 (90\u00a0% CI: $33,134, $35,180), which was 1.5 times the cost of community-onset CDI ($20,095 [90\u00a0% CI: $4991, $35,204]). The average and incremental length of stay (LOS) for CDI inpatient treatment were 11.1 (90\u00a0% CI: 8.7\u201313.6) and 9.7 (90\u00a0% CI: 9.6\u20139.8) days respectively. Total annual CDI-attributable cost in the US is estimated US$6.3 (Range: $1.9\u2013$7.0) billion. Total annual CDI hospital management required nearly 2.4 million days of inpatient stay. This review indicates that CDI places a significant financial burden on the US healthcare system. This review adds strong evidence to aid policy-making on adequate resource allocation to CDI prevention and treatment in the US. Future studies should focus on recurrent CDI, CDI in long-term care facilities and persons with comorbidities and indirect cost from a societal perspective. Health-economic studies for CDI preventive intervention are needed.", "author" : [ { "dropping-particle" : "", "family" : "Zhang", "given" : "Shanshan", "non-dropping-particle" : "", "parse-names" : false, "suffix" : "" }, { "dropping-particle" : "", "family" : "Palazuelos-Munoz", "given" : "Sarah", "non-dropping-particle" : "", "parse-names" : false, "suffix" : "" }, { "dropping-particle" : "", "family" : "Balsells", "given" : "Evelyn M.", "non-dropping-particle" : "", "parse-names" : false, "suffix" : "" }, { "dropping-particle" : "", "family" : "Nair", "given" : "Harish", "non-dropping-particle" : "", "parse-names" : false, "suffix" : "" }, { "dropping-particle" : "", "family" : "Chit", "given" : "Ayman", "non-dropping-particle" : "", "parse-names" : false, "suffix" : "" }, { "dropping-particle" : "", "family" : "Kyaw", "given" : "Moe H.", "non-dropping-particle" : "", "parse-names" : false, "suffix" : "" }, { "dropping-particle" : "", "family" : "Crobach", "given" : "M", "non-dropping-particle" : "", "parse-names" : false, "suffix" : "" }, { "dropping-particle" : "", "family" : "Dekkers", "given" : "O", "non-dropping-particle" : "", "parse-names" : false, "suffix" : "" }, { "dropping-particle" : "", "family" : "Wilcox", "given" : "M", "non-dropping-particle" : "", "parse-names" : false, "suffix" : "" }, { "dropping-particle" : "", "family" : "Kuijper", "given" : "E", "non-dropping-particle" : "", "parse-names" : false, "suffix" : "" }, { "dropping-particle" : "", "family" : "Dubberke", "given" : "ER", "non-dropping-particle" : "", "parse-names" : false, "suffix" : "" }, { "dropping-particle" : "", "family" : "Carling", "given" : "P", "non-dropping-particle" : "", "parse-names" : false, "suffix" : "" }, { "dropping-particle" : "", "family" : "Carrico", "given" : "R", "non-dropping-particle" : "", "parse-names" : false, "suffix" : "" }, { "dropping-particle" : "", "family" : "Mylonakis", "given" : "E", "non-dropping-particle" : "", "parse-names" : false, "suffix" : "" }, { "dropping-particle" : "", "family" : "Ryan", "given" : "E", "non-dropping-particle" : "", "parse-names" : false, "suffix" : "" }, { "dropping-particle" : "", "family" : "Calderwood", "given" : "S", "non-dropping-particle" : "", "parse-names" : false, "suffix" : "" }, { "dropping-particle" : "", "family" : "Rubin", "given" : "M", "non-dropping-particle" : "", "parse-names" : false, "suffix" : "" }, { "dropping-particle" : "", "family" : "Bodenstein", "given" : "L", "non-dropping-particle" : "", "parse-names" : false, "suffix" : "" }, { "dropping-particle" : "", "family" : "Kent", "given" : "K", "non-dropping-particle" : "", "parse-names" : false, "suffix" : "" }, { "dropping-particle" : "", "family" : "Triadafilopoulos", "given" : "G", "non-dropping-particle" : "", "parse-names" : false, "suffix" : "" }, { "dropping-particle" : "", "family" : "Hallstone", "given" : "AE", "non-dropping-particle" : "", "parse-names" : false, "suffix" : "" }, { "dropping-particle" : "", "family" : "Sanchez", "given" : "T", "non-dropping-particle" : "", "parse-names" : false, "suffix" : "" }, { "dropping-particle" : "", "family" : "Brooks", "given" : "J", "non-dropping-particle" : "", "parse-names" : false, "suffix" : "" }, { "dropping-particle" : "", "family" : "Sullivan", "given" : "P", "non-dropping-particle" : "", "parse-names" : false, "suffix" : "" }, { "dropping-particle" : "", "family" : "Bilgrami", "given" : "S", "non-dropping-particle" : "", "parse-names" : false, "suffix" : "" }, { "dropping-particle" : "", "family" : "Feingold", "given" : "J", "non-dropping-particle" : "", "parse-names" : false, "suffix" : "" }, { "dropping-particle" : "", "family" : "Dorsky", "given" : "D", "non-dropping-particle" : "", "parse-names" : false, "suffix" : "" }, { "dropping-particle" : "", "family" : "Barbut", "given" : "F", "non-dropping-particle" : "", "parse-names" : false, "suffix" : "" }, { "dropping-particle" : "", "family" : "Corthier", "given" : "G", "non-dropping-particle" : "", "parse-names" : false, "suffix" : "" }, { "dropping-particle" : "", "family" : "Charpak", "given" : "Y", "non-dropping-particle" : "", "parse-names" : false, "suffix" : "" }, { "dropping-particle" : "", "family" : "Cohen", "given" : "S", "non-dropping-particle" : "", "parse-names" : false, "suffix" : "" }, { "dropping-particle" : "", "family" : "Gerding", "given" : "D", "non-dropping-particle" : "", "parse-names" : false, "suffix" : "" }, { "dropping-particle" : "", "family" : "Johnson", "given" : "S", "non-dropping-particle" : "", "parse-names" : false, "suffix" : "" }, { "dropping-particle" : "", "family" : "Bignardi", "given" : "G", "non-dropping-particle" : "", "parse-names" : false, "suffix" : "" }, { "dropping-particle" : "", "family" : "Aseeri", "given" : "M", "non-dropping-particle" : "", "parse-names" : false, "suffix" : "" }, { "dropping-particle" : "", "family" : "Schroeder", "given" : "T", "non-dropping-particle" : "", "parse-names" : false, "suffix" : "" }, { "dropping-particle" : "", "family" : "Kramer", "given" : "J", "non-dropping-particle" : "", "parse-names" : false, "suffix" : "" }, { "dropping-particle" : "", "family" : "Zackula", "given" : "R", "non-dropping-particle" : "", "parse-names" : false, "suffix" : "" }, { "dropping-particle" : "", "family" : "Bauer", "given" : "M", "non-dropping-particle" : "", "parse-names" : false, "suffix" : "" }, { "dropping-particle" : "", "family" : "Notermans", "given" : "D", "non-dropping-particle" : "", "parse-names" : false, "suffix" : "" }, { "dropping-particle" : "", "family" : "Benthem", "given" : "B", "non-dropping-particle" : "", "parse-names" : false, "suffix" : "" }, { "dropping-particle" : "", "family" : "Dubberke", "given" : "ER", "non-dropping-particle" : "", "parse-names" : false, "suffix" : "" }, { "dropping-particle" : "", "family" : "Wertheimer", "given" : "AI", "non-dropping-particle" : "", "parse-names" : false, "suffix" : "" }, { "dropping-particle" : "", "family" : "Dubberke", "given" : "ER", "non-dropping-particle" : "", "parse-names" : false, "suffix" : "" }, { "dropping-particle" : "", "family" : "Olsen", "given" : "MA", "non-dropping-particle" : "", "parse-names" : false, "suffix" : "" }, { "dropping-particle" : "", "family" : "Gabriel", "given" : "L", "non-dropping-particle" : "", "parse-names" : false, "suffix" : "" }, { "dropping-particle" : "", "family" : "Beriot-Mathiot", "given" : "A", "non-dropping-particle" : "", "parse-names" : false, "suffix" : "" }, { "dropping-particle" : "", "family" : "Ghantoji", "given" : "SS", "non-dropping-particle" : "", "parse-names" : false, "suffix" : "" }, { "dropping-particle" : "", "family" : "Sail", "given" : "K", "non-dropping-particle" : "", "parse-names" : false, "suffix" : "" }, { "dropping-particle" : "", "family" : "Lairson", "given" : "DR", "non-dropping-particle" : "", "parse-names" : false, "suffix" : "" }, { "dropping-particle" : "", "family" : "Dupont", "given" : "HL", "non-dropping-particle" : "", "parse-names" : false, "suffix" : "" }, { "dropping-particle" : "", "family" : "Garey", "given" : "KW", "non-dropping-particle" : "", "parse-names" : false, "suffix" : "" }, { "dropping-particle" : "", "family" : "Zimlichman", "given" : "E", "non-dropping-particle" : "", "parse-names" : false, "suffix" : "" }, { "dropping-particle" : "", "family" : "Henderson", "given" : "D", "non-dropping-particle" : "", "parse-names" : false, "suffix" : "" }, { "dropping-particle" : "", "family" : "Tamir", "given" : "O", "non-dropping-particle" : "", "parse-names" : false, "suffix" : "" }, { "dropping-particle" : "", "family" : "Johnson", "given" : "S", "non-dropping-particle" : "", "parse-names" : false, "suffix" : "" }, { "dropping-particle" : "", "family" : "Mergenhagen", "given" : "KA", "non-dropping-particle" : "", "parse-names" : false, "suffix" : "" }, { "dropping-particle" : "", "family" : "Wojciechowski", "given" : "AL", "non-dropping-particle" : "", "parse-names" : false, "suffix" : "" }, { "dropping-particle" : "", "family" : "Paladino", "given" : "JA", "non-dropping-particle" : "", "parse-names" : false, "suffix" : "" }, { "dropping-particle" : "", "family" : "Wiegand", "given" : "PN", "non-dropping-particle" : "", "parse-names" : false, "suffix" : "" }, { "dropping-particle" : "", "family" : "Nathwani", "given" : "D", "non-dropping-particle" : "", "parse-names" : false, "suffix" : "" }, { "dropping-particle" : "", "family" : "Wilcox", "given" : "MH", "non-dropping-particle" : "", "parse-names" : false, "suffix" : "" }, { "dropping-particle" : "", "family" : "Stephens", "given" : "J", "non-dropping-particle" : "", "parse-names" : false, "suffix" : "" }, { "dropping-particle" : "", "family" : "Shelbaya", "given" : "A", "non-dropping-particle" : "", "parse-names" : false, "suffix" : "" }, { "dropping-particle" : "", "family" : "Haider", "given" : "S", "non-dropping-particle" : "", "parse-names" : false, "suffix" : "" }, { "dropping-particle" : "", "family" : "Bouza", "given" : "E", "non-dropping-particle" : "", "parse-names" : false, "suffix" : "" }, { "dropping-particle" : "", "family" : "Jha", "given" : "A", "non-dropping-particle" : "", "parse-names" : false, "suffix" : "" }, { "dropping-particle" : "", "family" : "Chan", "given" : "D", "non-dropping-particle" : "", "parse-names" : false, "suffix" : "" }, { "dropping-particle" : "", "family" : "Ridgway", "given" : "A", "non-dropping-particle" : "", "parse-names" : false, "suffix" : "" }, { "dropping-particle" : "", "family" : "Franz", "given" : "C", "non-dropping-particle" : "", "parse-names" : false, "suffix" : "" }, { "dropping-particle" : "", "family" : "Bates", "given" : "DW", "non-dropping-particle" : "", "parse-names" : false, "suffix" : "" }, { "dropping-particle" : "", "family" : "Lessa", "given" : "FC", "non-dropping-particle" : "", "parse-names" : false, "suffix" : "" }, { "dropping-particle" : "", "family" : "Winston", "given" : "LG", "non-dropping-particle" : "", "parse-names" : false, "suffix" : "" }, { "dropping-particle" : "", "family" : "McDonald", "given" : "LC", "non-dropping-particle" : "", "parse-names" : false, "suffix" : "" }, { "dropping-particle" : "", "family" : "Nanwa", "given" : "N", "non-dropping-particle" : "", "parse-names" : false, "suffix" : "" }, { "dropping-particle" : "", "family" : "Kendzerska", "given" : "T", "non-dropping-particle" : "", "parse-names" : false, "suffix" : "" }, { "dropping-particle" : "", "family" : "Krahn", "given" : "M", "non-dropping-particle" : "", "parse-names" : false, "suffix" : "" }, { "dropping-particle" : "", "family" : "Ali", "given" : "M", "non-dropping-particle" : "", "parse-names" : false, "suffix" : "" }, { "dropping-particle" : "", "family" : "Ananthakrishnan", "given" : "AN", "non-dropping-particle" : "", "parse-names" : false, "suffix" : "" }, { "dropping-particle" : "", "family" : "Ahmad", "given" : "S", "non-dropping-particle" : "", "parse-names" : false, "suffix" : "" }, { "dropping-particle" : "", "family" : "Kumar", "given" : "N", "non-dropping-particle" : "", "parse-names" : false, "suffix" : "" }, { "dropping-particle" : "", "family" : "Kumar", "given" : "G", "non-dropping-particle" : "", "parse-names" : false, "suffix" : "" }, { "dropping-particle" : "", "family" : "Saeian", "given" : "K", "non-dropping-particle" : "", "parse-names" : false, "suffix" : "" }, { "dropping-particle" : "", "family" : "Ananthakrishnan", "given" : "AN", "non-dropping-particle" : "", "parse-names" : false, "suffix" : "" }, { "dropping-particle" : "", "family" : "Mcginley", "given" : "EL", "non-dropping-particle" : "", "parse-names" : false, "suffix" : "" }, { "dropping-particle" : "", "family" : "Binion", "given" : "DG", "non-dropping-particle" : "", "parse-names" : false, "suffix" : "" }, { "dropping-particle" : "", "family" : "Arora", "given" : "V", "non-dropping-particle" : "", "parse-names" : false, "suffix" : "" }, { "dropping-particle" : "", "family" : "Kachroo", "given" : "S", "non-dropping-particle" : "", "parse-names" : false, "suffix" : "" }, { "dropping-particle" : "", "family" : "Ghantoji", "given" : "SS", "non-dropping-particle" : "", "parse-names" : false, "suffix" : "" }, { "dropping-particle" : "", "family" : "Dupont", "given" : "HL", "non-dropping-particle" : "", "parse-names" : false, "suffix" : "" }, { "dropping-particle" : "", "family" : "Garey", "given" : "KW", "non-dropping-particle" : "", "parse-names" : false, "suffix" : "" }, { "dropping-particle" : "", "family" : "Bajaj", "given" : "JS", "non-dropping-particle" : "", "parse-names" : false, "suffix" : "" }, { "dropping-particle" : "", "family" : "Ananthakrishnan", "given" : "AN", "non-dropping-particle" : "", "parse-names" : false, "suffix" : "" }, { "dropping-particle" : "", "family" : "Hafeezullah", "given" : "M", "non-dropping-particle" : "", "parse-names" : false, "suffix" : "" }, { "dropping-particle" : "", "family" : "Campbell", "given" : "R", "non-dropping-particle" : "", "parse-names" : false, "suffix" : "" }, { "dropping-particle" : "", "family" : "Dean", "given" : "B", "non-dropping-particle" : "", "parse-names" : false, "suffix" : "" }, { "dropping-particle" : "", "family" : "Nathanson", "given" : "B", "non-dropping-particle" : "", "parse-names" : false, "suffix" : "" }, { "dropping-particle" : "", "family" : "Haidar", "given" : "T", "non-dropping-particle" : "", "parse-names" : false, "suffix" : "" }, { "dropping-particle" : "", "family" : "Strauss", "given" : "M", "non-dropping-particle" : "", "parse-names" : false, "suffix" : "" }, { "dropping-particle" : "", "family" : "Thomas", "given" : "S", "non-dropping-particle" : "", "parse-names" : false, "suffix" : "" }, { "dropping-particle" : "", "family" : "Damle", "given" : "RN", "non-dropping-particle" : "", "parse-names" : false, "suffix" : "" }, { "dropping-particle" : "", "family" : "Cherng", "given" : "NB", "non-dropping-particle" : "", "parse-names" : false, "suffix" : "" }, { "dropping-particle" : "", "family" : "Flahive", "given" : "JM", "non-dropping-particle" : "", "parse-names" : false, "suffix" : "" }, { "dropping-particle" : "", "family" : "Dubberke", "given" : "ER", "non-dropping-particle" : "", "parse-names" : false, "suffix" : "" }, { "dropping-particle" : "", "family" : "Reske", "given" : "KA", "non-dropping-particle" : "", "parse-names" : false, "suffix" : "" }, { "dropping-particle" : "", "family" : "Olsen", "given" : "MA", "non-dropping-particle" : "", "parse-names" : false, "suffix" : "" }, { "dropping-particle" : "", "family" : "McDonald", "given" : "LC", "non-dropping-particle" : "", "parse-names" : false, "suffix" : "" }, { "dropping-particle" : "", "family" : "Fraser", "given" : "VJ", "non-dropping-particle" : "", "parse-names" : false, "suffix" : "" }, { "dropping-particle" : "", "family" : "Dubberke", "given" : "ER", "non-dropping-particle" : "", "parse-names" : false, "suffix" : "" }, { "dropping-particle" : "", "family" : "Schaefer", "given" : "E", "non-dropping-particle" : "", "parse-names" : false, "suffix" : "" }, { "dropping-particle" : "", "family" : "Reske", "given" : "KA", "non-dropping-particle" : "", "parse-names" : false, "suffix" : "" }, { "dropping-particle" : "", "family" : "Zilberberg", "given" : "M", "non-dropping-particle" : "", "parse-names" : false, "suffix" : "" }, { "dropping-particle" : "", "family" : "Hollenbeak", "given" : "CS", "non-dropping-particle" : "", "parse-names" : false, "suffix" : "" }, { "dropping-particle" : "", "family" : "Olsen", "given" : "MA", "non-dropping-particle" : "", "parse-names" : false, "suffix" : "" }, { "dropping-particle" : "", "family" : "Egorova", "given" : "NN", "non-dropping-particle" : "", "parse-names" : false, "suffix" : "" }, { "dropping-particle" : "", "family" : "Siracuse", "given" : "JJ", "non-dropping-particle" : "", "parse-names" : false, "suffix" : "" }, { "dropping-particle" : "", "family" : "Mckinsey", "given" : "JF", "non-dropping-particle" : "", "parse-names" : false, "suffix" : "" }, { "dropping-particle" : "", "family" : "Nowygrod", "given" : "R", "non-dropping-particle" : "", "parse-names" : false, "suffix" : "" }, { "dropping-particle" : "", "family" : "Flagg", "given" : "A", "non-dropping-particle" : "", "parse-names" : false, "suffix" : "" }, { "dropping-particle" : "", "family" : "Koch", "given" : "CG", "non-dropping-particle" : "", "parse-names" : false, "suffix" : "" }, { "dropping-particle" : "", "family" : "Schiltz", "given" : "N", "non-dropping-particle" : "", "parse-names" : false, "suffix" : "" }, { "dropping-particle" : "", "family" : "Fuller", "given" : "RL", "non-dropping-particle" : "", "parse-names" : false, "suffix" : "" }, { "dropping-particle" : "", "family" : "McCullough", "given" : "EC", "non-dropping-particle" : "", "parse-names" : false, "suffix" : "" }, { "dropping-particle" : "", "family" : "Bao", "given" : "MZ", "non-dropping-particle" : "", "parse-names" : false, "suffix" : "" }, { "dropping-particle" : "", "family" : "Averill", "given" : "RF", "non-dropping-particle" : "", "parse-names" : false, "suffix" : "" }, { "dropping-particle" : "", "family" : "Glance", "given" : "LG", "non-dropping-particle" : "", "parse-names" : false, "suffix" : "" }, { "dropping-particle" : "", "family" : "Stone", "given" : "PW", "non-dropping-particle" : "", "parse-names" : false, "suffix" : "" }, { "dropping-particle" : "", "family" : "Mukamel", "given" : "DB", "non-dropping-particle" : "", "parse-names" : false, "suffix" : "" }, { "dropping-particle" : "", "family" : "Dick", "given" : "AW", "non-dropping-particle" : "", "parse-names" : false, "suffix" : "" }, { "dropping-particle" : "", "family" : "Jiang", "given" : "Y", "non-dropping-particle" : "", "parse-names" : false, "suffix" : "" }, { "dropping-particle" : "", "family" : "Viner-Brown", "given" : "S", "non-dropping-particle" : "", "parse-names" : false, "suffix" : "" }, { "dropping-particle" : "", "family" : "Baier", "given" : "R", "non-dropping-particle" : "", "parse-names" : false, "suffix" : "" }, { "dropping-particle" : "", "family" : "Kim", "given" : "SP", "non-dropping-particle" : "", "parse-names" : false, "suffix" : "" }, { "dropping-particle" : "", "family" : "Shah", "given" : "ND", "non-dropping-particle" : "", "parse-names" : false, "suffix" : "" }, { "dropping-particle" : "", "family" : "Karnes", "given" : "RJ", "non-dropping-particle" : "", "parse-names" : false, "suffix" : "" }, { "dropping-particle" : "", "family" : "Kuntz", "given" : "JL", "non-dropping-particle" : "", "parse-names" : false, "suffix" : "" }, { "dropping-particle" : "", "family" : "Johnson", "given" : "ES", "non-dropping-particle" : "", "parse-names" : false, "suffix" : "" }, { "dropping-particle" : "", "family" : "Raebel", "given" : "MA", "non-dropping-particle" : "", "parse-names" : false, "suffix" : "" }, { "dropping-particle" : "", "family" : "Lagu", "given" : "T", "non-dropping-particle" : "", "parse-names" : false, "suffix" : "" }, { "dropping-particle" : "", "family" : "Stefan", "given" : "MS", "non-dropping-particle" : "", "parse-names" : false, "suffix" : "" }, { "dropping-particle" : "", "family" : "Haessler", "given" : "S", "non-dropping-particle" : "", "parse-names" : false, "suffix" : "" }, { "dropping-particle" : "", "family" : "Lemaire", "given" : "A", "non-dropping-particle" : "", "parse-names" : false, "suffix" : "" }, { "dropping-particle" : "", "family" : "Dombrovskiy", "given" : "V", "non-dropping-particle" : "", "parse-names" : false, "suffix" : "" }, { "dropping-particle" : "", "family" : "Batsides", "given" : "G", "non-dropping-particle" : "", "parse-names" : false, "suffix" : "" }, { "dropping-particle" : "", "family" : "Lawrence", "given" : "SJ", "non-dropping-particle" : "", "parse-names" : false, "suffix" : "" }, { "dropping-particle" : "", "family" : "Puzniak", "given" : "LA", "non-dropping-particle" : "", "parse-names" : false, "suffix" : "" }, { "dropping-particle" : "", "family" : "Shadel", "given" : "BN", "non-dropping-particle" : "", "parse-names" : false, "suffix" : "" }, { "dropping-particle" : "", "family" : "Gillespie", "given" : "KN", "non-dropping-particle" : "", "parse-names" : false, "suffix" : "" }, { "dropping-particle" : "", "family" : "Kollef", "given" : "MH", "non-dropping-particle" : "", "parse-names" : false, "suffix" : "" }, { "dropping-particle" : "", "family" : "Mundy", "given" : "LM", "non-dropping-particle" : "", "parse-names" : false, "suffix" : "" }, { "dropping-particle" : "", "family" : "Lesperance", "given" : "K", "non-dropping-particle" : "", "parse-names" : false, "suffix" : "" }, { "dropping-particle" : "", "family" : "Causey", "given" : "MW", "non-dropping-particle" : "", "parse-names" : false, "suffix" : "" }, { "dropping-particle" : "", "family" : "Spencer", "given" : "M", "non-dropping-particle" : "", "parse-names" : false, "suffix" : "" }, { "dropping-particle" : "", "family" : "Steele", "given" : "SR", "non-dropping-particle" : "", "parse-names" : false, "suffix" : "" }, { "dropping-particle" : "", "family" : "Lipp", "given" : "MJ", "non-dropping-particle" : "", "parse-names" : false, "suffix" : "" }, { "dropping-particle" : "", "family" : "Nero", "given" : "DC", "non-dropping-particle" : "", "parse-names" : false, "suffix" : "" }, { "dropping-particle" : "", "family" : "Callahan", "given" : "MA", "non-dropping-particle" : "", "parse-names" : false, "suffix" : "" }, { "dropping-particle" : "", "family" : "Maltenfort", "given" : "MG", "non-dropping-particle" : "", "parse-names" : false, "suffix" : "" }, { "dropping-particle" : "", "family" : "Rasouli", "given" : "MR", "non-dropping-particle" : "", "parse-names" : false, "suffix" : "" }, { "dropping-particle" : "", "family" : "Morrison", "given" : "TA", "non-dropping-particle" : "", "parse-names" : false, "suffix" : "" }, { "dropping-particle" : "", "family" : "Parvizi", "given" : "J", "non-dropping-particle" : "", "parse-names" : false, "suffix" : "" }, { "dropping-particle" : "", "family" : "Mcglone", "given" : "SM", "non-dropping-particle" : "", "parse-names" : false, "suffix" : "" }, { "dropping-particle" : "", "family" : "Bailey", "given" : "RR", "non-dropping-particle" : "", "parse-names" : false, "suffix" : "" }, { "dropping-particle" : "", "family" : "Zimmer", "given" : "SM", "non-dropping-particle" : "", "parse-names" : false, "suffix" : "" }, { "dropping-particle" : "", "family" : "Nguyen", "given" : "GC", "non-dropping-particle" : "", "parse-names" : false, "suffix" : "" }, { "dropping-particle" : "", "family" : "Kaplan", "given" : "GG", "non-dropping-particle" : "", "parse-names" : false, "suffix" : "" }, { "dropping-particle" : "", "family" : "Harris", "given" : "ML", "non-dropping-particle" : "", "parse-names" : false, "suffix" : "" }, { "dropping-particle" : "", "family" : "Brant", "given" : "SR", "non-dropping-particle" : "", "parse-names" : false, "suffix" : "" }, { "dropping-particle" : "", "family" : "Nylund", "given" : "CM", "non-dropping-particle" : "", "parse-names" : false, "suffix" : "" }, { "dropping-particle" : "", "family" : "Goudie", "given" : "A", "non-dropping-particle" : "", "parse-names" : false, "suffix" : "" }, { "dropping-particle" : "", "family" : "Garza", "given" : "JM", "non-dropping-particle" : "", "parse-names" : false, "suffix" : "" }, { "dropping-particle" : "", "family" : "Fairbrother", "given" : "G", "non-dropping-particle" : "", "parse-names" : false, "suffix" : "" }, { "dropping-particle" : "", "family" : "Cohen", "given" : "MB", "non-dropping-particle" : "", "parse-names" : false, "suffix" : "" }, { "dropping-particle" : "", "family" : "O\u2019Brien", "given" : "JA", "non-dropping-particle" : "", "parse-names" : false, "suffix" : "" }, { "dropping-particle" : "", "family" : "Lahue", "given" : "BJ", "non-dropping-particle" : "", "parse-names" : false, "suffix" : "" }, { "dropping-particle" : "", "family" : "Caro", "given" : "JJ", "non-dropping-particle" : "", "parse-names" : false, "suffix" : "" }, { "dropping-particle" : "", "family" : "Davidson", "given" : "DM", "non-dropping-particle" : "", "parse-names" : false, "suffix" : "" }, { "dropping-particle" : "", "family" : "Pakyz", "given" : "A", "non-dropping-particle" : "", "parse-names" : false, "suffix" : "" }, { "dropping-particle" : "", "family" : "Carroll", "given" : "NV", "non-dropping-particle" : "", "parse-names" : false, "suffix" : "" }, { "dropping-particle" : "", "family" : "Harpe", "given" : "SE", "non-dropping-particle" : "", "parse-names" : false, "suffix" : "" }, { "dropping-particle" : "", "family" : "Oinonen", "given" : "M", "non-dropping-particle" : "", "parse-names" : false, "suffix" : "" }, { "dropping-particle" : "", "family" : "Polk", "given" : "RE", "non-dropping-particle" : "", "parse-names" : false, "suffix" : "" }, { "dropping-particle" : "", "family" : "Pant", "given" : "C", "non-dropping-particle" : "", "parse-names" : false, "suffix" : "" }, { "dropping-particle" : "", "family" : "Anderson", "given" : "MP", "non-dropping-particle" : "", "parse-names" : false, "suffix" : "" }, { "dropping-particle" : "", "family" : "O\u2019Connor", "given" : "JA", "non-dropping-particle" : "", "parse-names" : false, "suffix" : "" }, { "dropping-particle" : "", "family" : "Marshall", "given" : "CM", "non-dropping-particle" : "", "parse-names" : false, "suffix" : "" }, { "dropping-particle" : "", "family" : "Deshpande", "given" : "A", "non-dropping-particle" : "", "parse-names" : false, "suffix" : "" }, { "dropping-particle" : "", "family" : "Sferra", "given" : "TJ", "non-dropping-particle" : "", "parse-names" : false, "suffix" : "" }, { "dropping-particle" : "", "family" : "Pant", "given" : "C", "non-dropping-particle" : "", "parse-names" : false, "suffix" : "" }, { "dropping-particle" : "", "family" : "Deshpande", "given" : "A", "non-dropping-particle" : "", "parse-names" : false, "suffix" : "" }, { "dropping-particle" : "", "family" : "Anderson", "given" : "MP", "non-dropping-particle" : "", "parse-names" : false, "suffix" : "" }, { "dropping-particle" : "", "family" : "Sferra", "given" : "TJ", "non-dropping-particle" : "", "parse-names" : false, "suffix" : "" }, { "dropping-particle" : "", "family" : "Pant", "given" : "C", "non-dropping-particle" : "", "parse-names" : false, "suffix" : "" }, { "dropping-particle" : "", "family" : "Anderson", "given" : "MP", "non-dropping-particle" : "", "parse-names" : false, "suffix" : "" }, { "dropping-particle" : "", "family" : "Deshpande", "given" : "A", "non-dropping-particle" : "", "parse-names" : false, "suffix" : "" }, { "dropping-particle" : "", "family" : "Peery", "given" : "AF", "non-dropping-particle" : "", "parse-names" : false, "suffix" : "" }, { "dropping-particle" : "", "family" : "Dellon", "given" : "ES", "non-dropping-particle" : "", "parse-names" : false, "suffix" : "" }, { "dropping-particle" : "", "family" : "Lund", "given" : "J", "non-dropping-particle" : "", "parse-names" : false, "suffix" : "" }, { "dropping-particle" : "", "family" : "Quimbo", "given" : "RA", "non-dropping-particle" : "", "parse-names" : false, "suffix" : "" }, { "dropping-particle" : "", "family" : "Palli", "given" : "SR", "non-dropping-particle" : "", "parse-names" : false, "suffix" : "" }, { "dropping-particle" : "", "family" : "Singer", "given" : "J", "non-dropping-particle" : "", "parse-names" : false, "suffix" : "" }, { "dropping-particle" : "", "family" : "Strauss", "given" : "ME", "non-dropping-particle" : "", "parse-names" : false, "suffix" : "" }, { "dropping-particle" : "", "family" : "Thomas", "given" : "SM", "non-dropping-particle" : "", "parse-names" : false, "suffix" : "" }, { "dropping-particle" : "", "family" : "Reed", "given" : "IJF", "non-dropping-particle" : "", "parse-names" : false, "suffix" : "" }, { "dropping-particle" : "", "family" : "Edris", "given" : "BA", "non-dropping-particle" : "", "parse-names" : false, "suffix" : "" }, { "dropping-particle" : "", "family" : "Eid", "given" : "S", "non-dropping-particle" : "", "parse-names" : false, "suffix" : "" }, { "dropping-particle" : "", "family" : "Molitoris", "given" : "A", "non-dropping-particle" : "", "parse-names" : false, "suffix" : "" }, { "dropping-particle" : "", "family" : "Sammons", "given" : "JS", "non-dropping-particle" : "", "parse-names" : false, "suffix" : "" }, { "dropping-particle" : "", "family" : "Localio", "given" : "R", "non-dropping-particle" : "", "parse-names" : false, "suffix" : "" }, { "dropping-particle" : "", "family" : "Xiao", "given" : "R", "non-dropping-particle" : "", "parse-names" : false, "suffix" : "" }, { "dropping-particle" : "", "family" : "Coffin", "given" : "SE", "non-dropping-particle" : "", "parse-names" : false, "suffix" : "" }, { "dropping-particle" : "", "family" : "Zaoutis", "given" : "T", "non-dropping-particle" : "", "parse-names" : false, "suffix" : "" }, { "dropping-particle" : "", "family" : "Singal", "given" : "AK", "non-dropping-particle" : "", "parse-names" : false, "suffix" : "" }, { "dropping-particle" : "", "family" : "Salameh", "given" : "H", "non-dropping-particle" : "", "parse-names" : false, "suffix" : "" }, { "dropping-particle" : "", "family" : "Kamath", "given" : "PS", "non-dropping-particle" : "", "parse-names" : false, "suffix" : "" }, { "dropping-particle" : "", "family" : "Song", "given" : "X", "non-dropping-particle" : "", "parse-names" : false, "suffix" : "" }, { "dropping-particle" : "", "family" : "Bartlett", "given" : "JG", "non-dropping-particle" : "", "parse-names" : false, "suffix" : "" }, { "dropping-particle" : "", "family" : "Speck", "given" : "K", "non-dropping-particle" : "", "parse-names" : false, "suffix" : "" }, { "dropping-particle" : "", "family" : "Naegeli", "given" : "A", "non-dropping-particle" : "", "parse-names" : false, "suffix" : "" }, { "dropping-particle" : "", "family" : "Carroll", "given" : "K", "non-dropping-particle" : "", "parse-names" : false, "suffix" : "" }, { "dropping-particle" : "", "family" : "Perl", "given" : "TM", "non-dropping-particle" : "", "parse-names" : false, "suffix" : "" }, { "dropping-particle" : "", "family" : "Stewart", "given" : "DB", "non-dropping-particle" : "", "parse-names" : false, "suffix" : "" }, { "dropping-particle" : "", "family" : "Hollenbeak", "given" : "CS", "non-dropping-particle" : "", "parse-names" : false, "suffix" : "" }, { "dropping-particle" : "", "family" : "Tabak", "given" : "YP", "non-dropping-particle" : "", "parse-names" : false, "suffix" : "" }, { "dropping-particle" : "", "family" : "Zilberberg", "given" : "MD", "non-dropping-particle" : "", "parse-names" : false, "suffix" : "" }, { "dropping-particle" : "", "family" : "Johannes", "given" : "RS", "non-dropping-particle" : "", "parse-names" : false, "suffix" : "" }, { "dropping-particle" : "", "family" : "Sun", "given" : "X", "non-dropping-particle" : "", "parse-names" : false, "suffix" : "" }, { "dropping-particle" : "", "family" : "McDonald", "given" : "LC", "non-dropping-particle" : "", "parse-names" : false, "suffix" : "" }, { "dropping-particle" : "", "family" : "Verlee", "given" : "KE", "non-dropping-particle" : "", "parse-names" : false, "suffix" : "" }, { "dropping-particle" : "", "family" : "Finks", "given" : "JL", "non-dropping-particle" : "", "parse-names" : false, "suffix" : "" }, { "dropping-particle" : "", "family" : "Wilkins", "given" : "MJ", "non-dropping-particle" : "", "parse-names" : false, "suffix" : "" }, { "dropping-particle" : "", "family" : "Wells", "given" : "EV", "non-dropping-particle" : "", "parse-names" : false, "suffix" : "" }, { "dropping-particle" : "", "family" : "Wang", "given" : "L", "non-dropping-particle" : "", "parse-names" : false, "suffix" : "" }, { "dropping-particle" : "", "family" : "Stewart", "given" : "DB", "non-dropping-particle" : "", "parse-names" : false, "suffix" : "" }, { "dropping-particle" : "", "family" : "Wilson", "given" : "MZ", "non-dropping-particle" : "", "parse-names" : false, "suffix" : "" }, { "dropping-particle" : "", "family" : "Hollenbeak", "given" : "CS", "non-dropping-particle" : "", "parse-names" : false, "suffix" : "" }, { "dropping-particle" : "", "family" : "Stewart", "given" : "DB", "non-dropping-particle" : "", "parse-names" : false, "suffix" : "" }, { "dropping-particle" : "", "family" : "Zerey", "given" : "M", "non-dropping-particle" : "", "parse-names" : false, "suffix" : "" }, { "dropping-particle" : "", "family" : "Paton", "given" : "BL", "non-dropping-particle" : "", "parse-names" : false, "suffix" : "" }, { "dropping-particle" : "", "family" : "Lincourt", "given" : "AE", "non-dropping-particle" : "", "parse-names" : false, "suffix" : "" }, { "dropping-particle" : "", "family" : "Gersin", "given" : "KS", "non-dropping-particle" : "", "parse-names" : false, "suffix" : "" }, { "dropping-particle" : "", "family" : "Kercher", "given" : "KW", "non-dropping-particle" : "", "parse-names" : false, "suffix" : "" }, { "dropping-particle" : "", "family" : "Heniford", "given" : "BT", "non-dropping-particle" : "", "parse-names" : false, "suffix" : "" }, { "dropping-particle" : "", "family" : "Zilberberg", "given" : "MD", "non-dropping-particle" : "", "parse-names" : false, "suffix" : "" }, { "dropping-particle" : "", "family" : "Nathanson", "given" : "BH", "non-dropping-particle" : "", "parse-names" : false, "suffix" : "" }, { "dropping-particle" : "", "family" : "Sadigov", "given" : "S", "non-dropping-particle" : "", "parse-names" : false, "suffix" : "" }, { "dropping-particle" : "", "family" : "Higgins", "given" : "TL", "non-dropping-particle" : "", "parse-names" : false, "suffix" : "" }, { "dropping-particle" : "", "family" : "Kollef", "given" : "MH", "non-dropping-particle" : "", "parse-names" : false, "suffix" : "" }, { "dropping-particle" : "", "family" : "Shorr", "given" : "AF", "non-dropping-particle" : "", "parse-names" : false, "suffix" : "" }, { "dropping-particle" : "", "family" : "Kyne", "given" : "L", "non-dropping-particle" : "", "parse-names" : false, "suffix" : "" }, { "dropping-particle" : "", "family" : "Hamel", "given" : "M", "non-dropping-particle" : "", "parse-names" : false, "suffix" : "" }, { "dropping-particle" : "", "family" : "Polavaram", "given" : "R", "non-dropping-particle" : "", "parse-names" : false, "suffix" : "" }, { "dropping-particle" : "", "family" : "Kelly", "given" : "C", "non-dropping-particle" : "", "parse-names" : false, "suffix" : "" }, { "dropping-particle" : "", "family" : "Angelis", "given" : "G", "non-dropping-particle" : "", "parse-names" : false, "suffix" : "" }, { "dropping-particle" : "", "family" : "Murthy", "given" : "AR", "non-dropping-particle" : "", "parse-names" : false, "suffix" : "" }, { "dropping-particle" : "", "family" : "Beyersmann", "given" : "J", "non-dropping-particle" : "", "parse-names" : false, "suffix" : "" }, { "dropping-particle" : "", "family" : "Harbarth", "given" : "S", "non-dropping-particle" : "", "parse-names" : false, "suffix" : "" }, { "dropping-particle" : "", "family" : "Dubberke", "given" : "E", "non-dropping-particle" : "", "parse-names" : false, "suffix" : "" }, { "dropping-particle" : "", "family" : "Carling", "given" : "P", "non-dropping-particle" : "", "parse-names" : false, "suffix" : "" }, { "dropping-particle" : "", "family" : "Carrico", "given" : "R", "non-dropping-particle" : "", "parse-names" : false, "suffix" : "" }, { "dropping-particle" : "", "family" : "Foglia", "given" : "G", "non-dropping-particle" : "", "parse-names" : false, "suffix" : "" }, { "dropping-particle" : "", "family" : "Shah", "given" : "S", "non-dropping-particle" : "", "parse-names" : false, "suffix" : "" }, { "dropping-particle" : "", "family" : "Luxemburger", "given" : "C", "non-dropping-particle" : "", "parse-names" : false, "suffix" : "" }, { "dropping-particle" : "", "family" : "Pietrobon", "given" : "PJF", "non-dropping-particle" : "", "parse-names" : false, "suffix" : "" } ], "container-title" : "BMC Infectious Diseases", "id" : "ITEM-2", "issue" : "1", "issued" : { "date-parts" : [ [ "2016" ] ] }, "page" : "447", "publisher" : "BMC Infectious Diseases", "title" : "Cost of hospital management of Clostridium difficile infection in United States\u2014a meta-analysis and modelling study", "type" : "article-journal", "volume" : "16" }, "uris" : [ "http://www.mendeley.com/documents/?uuid=5f760f23-4ae0-43ca-8f0b-67c11eed44d4" ] } ], "mendeley" : { "formattedCitation" : "\\autocite{Gabriel2014,Zhang2016}", "plainTextFormattedCitation" : "\\autocite{Gabriel2014,Zhang2016}", "previouslyFormattedCitation" : "&lt;sup&gt;5,6&lt;/sup&gt;" }, "properties" : { "noteIndex" : 0 }, "schema" : "https://github.com/citation-style-language/schema/raw/master/csl-citation.json" }</w:instrText>
      </w:r>
      <w:r w:rsidR="00AC7DF1">
        <w:fldChar w:fldCharType="separate"/>
      </w:r>
      <w:r w:rsidR="00717812" w:rsidRPr="00717812">
        <w:rPr>
          <w:noProof/>
        </w:rPr>
        <w:t>\autocite{Gabriel2014,Zhang2016}</w:t>
      </w:r>
      <w:r w:rsidR="00AC7DF1">
        <w:fldChar w:fldCharType="end"/>
      </w:r>
      <w:r w:rsidR="00C37041">
        <w:t xml:space="preserve"> and </w:t>
      </w:r>
      <w:r w:rsidR="00190026">
        <w:t>identify</w:t>
      </w:r>
      <w:r w:rsidR="00DC24E3">
        <w:t xml:space="preserve"> differing</w:t>
      </w:r>
      <w:r w:rsidR="00C37041">
        <w:t xml:space="preserve"> </w:t>
      </w:r>
      <w:r w:rsidR="00864834">
        <w:t xml:space="preserve">positive </w:t>
      </w:r>
      <w:r w:rsidR="00C37041">
        <w:t xml:space="preserve">predictive values for </w:t>
      </w:r>
      <w:r w:rsidR="00E12E19">
        <w:t xml:space="preserve">immunoassay </w:t>
      </w:r>
      <w:r w:rsidR="001723E3">
        <w:t>and</w:t>
      </w:r>
      <w:r w:rsidR="00E12E19">
        <w:t xml:space="preserve"> nucleic acid based</w:t>
      </w:r>
      <w:r w:rsidR="00C37041">
        <w:t xml:space="preserve"> laboratory tests</w:t>
      </w:r>
      <w:r w:rsidR="00697D68">
        <w:t>.</w:t>
      </w:r>
      <w:r w:rsidR="00C37041">
        <w:fldChar w:fldCharType="begin" w:fldLock="1"/>
      </w:r>
      <w:r w:rsidR="00717812">
        <w:instrText>ADDIN CSL_CITATION { "citationItems" : [ { "id" : "ITEM-1", "itemData" : { "DOI" : "10.1001/jamainternmed.2015.4114", "ISBN" : "2168-6106", "ISSN" : "2168-6114", "PMID" : "26348734", "abstract" : "Importance: Clostridium difficile is a major cause of health care-associated infection, but disagreement between diagnostic tests is an ongoing barrier to clinical decision making and public health reporting. Molecular tests are increasingly used to diagnose C difficile infection (CDI), but many molecular test-positive patients lack toxins that historically defined disease, making it unclear if they need treatment.\\n\\nObjective: To determine the natural history and need for treatment of patients who are toxin immunoassay negative and polymerase chain reaction (PCR) positive (Tox-/PCR+) for CDI.\\n\\nDesign, Setting, and Participants: Prospective observational cohort study at a single academic medical center among 1416 hospitalized adults tested for C difficile toxins 72 hours or longer after admission between December 1, 2010, and October 20, 2012. The analysis was conducted in stages with revisions from April 27, 2013, to January 13, 2015.\\n\\nMain Outcomes and Measures: Patients undergoing C difficile testing were grouped by US Food and Drug Administration-approved toxin and PCR tests as Tox+/PCR+, Tox-/PCR+, or Tox-/PCR-. Toxin results were reported clinically. Polymerase chain reaction results were not reported. The main study outcomes were duration of diarrhea during up to 14 days of treatment, rate of CDI-related complications (ie, colectomy, megacolon, or intensive care unit care) and CDI-related death within 30 days.\\n\\nResults: Twenty-one percent (293 of 1416) of hospitalized adults tested for C difficile were positive by PCR, but 44.7% (131 of 293) had toxins detected by the clinical toxin test. At baseline, Tox-/PCR+ patients had lower C difficile bacterial load and less antibiotic exposure, fecal inflammation, and diarrhea than Tox+/PCR+ patients (P\u2009&lt;\u2009.001 for all). The median duration of diarrhea was shorter in Tox-/PCR+ patients (2 days; interquartile range, 1-4 days) than in Tox+/PCR+ patients (3 days; interquartile range, 1-6 days) (P\u2009=\u2009.003) and was similar to that in Tox-/PCR- patients (2 days; interquartile range, 1-3 days), despite minimal empirical treatment of Tox-/PCR+ patients. No CDI-related complications occurred in Tox-/PCR+ patients vs 10 complications in Tox+/PCR+ patients (0% vs 7.6%, P\u2009&lt;\u2009.001). One Tox-/PCR+ patient had recurrent CDI as a contributing factor to death within 30 days vs 11 CDI-related deaths in Tox+/PCR+ patients (0.6% vs 8.4%, P\u2009=\u2009.001).\\n\\nConclusions and Relevance: Among hospitalized adults with suspected CD\u2026", "author" : [ { "dropping-particle" : "", "family" : "Polage", "given" : "Christopher R", "non-dropping-particle" : "", "parse-names" : false, "suffix" : "" }, { "dropping-particle" : "", "family" : "Gyorke", "given" : "Clare E", "non-dropping-particle" : "", "parse-names" : false, "suffix" : "" }, { "dropping-particle" : "", "family" : "Kennedy", "given" : "Michael A", "non-dropping-particle" : "", "parse-names" : false, "suffix" : "" }, { "dropping-particle" : "", "family" : "Leslie", "given" : "Jhansi L", "non-dropping-particle" : "", "parse-names" : false, "suffix" : "" }, { "dropping-particle" : "", "family" : "Chin", "given" : "David L", "non-dropping-particle" : "", "parse-names" : false, "suffix" : "" }, { "dropping-particle" : "", "family" : "Wang", "given" : "Susan", "non-dropping-particle" : "", "parse-names" : false, "suffix" : "" }, { "dropping-particle" : "", "family" : "Nguyen", "given" : "Hien H", "non-dropping-particle" : "", "parse-names" : false, "suffix" : "" }, { "dropping-particle" : "", "family" : "Huang", "given" : "Bin", "non-dropping-particle" : "", "parse-names" : false, "suffix" : "" }, { "dropping-particle" : "", "family" : "Tang", "given" : "Yi-Wei", "non-dropping-particle" : "", "parse-names" : false, "suffix" : "" }, { "dropping-particle" : "", "family" : "Lee", "given" : "Lenora W", "non-dropping-particle" : "", "parse-names" : false, "suffix" : "" }, { "dropping-particle" : "", "family" : "Kim", "given" : "Kyoungmi", "non-dropping-particle" : "", "parse-names" : false, "suffix" : "" }, { "dropping-particle" : "", "family" : "Taylor", "given" : "Sandra", "non-dropping-particle" : "", "parse-names" : false, "suffix" : "" }, { "dropping-particle" : "", "family" : "Romano", "given" : "Patrick S", "non-dropping-particle" : "", "parse-names" : false, "suffix" : "" }, { "dropping-particle" : "", "family" : "Panacek", "given" : "Edward A", "non-dropping-particle" : "", "parse-names" : false, "suffix" : "" }, { "dropping-particle" : "", "family" : "Goodell", "given" : "Parker B", "non-dropping-particle" : "", "parse-names" : false, "suffix" : "" }, { "dropping-particle" : "V", "family" : "Solnick", "given" : "Jay", "non-dropping-particle" : "", "parse-names" : false, "suffix" : "" }, { "dropping-particle" : "", "family" : "Cohen", "given" : "Stuart H", "non-dropping-particle" : "", "parse-names" : false, "suffix" : "" } ], "container-title" : "JAMA internal medicine", "id" : "ITEM-1", "issue" : "11", "issued" : { "date-parts" : [ [ "2015" ] ] }, "page" : "1-10", "title" : "Overdiagnosis of Clostridium difficile Infection in the Molecular Test Era.", "type" : "article-journal", "volume" : "175" }, "uris" : [ "http://www.mendeley.com/documents/?uuid=ccaaaad1-aae1-45e7-ae23-0ffa82208001" ] }, { "id" : "ITEM-2", "itemData" : { "DOI" : "10.1001/jama.2014.17103", "ISSN" : "0098-7484", "author" : [ { "dropping-particle" : "", "family" : "Bagdasarian", "given" : "Natasha", "non-dropping-particle" : "", "parse-names" : false, "suffix" : "" }, { "dropping-particle" : "", "family" : "Rao", "given" : "Krishna", "non-dropping-particle" : "", "parse-names" : false, "suffix" : "" }, { "dropping-particle" : "", "family" : "Malani", "given" : "Preeti N.", "non-dropping-particle" : "", "parse-names" : false, "suffix" : "" } ], "container-title" : "JAMA", "id" : "ITEM-2", "issue" : "4", "issued" : { "date-parts" : [ [ "2015" ] ] }, "page" : "398", "title" : "Diagnosis and Treatment of Clostridium difficile in Adults", "type" : "article-journal", "volume" : "313" }, "uris" : [ "http://www.mendeley.com/documents/?uuid=da1ac37b-fb54-4fa4-a7e5-4f2cd41b69de" ] }, { "id" : "ITEM-3", "itemData" : { "DOI" : "10.1086/673144", "ISBN" : "1559-6834", "ISSN" : "1559-6834", "PMID" : "24018922", "abstract" : "Background.\u2003Change from nonmolecular to molecular testing techniques is thought to contribute to the increasing trend in incidence of Clostridium difficile infection (CDI); however the degree of effect attributed to this versus other time-related epidemiologic factors is unclear. Methods.\u2003We compared the relative change in incidence rate (IRR) of healthcare facility-associated (HCFA) CDI among hospitals in the Duke Infection Control Outreach Network before and after the date of switch from nonmolecular tests to polymerase chain reaction (PCR) using prospectively collected surveillance data from July 2009 to December 2011. Data from 10 hospitals that switched and 22 control hospitals were included. Individual hospital estimates were determined using Poisson regression. We used an interrupted time series approach to develop a Poisson mixed-effects model. Additional regression adjustments were made for clustering and proportion of intensive care unit patient-days. The variable for PCR was treated as a fixed effect; other modeled variables were random effects. Results.\u2003For those hospitals that switched to PCR, mean incidence rate of HCFA CDI before the switch was 6.0 CDIs per 10,000 patient-days compared with 9.6 CDIs per 10,000 patient-days after the switch. Estimates of hospital-specific IRR that compared after the switch with before the switch ranged from 0.89 (95% confidence interval [CI], 0.32-2.44) to 6.91 (95% CI, 1.12-42.54). After adjustment in the mixed-effects model, the overall IRR comparing CDI incidence after the switch to before the switch was 1.56 (95% CI, 1.28-1.90). Time-trend variables did not reach statistical significance. Conclusion.\u2003Hospitals that switched from nonmolecular to molecular tests experienced an approximate 56% increase in the rate of HCFA CDI after testing change.", "author" : [ { "dropping-particle" : "", "family" : "Moehring", "given" : "Rebekah W", "non-dropping-particle" : "", "parse-names" : false, "suffix" : "" }, { "dropping-particle" : "", "family" : "Lofgren", "given" : "Eric T", "non-dropping-particle" : "", "parse-names" : false, "suffix" : "" }, { "dropping-particle" : "", "family" : "Anderson", "given" : "Deverick J", "non-dropping-particle" : "", "parse-names" : false, "suffix" : "" } ], "container-title" : "Infection control and hospital epidemiology : the official journal of the Society of Hospital Epidemiologists of America", "id" : "ITEM-3", "issue" : "10", "issued" : { "date-parts" : [ [ "2013" ] ] }, "page" : "1055-61", "title" : "Impact of Change to Molecular Testing for Clostridium difficile Infection on Healthcare Facility-Associated Incidence Rates.", "type" : "article-journal", "volume" : "34" }, "uris" : [ "http://www.mendeley.com/documents/?uuid=56cc96f2-d0d2-4b30-b784-37ed0ddb7c58" ] } ], "mendeley" : { "formattedCitation" : "\\autocite{Bagdasarian2015,Moehring2013,Polage2015}", "plainTextFormattedCitation" : "\\autocite{Bagdasarian2015,Moehring2013,Polage2015}", "previouslyFormattedCitation" : "&lt;sup&gt;25\u201327&lt;/sup&gt;" }, "properties" : { "noteIndex" : 0 }, "schema" : "https://github.com/citation-style-language/schema/raw/master/csl-citation.json" }</w:instrText>
      </w:r>
      <w:r w:rsidR="00C37041">
        <w:fldChar w:fldCharType="separate"/>
      </w:r>
      <w:r w:rsidR="00717812" w:rsidRPr="00717812">
        <w:rPr>
          <w:noProof/>
        </w:rPr>
        <w:t>\autocite{Bagdasarian2015,Moehring2013,Polage2015}</w:t>
      </w:r>
      <w:r w:rsidR="00C37041">
        <w:fldChar w:fldCharType="end"/>
      </w:r>
      <w:r w:rsidR="003E3081">
        <w:t xml:space="preserve"> </w:t>
      </w:r>
      <w:proofErr w:type="gramStart"/>
      <w:r w:rsidR="00697D68">
        <w:t>To</w:t>
      </w:r>
      <w:proofErr w:type="gramEnd"/>
      <w:r w:rsidR="00697D68">
        <w:t xml:space="preserve"> ensure maximally robust results and allow comparison </w:t>
      </w:r>
      <w:r w:rsidR="00FF3D9C">
        <w:t>with prior studies</w:t>
      </w:r>
      <w:r w:rsidR="00697D68">
        <w:t>,</w:t>
      </w:r>
      <w:r w:rsidR="00EA52FF">
        <w:t xml:space="preserve"> </w:t>
      </w:r>
      <w:r w:rsidR="002C26CC">
        <w:t xml:space="preserve">we </w:t>
      </w:r>
      <w:r w:rsidR="003E3081">
        <w:t>repeated</w:t>
      </w:r>
      <w:r w:rsidR="008C7C06">
        <w:t xml:space="preserve"> </w:t>
      </w:r>
      <w:r w:rsidR="00007472">
        <w:t xml:space="preserve">our </w:t>
      </w:r>
      <w:r w:rsidR="006A42D3">
        <w:t>analysi</w:t>
      </w:r>
      <w:r w:rsidR="002C26CC">
        <w:t>s</w:t>
      </w:r>
      <w:r w:rsidR="008C7C06">
        <w:t xml:space="preserve"> </w:t>
      </w:r>
      <w:r w:rsidR="00007472">
        <w:t>for five definitions of CDI</w:t>
      </w:r>
      <w:r w:rsidR="00936EF5">
        <w:t>:</w:t>
      </w:r>
    </w:p>
    <w:p w14:paraId="418EA065" w14:textId="77777777" w:rsidR="00DA243B" w:rsidRDefault="00A21943" w:rsidP="00793576">
      <w:pPr>
        <w:pStyle w:val="ListParagraph"/>
        <w:numPr>
          <w:ilvl w:val="0"/>
          <w:numId w:val="6"/>
        </w:numPr>
      </w:pPr>
      <w:r>
        <w:t>An “008.45”</w:t>
      </w:r>
      <w:r w:rsidR="009D755E">
        <w:t xml:space="preserve"> principal or secondary </w:t>
      </w:r>
      <w:r w:rsidR="007D56B1">
        <w:t xml:space="preserve">ICD-9 </w:t>
      </w:r>
      <w:r>
        <w:t xml:space="preserve">visit </w:t>
      </w:r>
      <w:r w:rsidR="009D755E">
        <w:t>diagnosis code</w:t>
      </w:r>
    </w:p>
    <w:p w14:paraId="17AC0A1A" w14:textId="77777777" w:rsidR="009D755E" w:rsidRDefault="005628A2" w:rsidP="00793576">
      <w:pPr>
        <w:pStyle w:val="ListParagraph"/>
        <w:numPr>
          <w:ilvl w:val="0"/>
          <w:numId w:val="6"/>
        </w:numPr>
      </w:pPr>
      <w:r>
        <w:t xml:space="preserve">≥1 </w:t>
      </w:r>
      <w:r w:rsidR="009D755E">
        <w:t>positive</w:t>
      </w:r>
      <w:r w:rsidR="008C7C06">
        <w:t xml:space="preserve"> stool toxin enzyme immunoassay (EIA) lab result</w:t>
      </w:r>
    </w:p>
    <w:p w14:paraId="3E0C3EE5" w14:textId="77777777" w:rsidR="008C7C06" w:rsidRDefault="005628A2" w:rsidP="00793576">
      <w:pPr>
        <w:pStyle w:val="ListParagraph"/>
        <w:numPr>
          <w:ilvl w:val="0"/>
          <w:numId w:val="6"/>
        </w:numPr>
      </w:pPr>
      <w:r>
        <w:t xml:space="preserve">≥1 </w:t>
      </w:r>
      <w:r w:rsidR="008C7C06">
        <w:t>positive stool toxin polymerase chain reaction (PCR) lab result</w:t>
      </w:r>
    </w:p>
    <w:p w14:paraId="76D59A8D" w14:textId="77777777" w:rsidR="008C7C06" w:rsidRDefault="001639C5" w:rsidP="00793576">
      <w:pPr>
        <w:pStyle w:val="ListParagraph"/>
        <w:numPr>
          <w:ilvl w:val="0"/>
          <w:numId w:val="6"/>
        </w:numPr>
      </w:pPr>
      <w:r>
        <w:t>Either ii or iii</w:t>
      </w:r>
    </w:p>
    <w:p w14:paraId="7B96F85F" w14:textId="77777777" w:rsidR="008C7C06" w:rsidRDefault="001639C5" w:rsidP="00793576">
      <w:pPr>
        <w:pStyle w:val="ListParagraph"/>
        <w:numPr>
          <w:ilvl w:val="0"/>
          <w:numId w:val="6"/>
        </w:numPr>
      </w:pPr>
      <w:r>
        <w:t xml:space="preserve">Any of i, ii, or </w:t>
      </w:r>
      <w:r w:rsidR="00793576">
        <w:t>iii</w:t>
      </w:r>
    </w:p>
    <w:p w14:paraId="69C35D1B" w14:textId="4F7B33DA" w:rsidR="002C26CC" w:rsidRDefault="009077AB" w:rsidP="009908FC">
      <w:pPr>
        <w:pStyle w:val="ListParagraph"/>
        <w:ind w:left="0" w:firstLine="720"/>
      </w:pPr>
      <w:r>
        <w:t>Our</w:t>
      </w:r>
      <w:r w:rsidR="008C7C06">
        <w:t xml:space="preserve"> </w:t>
      </w:r>
      <w:r w:rsidR="006A42D3">
        <w:t>study</w:t>
      </w:r>
      <w:r>
        <w:t>’s</w:t>
      </w:r>
      <w:r w:rsidR="006A42D3">
        <w:t xml:space="preserve"> time range included both a period where the EIA assay was the standard hospital laboratory</w:t>
      </w:r>
      <w:r w:rsidR="00793D8A">
        <w:t xml:space="preserve"> test</w:t>
      </w:r>
      <w:r w:rsidR="006A42D3">
        <w:t xml:space="preserve"> (</w:t>
      </w:r>
      <w:r w:rsidR="00B7741D">
        <w:t>~3</w:t>
      </w:r>
      <w:r w:rsidR="006A42D3">
        <w:t xml:space="preserve"> years) followed by a period where the PCR assay was standard (</w:t>
      </w:r>
      <w:r w:rsidR="00B7741D">
        <w:t>~4</w:t>
      </w:r>
      <w:r w:rsidR="006A42D3">
        <w:t xml:space="preserve"> ye</w:t>
      </w:r>
      <w:r w:rsidR="003C364F">
        <w:t>ars)</w:t>
      </w:r>
      <w:r w:rsidR="00E1059A">
        <w:t>. For case cohorts (ii</w:t>
      </w:r>
      <w:r w:rsidR="000363EB">
        <w:t>)</w:t>
      </w:r>
      <w:r w:rsidR="00E1059A">
        <w:t xml:space="preserve"> and </w:t>
      </w:r>
      <w:r w:rsidR="000363EB">
        <w:t>(</w:t>
      </w:r>
      <w:r w:rsidR="00E1059A">
        <w:t>iii)</w:t>
      </w:r>
      <w:r>
        <w:t xml:space="preserve">, comparisons were only </w:t>
      </w:r>
      <w:r w:rsidR="00793576">
        <w:t>permitted</w:t>
      </w:r>
      <w:r>
        <w:t xml:space="preserve"> with control</w:t>
      </w:r>
      <w:r w:rsidR="00F43CAE">
        <w:t xml:space="preserve">s </w:t>
      </w:r>
      <w:r>
        <w:t>from the</w:t>
      </w:r>
      <w:r w:rsidR="00EE0231">
        <w:t xml:space="preserve"> </w:t>
      </w:r>
      <w:r w:rsidR="00EE0231">
        <w:lastRenderedPageBreak/>
        <w:t xml:space="preserve">time range </w:t>
      </w:r>
      <w:r w:rsidR="00793576">
        <w:t xml:space="preserve">during which </w:t>
      </w:r>
      <w:r w:rsidR="00B5304F">
        <w:t xml:space="preserve">that </w:t>
      </w:r>
      <w:r w:rsidR="00B52816">
        <w:t xml:space="preserve">same </w:t>
      </w:r>
      <w:r>
        <w:t>test</w:t>
      </w:r>
      <w:r w:rsidR="00D466FE">
        <w:t xml:space="preserve"> </w:t>
      </w:r>
      <w:r>
        <w:t>was</w:t>
      </w:r>
      <w:r w:rsidR="00793576">
        <w:t xml:space="preserve"> </w:t>
      </w:r>
      <w:r>
        <w:t>standard.</w:t>
      </w:r>
      <w:r w:rsidR="00474CB2">
        <w:t xml:space="preserve"> </w:t>
      </w:r>
      <w:r w:rsidR="007A3994">
        <w:t xml:space="preserve">The hospital laboratory only performs toxin assays on unformed stool samples, implying the presence of diarrhea </w:t>
      </w:r>
      <w:r w:rsidR="00293213">
        <w:t>for positive results</w:t>
      </w:r>
      <w:r w:rsidR="007A3994">
        <w:t>.</w:t>
      </w:r>
    </w:p>
    <w:p w14:paraId="06D7B3BF" w14:textId="77777777" w:rsidR="006F5325" w:rsidRDefault="006F5325" w:rsidP="006F5325">
      <w:pPr>
        <w:pStyle w:val="Heading2"/>
      </w:pPr>
      <w:r>
        <w:t>Statistical Analysis</w:t>
      </w:r>
    </w:p>
    <w:p w14:paraId="1C175F2F" w14:textId="55C403B7" w:rsidR="00050CDB" w:rsidRDefault="00FE5F9D" w:rsidP="00AB3EE5">
      <w:pPr>
        <w:pStyle w:val="Normal2"/>
      </w:pPr>
      <w:r>
        <w:t xml:space="preserve">Details </w:t>
      </w:r>
      <w:r w:rsidR="000B2D59">
        <w:t xml:space="preserve">of propensity model development, </w:t>
      </w:r>
      <w:r>
        <w:t>matching,</w:t>
      </w:r>
      <w:r w:rsidR="003D4D85">
        <w:t xml:space="preserve"> evaluation of matching performance</w:t>
      </w:r>
      <w:r w:rsidR="00A16DA3">
        <w:t>,</w:t>
      </w:r>
      <w:r>
        <w:t xml:space="preserve"> and LOS comparisons are available in Supplement</w:t>
      </w:r>
      <w:r w:rsidR="009C369C">
        <w:t xml:space="preserve">ary </w:t>
      </w:r>
      <w:r w:rsidR="00903C63">
        <w:t>Methods</w:t>
      </w:r>
      <w:r>
        <w:t>.</w:t>
      </w:r>
      <w:r>
        <w:rPr>
          <w:i/>
        </w:rPr>
        <w:t xml:space="preserve"> </w:t>
      </w:r>
      <w:r>
        <w:t>Briefly, p</w:t>
      </w:r>
      <w:r w:rsidR="009908FC">
        <w:t xml:space="preserve">ropensity models for CDI based on the five case definitions were </w:t>
      </w:r>
      <w:r w:rsidR="00EE180F">
        <w:t>trained</w:t>
      </w:r>
      <w:r w:rsidR="00BF0A3A">
        <w:t xml:space="preserve"> </w:t>
      </w:r>
      <w:r w:rsidR="00D02B58">
        <w:t xml:space="preserve">using logistic regression </w:t>
      </w:r>
      <w:r w:rsidR="009908FC">
        <w:t xml:space="preserve">with elastic net regularization. </w:t>
      </w:r>
      <w:r w:rsidR="00E15683">
        <w:t xml:space="preserve">After exact matching on gender </w:t>
      </w:r>
      <w:r w:rsidR="009414F4">
        <w:t>and</w:t>
      </w:r>
      <w:r w:rsidR="00790FE4">
        <w:t xml:space="preserve"> </w:t>
      </w:r>
      <w:r w:rsidR="00E15683">
        <w:t>age</w:t>
      </w:r>
      <w:r w:rsidR="009414F4">
        <w:t xml:space="preserve"> bins</w:t>
      </w:r>
      <w:r w:rsidR="00E15683">
        <w:t>,</w:t>
      </w:r>
      <w:r w:rsidR="00157E4D">
        <w:t xml:space="preserve"> nearest-neighbor</w:t>
      </w:r>
      <w:r w:rsidR="00E15683" w:rsidDel="003C5350">
        <w:t xml:space="preserve"> </w:t>
      </w:r>
      <w:r w:rsidR="00E15683">
        <w:t>1:1 m</w:t>
      </w:r>
      <w:r w:rsidR="00687434">
        <w:t xml:space="preserve">atching on the propensity score was performed </w:t>
      </w:r>
      <w:r w:rsidR="00925A33">
        <w:t>with</w:t>
      </w:r>
      <w:r w:rsidR="00915249">
        <w:t xml:space="preserve"> </w:t>
      </w:r>
      <w:r w:rsidR="00F86D81">
        <w:t>a</w:t>
      </w:r>
      <w:r w:rsidR="00915249">
        <w:t xml:space="preserve"> </w:t>
      </w:r>
      <w:r w:rsidR="005503CD">
        <w:t>caliper of 0·</w:t>
      </w:r>
      <w:r w:rsidR="009064BD" w:rsidRPr="009064BD">
        <w:t>2</w:t>
      </w:r>
      <w:r w:rsidR="0045132A" w:rsidRPr="009064BD">
        <w:t xml:space="preserve"> standard deviations of the </w:t>
      </w:r>
      <w:r w:rsidR="009064BD">
        <w:t xml:space="preserve">logit of the </w:t>
      </w:r>
      <w:r w:rsidR="0045132A" w:rsidRPr="009064BD">
        <w:t>propensity score</w:t>
      </w:r>
      <w:r w:rsidR="00E15683">
        <w:t>.</w:t>
      </w:r>
      <w:r w:rsidR="009064BD">
        <w:fldChar w:fldCharType="begin" w:fldLock="1"/>
      </w:r>
      <w:r w:rsidR="00717812">
        <w:instrText>ADDIN CSL_CITATION { "citationItems" : [ { "id" : "ITEM-1", "itemData" : { "DOI" : "10.1002/pst.433", "ISBN" : "1539-1612", "ISSN" : "15391604", "PMID" : "20925139", "abstract" : "In a study comparing the effects of two treatments, the propensity score is the probability of assignment to one treatment conditional on a subject's measured baseline covariates. Propensity-score matching is increasingly being used to estimate the effects of exposures using observational data. In the most common implementation of propensity-score matching, pairs of treated and untreated subjects are formed whose propensity scores differ by at most a pre-specified amount (the caliper width). There has been a little research into the optimal caliper width. We conducted an extensive series of Monte Carlo simulations to determine the optimal caliper width for estimating differences in means (for continuous outcomes) and risk differences (for binary outcomes). When estimating differences in means or risk differences, we recommend that researchers match on the logit of the propensity score using calipers of width equal to 0.2 of the standard deviation of the logit of the propensity score. When at least some of the covariates were continuous, then either this value, or one close to it, minimized the mean square error of the resultant estimated treatment effect. It also eliminated at least 98% of the bias in the crude estimator, and it resulted in confidence intervals with approximately the correct coverage rates. Furthermore, the empirical type I error rate was approximately correct. When all of the covariates were binary, then the choice of caliper width had a much smaller impact on the performance of estimation of risk differences and differences in means. Copyright \u00a9 2010 John Wiley &amp; Sons, Ltd.", "author" : [ { "dropping-particle" : "", "family" : "Austin", "given" : "Peter C.", "non-dropping-particle" : "", "parse-names" : false, "suffix" : "" } ], "container-title" : "Pharmaceutical Statistics", "id" : "ITEM-1", "issue" : "2", "issued" : { "date-parts" : [ [ "2011" ] ] }, "page" : "150-161", "title" : "Optimal caliper widths for propensity-score matching when estimating differences in means and differences in proportions in observational studies", "type" : "article-journal", "volume" : "10" }, "uris" : [ "http://www.mendeley.com/documents/?uuid=bbfe991c-5bc1-4421-8ba3-36dde03d99be" ] } ], "mendeley" : { "formattedCitation" : "\\autocite{Austin2011}", "plainTextFormattedCitation" : "\\autocite{Austin2011}", "previouslyFormattedCitation" : "&lt;sup&gt;28&lt;/sup&gt;" }, "properties" : { "noteIndex" : 0 }, "schema" : "https://github.com/citation-style-language/schema/raw/master/csl-citation.json" }</w:instrText>
      </w:r>
      <w:r w:rsidR="009064BD">
        <w:fldChar w:fldCharType="separate"/>
      </w:r>
      <w:r w:rsidR="00717812" w:rsidRPr="00717812">
        <w:rPr>
          <w:noProof/>
        </w:rPr>
        <w:t>\autocite{Austin2011}</w:t>
      </w:r>
      <w:r w:rsidR="009064BD">
        <w:fldChar w:fldCharType="end"/>
      </w:r>
      <w:r w:rsidR="00D66A11">
        <w:t xml:space="preserve"> </w:t>
      </w:r>
      <w:r w:rsidR="00720E8D">
        <w:t xml:space="preserve">Matching was repeated using the matched controls against remaining unmatched controls to create a matched-again cohort, testing whether matching alone associates with changes in LOS. </w:t>
      </w:r>
      <w:r w:rsidR="00050CDB">
        <w:t xml:space="preserve">For each case definition of CDI, </w:t>
      </w:r>
      <w:r w:rsidR="00550981">
        <w:t>d</w:t>
      </w:r>
      <w:r w:rsidR="005B4A13">
        <w:t>ifferences of the median</w:t>
      </w:r>
      <w:r w:rsidR="00B3482C">
        <w:t xml:space="preserve"> </w:t>
      </w:r>
      <w:r w:rsidR="00C856CC">
        <w:t>LOS</w:t>
      </w:r>
      <w:r w:rsidR="00736792">
        <w:t xml:space="preserve"> between cases and </w:t>
      </w:r>
      <w:r w:rsidR="00687434">
        <w:t>matched controls</w:t>
      </w:r>
      <w:r w:rsidR="005B4A13">
        <w:t xml:space="preserve"> were calculated</w:t>
      </w:r>
      <w:r w:rsidR="00753EB1">
        <w:t xml:space="preserve">, and statistical significance </w:t>
      </w:r>
      <w:r w:rsidR="000277E5">
        <w:t>tested</w:t>
      </w:r>
      <w:r w:rsidR="00753EB1">
        <w:t xml:space="preserve"> with </w:t>
      </w:r>
      <w:r w:rsidR="000277E5">
        <w:t xml:space="preserve">the </w:t>
      </w:r>
      <w:r w:rsidR="00F33C6A">
        <w:t xml:space="preserve">two-sided </w:t>
      </w:r>
      <w:r w:rsidR="00C205E7">
        <w:t xml:space="preserve">Mann-Whitney </w:t>
      </w:r>
      <w:r w:rsidR="00C205E7">
        <w:rPr>
          <w:i/>
        </w:rPr>
        <w:t>U</w:t>
      </w:r>
      <w:r w:rsidR="0060205B">
        <w:t>. N</w:t>
      </w:r>
      <w:r w:rsidR="00BA749B">
        <w:t>onparametric</w:t>
      </w:r>
      <w:r w:rsidR="00C11873">
        <w:t xml:space="preserve"> </w:t>
      </w:r>
      <w:r w:rsidR="00550981">
        <w:t xml:space="preserve">Kaplan-Meier </w:t>
      </w:r>
      <w:r w:rsidR="00480698">
        <w:t>estimat</w:t>
      </w:r>
      <w:r w:rsidR="00164B21">
        <w:t>e</w:t>
      </w:r>
      <w:r w:rsidR="00480698">
        <w:t xml:space="preserve">s </w:t>
      </w:r>
      <w:r w:rsidR="00D858D1">
        <w:t xml:space="preserve">of </w:t>
      </w:r>
      <w:r w:rsidR="00705821">
        <w:t xml:space="preserve">the </w:t>
      </w:r>
      <w:r w:rsidR="00C11873">
        <w:t xml:space="preserve">time-dependent risk of discharge </w:t>
      </w:r>
      <w:r w:rsidR="00D858D1">
        <w:t>were plotted</w:t>
      </w:r>
      <w:r w:rsidR="0008760A">
        <w:t xml:space="preserve"> for matched cohorts</w:t>
      </w:r>
      <w:r w:rsidR="00D858D1">
        <w:t>.</w:t>
      </w:r>
    </w:p>
    <w:p w14:paraId="47AB5BC6" w14:textId="04CC87A3" w:rsidR="0034491F" w:rsidRPr="008D51B1" w:rsidRDefault="006F4AC9" w:rsidP="00031685">
      <w:pPr>
        <w:pStyle w:val="Normal2"/>
        <w:ind w:firstLine="720"/>
      </w:pPr>
      <w:r>
        <w:t>To</w:t>
      </w:r>
      <w:r w:rsidR="00C63B10">
        <w:t xml:space="preserve"> </w:t>
      </w:r>
      <w:r w:rsidR="00EF2F84">
        <w:t xml:space="preserve">address </w:t>
      </w:r>
      <w:r w:rsidR="00E6548B">
        <w:t>the</w:t>
      </w:r>
      <w:r w:rsidR="00EF2F84">
        <w:t xml:space="preserve"> possible effect of time-to-infection on CDI risk</w:t>
      </w:r>
      <w:r w:rsidR="00CF2A3B">
        <w:t xml:space="preserve"> and </w:t>
      </w:r>
      <w:r w:rsidR="00833654">
        <w:t>measured</w:t>
      </w:r>
      <w:r w:rsidR="00CF2A3B">
        <w:t xml:space="preserve"> LOS differences</w:t>
      </w:r>
      <w:r w:rsidR="00317CFE">
        <w:t>,</w:t>
      </w:r>
      <w:r w:rsidR="003A3C91">
        <w:t xml:space="preserve"> </w:t>
      </w:r>
      <w:r>
        <w:t>we repeated the analysis for case definition (iv) stratified by the time of the first positive toxin assay,</w:t>
      </w:r>
      <w:r w:rsidR="003A3C91">
        <w:t xml:space="preserve"> using three ranges: 0-3 days, 3-8 days, and ≥8 da</w:t>
      </w:r>
      <w:r w:rsidR="0004731B">
        <w:t>ys</w:t>
      </w:r>
      <w:r w:rsidR="00C056AC">
        <w:t>.</w:t>
      </w:r>
      <w:r w:rsidR="00B83E25">
        <w:t xml:space="preserve"> </w:t>
      </w:r>
      <w:r w:rsidR="00421C25">
        <w:t xml:space="preserve">Propensity models were </w:t>
      </w:r>
      <w:r w:rsidR="007A1295">
        <w:t>again fitted to each of these case cohorts for</w:t>
      </w:r>
      <w:r w:rsidR="008138E9">
        <w:t xml:space="preserve"> matching as described previously</w:t>
      </w:r>
      <w:r w:rsidR="00F108C7">
        <w:t>,</w:t>
      </w:r>
      <w:r w:rsidR="008138E9">
        <w:t xml:space="preserve"> with the added condition that controls discharged before the start of the</w:t>
      </w:r>
      <w:r w:rsidR="00532770">
        <w:t xml:space="preserve"> CDI</w:t>
      </w:r>
      <w:r w:rsidR="008138E9">
        <w:t xml:space="preserve"> time window were ineligible for mat</w:t>
      </w:r>
      <w:bookmarkStart w:id="2" w:name="_GoBack"/>
      <w:bookmarkEnd w:id="2"/>
      <w:r w:rsidR="008138E9">
        <w:t>ching</w:t>
      </w:r>
      <w:r w:rsidR="00532770">
        <w:t>.</w:t>
      </w:r>
      <w:r w:rsidR="00B83E25">
        <w:fldChar w:fldCharType="begin" w:fldLock="1"/>
      </w:r>
      <w:r w:rsidR="00717812">
        <w:instrText>ADDIN CSL_CITATION { "citationItems" : [ { "id" : "ITEM-1", "itemData" : { "DOI" : "10.1198/016214501753208573", "ISBN" : "0162-1459", "ISSN" : "0162-1459", "abstract" : "A new form of matching\u00e2\u20ac\u201coptimal balanced risk set matching\u00e2\u20ac\u201cis applied in an observational study of a treatment, cystoscopy and hydrodistention, given in response to the symptoms of the chronic, nonlethal disease interstitial cystitis. When a patient receives the treatment at time t, that patient is matched to another patient with a similar history of symptoms up to time t who has not received the treatment up to time t; this is risk set matching. By using a penalty function in integer programming in a new way, we force the marginal distributions of symptoms to be balanced in the matched treated and control groups. Among all balanced matchings, we pick the one that is optimal in the sense of minimizing the multivariate pretreatment covariate distance within matched pairs. Under a simple model for the treatment assignment mechanism, we study the sensitivity of the findings to hidden biases. In particular, we show that a simple, conventional sensitivity analysis is appropriate with risk set matching when the time to treatment follows a proportional hazards model with a time-dependent unobserved covariate.", "author" : [ { "dropping-particle" : "", "family" : "Li", "given" : "Yunfei Paul", "non-dropping-particle" : "", "parse-names" : false, "suffix" : "" }, { "dropping-particle" : "", "family" : "Propert", "given" : "Kathleen J", "non-dropping-particle" : "", "parse-names" : false, "suffix" : "" }, { "dropping-particle" : "", "family" : "Rosenbaum", "given" : "Paul R", "non-dropping-particle" : "", "parse-names" : false, "suffix" : "" } ], "container-title" : "Journal of the American Statistical Association", "id" : "ITEM-1", "issue" : "October 2014", "issued" : { "date-parts" : [ [ "2001" ] ] }, "page" : "870-882", "title" : "Balanced Risk Set Matching", "type" : "article-journal", "volume" : "96" }, "uris" : [ "http://www.mendeley.com/documents/?uuid=35e47139-148a-48e4-a39b-65e5879fbfdc" ] } ], "mendeley" : { "formattedCitation" : "\\autocite{Li2001}", "plainTextFormattedCitation" : "\\autocite{Li2001}", "previouslyFormattedCitation" : "&lt;sup&gt;29&lt;/sup&gt;" }, "properties" : { "noteIndex" : 0 }, "schema" : "https://github.com/citation-style-language/schema/raw/master/csl-citation.json" }</w:instrText>
      </w:r>
      <w:r w:rsidR="00B83E25">
        <w:fldChar w:fldCharType="separate"/>
      </w:r>
      <w:r w:rsidR="00717812" w:rsidRPr="00717812">
        <w:rPr>
          <w:noProof/>
        </w:rPr>
        <w:t>\autocite{Li2001}</w:t>
      </w:r>
      <w:r w:rsidR="00B83E25">
        <w:fldChar w:fldCharType="end"/>
      </w:r>
      <w:r w:rsidR="008138E9">
        <w:t xml:space="preserve"> </w:t>
      </w:r>
      <w:r w:rsidR="00A630D4">
        <w:t>LOS</w:t>
      </w:r>
      <w:r w:rsidR="006C35BF">
        <w:t xml:space="preserve"> </w:t>
      </w:r>
      <w:r w:rsidR="00C12DE7">
        <w:t xml:space="preserve">comparisons followed </w:t>
      </w:r>
      <w:r w:rsidR="0075030A">
        <w:t>the same procedure as above.</w:t>
      </w:r>
      <w:r w:rsidR="00A45444">
        <w:t xml:space="preserve"> W</w:t>
      </w:r>
      <w:r w:rsidR="0034491F">
        <w:t>e</w:t>
      </w:r>
      <w:r w:rsidR="00A45444">
        <w:t xml:space="preserve"> furthermore</w:t>
      </w:r>
      <w:r w:rsidR="0034491F">
        <w:t xml:space="preserve"> fit a </w:t>
      </w:r>
      <w:r w:rsidR="00740EB4">
        <w:t xml:space="preserve">nonparametric </w:t>
      </w:r>
      <w:r w:rsidR="0034491F">
        <w:t>multistate model</w:t>
      </w:r>
      <w:r w:rsidR="00740EB4">
        <w:t xml:space="preserve"> consistent with previous studies</w:t>
      </w:r>
      <w:r w:rsidR="00BC434C">
        <w:t>,</w:t>
      </w:r>
      <w:r w:rsidR="00740EB4">
        <w:fldChar w:fldCharType="begin" w:fldLock="1"/>
      </w:r>
      <w:r w:rsidR="00717812">
        <w:instrText>ADDIN CSL_CITATION { "citationItems" : [ { "id" : "ITEM-1", "itemData" : { "DOI" : "10.1016/j.ajic.2013.07.006", "ISBN" : "0196-6553\r1527-3296", "ISSN" : "01966553", "PMID" : "24290226", "abstract" : "Background Clostridium difficile infection (CDI) possibly extends hospital length of stay (LOS); however, the current evidence does not account for the time-dependent bias, ie, when infection is incorrectly analyzed as a baseline covariate. The aim of this study was to determine whether CDI increases LOS after managing this bias. Methods We examined the estimated extra LOS because of CDI using a multistate model. Data from all persons hospitalized &gt;48 hours over 4 years in a tertiary hospital in Australia were analyzed. Persons with health care-associated CDIs were identified. Cox proportional hazards models were applied together with multistate modeling. Results One hundred fifty-eight of 58,942 admissions examined had CDI. The mean extra LOS because of infection was 0.9 days (95% confidence interval: -1.8 to 3.6 days, P =.51) when a multistate model was applied. The hazard of discharge was lower in persons who had CDI (adjusted hazard ratio, 0.42; P &lt;.001) when a Cox proportional hazard model was applied. Conclusion This study is the first to use multistate models to determine the extra LOS because of CDI. Results suggest CDI does not significantly contribute to hospital LOS, contradicting findings published elsewhere. Conversely, when methods prone to result in time-dependent bias were applied to the data, the hazard of discharge significantly increased. These findings contribute to discussion on methods used to evaluate LOS and health care-associated infections.", "author" : [ { "dropping-particle" : "", "family" : "Mitchell", "given" : "Brett G.", "non-dropping-particle" : "", "parse-names" : false, "suffix" : "" }, { "dropping-particle" : "", "family" : "Gardner", "given" : "Anne", "non-dropping-particle" : "", "parse-names" : false, "suffix" : "" }, { "dropping-particle" : "", "family" : "Barnett", "given" : "Adrian G.", "non-dropping-particle" : "", "parse-names" : false, "suffix" : "" }, { "dropping-particle" : "", "family" : "Hiller", "given" : "Janet E.", "non-dropping-particle" : "", "parse-names" : false, "suffix" : "" }, { "dropping-particle" : "", "family" : "Graves", "given" : "Nicholas", "non-dropping-particle" : "", "parse-names" : false, "suffix" : "" } ], "container-title" : "American Journal of Infection Control", "id" : "ITEM-1", "issue" : "2", "issued" : { "date-parts" : [ [ "2014" ] ] }, "page" : "164-167", "publisher" : "Elsevier Inc", "title" : "The prolongation of length of stay because of Clostridium difficile infection", "type" : "article-journal", "volume" : "42" }, "uris" : [ "http://www.mendeley.com/documents/?uuid=a1f2dcd7-ed71-4ff1-9e5a-589fada7571d" ] }, { "id" : "ITEM-2", "itemData" : { "DOI" : "10.1017/ice.2015.132", "ISBN" : "1559-6834", "ISSN" : "1559-6834", "PMID" : "26006153", "abstract" : "BACKGROUND Standard estimates of the impact of Clostridium difficile infections (CDI) on inpatient lengths of stay (LOS) may overstate inpatient care costs attributable to CDI. In this study, we used multistate modeling (MSM) of CDI timing to reduce bias in estimates of excess LOS. METHODS A retrospective cohort study of all hospitalizations at any of 120 acute care facilities within the US Department of Veterans Affairs (VA) between 2005 and 2012 was conducted. We estimated the excess LOS attributable to CDI using an MSM to address time-dependent bias. Bootstrapping was used to generate 95% confidence intervals (CI). These estimates were compared to unadjusted differences in mean LOS for hospitalizations with and without CDI. RESULTS During the study period, there were 3.96 million hospitalizations and 43,540 CDIs. A comparison of unadjusted means suggested an excess LOS of 14.0 days (19.4 vs 5.4 days). In contrast, the MSM estimated an attributable LOS of only 2.27 days (95% CI, 2.14-2.40). The excess LOS for mild-to-moderate CDI was 0.75 days (95% CI, 0.59-0.89), and for severe CDI, it was 4.11 days (95% CI, 3.90-4.32). Substantial variation across the Veteran Integrated Services Networks (VISN) was observed. CONCLUSIONS CDI significantly contributes to LOS, but the magnitude of its estimated impact is smaller when methods are used that account for the time-varying nature of infection. The greatest impact on LOS occurred among patients with severe CDI. Significant geographic variability was observed. MSM is a useful tool for obtaining more accurate estimates of the inpatient care costs of CDI. Infect. Control Hosp. Epidemiol. 2015;00(0):1-7.", "author" : [ { "dropping-particle" : "", "family" : "Stevens", "given" : "Vanessa W", "non-dropping-particle" : "", "parse-names" : false, "suffix" : "" }, { "dropping-particle" : "", "family" : "Khader", "given" : "Karim", "non-dropping-particle" : "", "parse-names" : false, "suffix" : "" }, { "dropping-particle" : "", "family" : "Nelson", "given" : "Richard E", "non-dropping-particle" : "", "parse-names" : false, "suffix" : "" }, { "dropping-particle" : "", "family" : "Jones", "given" : "Makoto", "non-dropping-particle" : "", "parse-names" : false, "suffix" : "" }, { "dropping-particle" : "", "family" : "Rubin", "given" : "Michael a", "non-dropping-particle" : "", "parse-names" : false, "suffix" : "" }, { "dropping-particle" : "", "family" : "Brown", "given" : "Kevin a", "non-dropping-particle" : "", "parse-names" : false, "suffix" : "" }, { "dropping-particle" : "", "family" : "Evans", "given" : "Martin E", "non-dropping-particle" : "", "parse-names" : false, "suffix" : "" }, { "dropping-particle" : "", "family" : "Greene", "given" : "Tom", "non-dropping-particle" : "", "parse-names" : false, "suffix" : "" }, { "dropping-particle" : "", "family" : "Slade", "given" : "Eric", "non-dropping-particle" : "", "parse-names" : false, "suffix" : "" }, { "dropping-particle" : "", "family" : "Samore", "given" : "Matthew H", "non-dropping-particle" : "", "parse-names" : false, "suffix" : "" } ], "container-title" : "Infection control and hospital epidemiology", "id" : "ITEM-2", "issue" : "Cdi", "issued" : { "date-parts" : [ [ "2015" ] ] }, "page" : "1-7", "title" : "Excess Length of Stay Attributable to Clostridium difficile Infection (CDI) in the Acute Care Setting: A Multistate Model.", "type" : "article-journal", "volume" : "36" }, "uris" : [ "http://www.mendeley.com/documents/?uuid=48762d07-8992-4ffd-a6c6-cae69631360e" ] }, { "id" : "ITEM-3", "itemData" : { "DOI" : "10.1016/j.jhin.2014.08.008", "ISBN" : "1532-2939", "ISSN" : "15322939", "PMID" : "25441017", "abstract" : "The burden of healthcare-associated infections, such as healthcare-acquired Clostridium difficile (HA-CDI), can be expressed in terms of additional length of stay (LOS) and mortality. However, previous estimates have varied widely. Although some have considered time of infection onset (time-dependent bias), none considered the impact of severity of HA-CDI; this was the primary aim of this study. Methods: The daily risk of in-hospital death or discharge was modelled using a Cox proportional hazards model, fitted to data on patients discharged in 2012 from a large English teaching hospital. We treated HA-CDI status as a time-dependent variable and adjusted for confounders. In addition, a multi-state model was developed to provide a clinically intuitive metric of delayed discharge associated with non-severe and severe HA-CDI respectively. Findings: Data comprised 157 (including 48 severe) HA-CDI cases among 42,618 patients. HA-CDI reduced the daily discharge rate by nearly one-quarter [hazard ratio (HR): 0.72; 95% confidence interval (CI): 0.61-0.84] and increased the in-hospital death rate by 75% compared with non-HA-CDI patients (HR: 1.75; 95% CI: 1.16-2.62). Whereas overall HA-CDI resulted in a mean excess LOS of about seven days (95% CI: 3.5-10.9), severe cases had an average excess LOS which was twice (~11.6 days; 95% CI: 3.6-19.6) that of the non-severe cases (about five days; 95% CI: 1.1-9.5). Conclusion: HA-CDI contributes to patients' expected LOS and risk of mortality. However, when quantifying the health and economic burden of hospital-onset of HA-CDI, the heterogeneity in the impact of HA-CDI should be accounted for.", "author" : [ { "dropping-particle" : "", "family" : "Kleef", "given" : "E.", "non-dropping-particle" : "van", "parse-names" : false, "suffix" : "" }, { "dropping-particle" : "", "family" : "Green", "given" : "N.", "non-dropping-particle" : "", "parse-names" : false, "suffix" : "" }, { "dropping-particle" : "", "family" : "Goldenberg", "given" : "S. D.", "non-dropping-particle" : "", "parse-names" : false, "suffix" : "" }, { "dropping-particle" : "V.", "family" : "Robotham", "given" : "J.", "non-dropping-particle" : "", "parse-names" : false, "suffix" : "" }, { "dropping-particle" : "", "family" : "Cookson", "given" : "B.", "non-dropping-particle" : "", "parse-names" : false, "suffix" : "" }, { "dropping-particle" : "", "family" : "Jit", "given" : "M.", "non-dropping-particle" : "", "parse-names" : false, "suffix" : "" }, { "dropping-particle" : "", "family" : "Edmunds", "given" : "W. J.", "non-dropping-particle" : "", "parse-names" : false, "suffix" : "" }, { "dropping-particle" : "", "family" : "Deeny", "given" : "S. R.", "non-dropping-particle" : "", "parse-names" : false, "suffix" : "" } ], "container-title" : "Journal of Hospital Infection", "id" : "ITEM-3", "issue" : "4", "issued" : { "date-parts" : [ [ "2014" ] ] }, "page" : "213-217", "publisher" : "Elsevier Ltd", "title" : "Excess length of stay and mortality due to Clostridium difficile infection: A multi-state modelling approach", "type" : "article-journal", "volume" : "88" }, "uris" : [ "http://www.mendeley.com/documents/?uuid=3ae7fa69-709e-49bb-b6cb-f77c926a795c" ] } ], "mendeley" : { "formattedCitation" : "\\autocite{Mitchell2014,Stevens2015,van Kleef2014}", "plainTextFormattedCitation" : "\\autocite{Mitchell2014,Stevens2015,van Kleef2014}", "previouslyFormattedCitation" : "&lt;sup&gt;7,24,30&lt;/sup&gt;" }, "properties" : { "noteIndex" : 0 }, "schema" : "https://github.com/citation-style-language/schema/raw/master/csl-citation.json" }</w:instrText>
      </w:r>
      <w:r w:rsidR="00740EB4">
        <w:fldChar w:fldCharType="separate"/>
      </w:r>
      <w:r w:rsidR="00717812" w:rsidRPr="00717812">
        <w:rPr>
          <w:noProof/>
        </w:rPr>
        <w:t>\autocite{Mitchell2014,Stevens2015,van Kleef2014}</w:t>
      </w:r>
      <w:r w:rsidR="00740EB4">
        <w:fldChar w:fldCharType="end"/>
      </w:r>
      <w:r w:rsidR="00740EB4">
        <w:t xml:space="preserve"> </w:t>
      </w:r>
      <w:r w:rsidR="00F72E4C">
        <w:t>under</w:t>
      </w:r>
      <w:r w:rsidR="00BC434C">
        <w:t xml:space="preserve"> which t</w:t>
      </w:r>
      <w:r w:rsidR="00816B79">
        <w:t>he mean excess LOS was estimated as the average difference in LOS between patients</w:t>
      </w:r>
      <w:r w:rsidR="00CF11EC">
        <w:t xml:space="preserve"> that</w:t>
      </w:r>
      <w:r w:rsidR="00A61DD1">
        <w:t xml:space="preserve"> had or had not</w:t>
      </w:r>
      <w:r w:rsidR="00CF11EC">
        <w:t xml:space="preserve"> transitioned through the infected state</w:t>
      </w:r>
      <w:r w:rsidR="00E91601">
        <w:t xml:space="preserve"> for all timepoints</w:t>
      </w:r>
      <w:r w:rsidR="006E5328">
        <w:t>,</w:t>
      </w:r>
      <w:r w:rsidR="00816B79">
        <w:t xml:space="preserve"> weighted by</w:t>
      </w:r>
      <w:r w:rsidR="00B8653D">
        <w:t xml:space="preserve"> the</w:t>
      </w:r>
      <w:r w:rsidR="00816B79">
        <w:t xml:space="preserve"> </w:t>
      </w:r>
      <w:r w:rsidR="00F15E20">
        <w:t xml:space="preserve">distribution of </w:t>
      </w:r>
      <w:r w:rsidR="00816B79">
        <w:t>time</w:t>
      </w:r>
      <w:r w:rsidR="00F15E20">
        <w:t>s</w:t>
      </w:r>
      <w:r w:rsidR="00816B79">
        <w:t xml:space="preserve"> spent in the</w:t>
      </w:r>
      <w:r w:rsidR="00721DF2">
        <w:t xml:space="preserve"> </w:t>
      </w:r>
      <w:r w:rsidR="00F15E20">
        <w:t>uninfected</w:t>
      </w:r>
      <w:r w:rsidR="00816B79">
        <w:t xml:space="preserve"> state.</w:t>
      </w:r>
    </w:p>
    <w:p w14:paraId="13ECA2A2" w14:textId="05D5E3DC" w:rsidR="006F5325" w:rsidRDefault="00050CDB" w:rsidP="00050CDB">
      <w:pPr>
        <w:ind w:firstLine="720"/>
      </w:pPr>
      <w:r>
        <w:lastRenderedPageBreak/>
        <w:t xml:space="preserve">Analyses were performed </w:t>
      </w:r>
      <w:r w:rsidR="00797135">
        <w:t>in</w:t>
      </w:r>
      <w:r>
        <w:t xml:space="preserve"> R 3.2.</w:t>
      </w:r>
      <w:r w:rsidR="009B4737">
        <w:t>2, and a</w:t>
      </w:r>
      <w:r w:rsidR="00076E49">
        <w:t>ll</w:t>
      </w:r>
      <w:r w:rsidR="00555972" w:rsidRPr="00837464">
        <w:t xml:space="preserve"> software code</w:t>
      </w:r>
      <w:r w:rsidR="00762CA3" w:rsidRPr="00837464">
        <w:t xml:space="preserve"> </w:t>
      </w:r>
      <w:r w:rsidR="00555972" w:rsidRPr="00837464">
        <w:t xml:space="preserve">for </w:t>
      </w:r>
      <w:r w:rsidR="00076E49">
        <w:t>the</w:t>
      </w:r>
      <w:r w:rsidR="00076E49" w:rsidRPr="00837464">
        <w:t xml:space="preserve"> </w:t>
      </w:r>
      <w:r w:rsidR="00555972" w:rsidRPr="00837464">
        <w:t xml:space="preserve">analysis </w:t>
      </w:r>
      <w:r w:rsidR="00076E49">
        <w:t>is</w:t>
      </w:r>
      <w:r w:rsidR="00076E49" w:rsidRPr="00837464">
        <w:t xml:space="preserve"> </w:t>
      </w:r>
      <w:r w:rsidR="00555972" w:rsidRPr="00837464">
        <w:t>availab</w:t>
      </w:r>
      <w:r w:rsidR="00BD7D9A">
        <w:t>le at</w:t>
      </w:r>
      <w:r w:rsidR="00A503CA">
        <w:t>:</w:t>
      </w:r>
      <w:r w:rsidR="00555972" w:rsidRPr="00837464">
        <w:t xml:space="preserve"> </w:t>
      </w:r>
      <w:hyperlink r:id="rId11" w:history="1">
        <w:r w:rsidR="005C7817" w:rsidRPr="00570945">
          <w:rPr>
            <w:rStyle w:val="Hyperlink"/>
          </w:rPr>
          <w:t>https://github.com/powerpak/cdi-cost</w:t>
        </w:r>
      </w:hyperlink>
    </w:p>
    <w:p w14:paraId="2EAE6316" w14:textId="71A7DE2F" w:rsidR="005C7817" w:rsidRDefault="005C7817" w:rsidP="005C7817">
      <w:pPr>
        <w:pStyle w:val="Heading2"/>
        <w:rPr>
          <w:iCs/>
        </w:rPr>
      </w:pPr>
      <w:r>
        <w:rPr>
          <w:iCs/>
        </w:rPr>
        <w:t xml:space="preserve">Role of the </w:t>
      </w:r>
      <w:r w:rsidR="000810F4">
        <w:rPr>
          <w:iCs/>
        </w:rPr>
        <w:t>funding source</w:t>
      </w:r>
    </w:p>
    <w:p w14:paraId="1448CA6D" w14:textId="26036FA8" w:rsidR="005B64E6" w:rsidRPr="005B64E6" w:rsidRDefault="005B64E6" w:rsidP="005B64E6">
      <w:r w:rsidRPr="005B64E6">
        <w:t>The funders had no role in the study design, data collection, data analysis, data interpretation, or writing of the report. The corresponding author had full access to all th</w:t>
      </w:r>
      <w:r>
        <w:t>e data in the study, and had fi</w:t>
      </w:r>
      <w:r w:rsidRPr="005B64E6">
        <w:t>nal responsibility for the decision to submit the publication.</w:t>
      </w:r>
    </w:p>
    <w:p w14:paraId="7827E34F" w14:textId="77777777" w:rsidR="00394153" w:rsidRPr="00394153" w:rsidRDefault="00394153" w:rsidP="00394153">
      <w:pPr>
        <w:pStyle w:val="Heading1"/>
      </w:pPr>
      <w:r>
        <w:t>Results</w:t>
      </w:r>
    </w:p>
    <w:p w14:paraId="2D485253" w14:textId="7C1E2BF7" w:rsidR="0027563E" w:rsidRDefault="00E65885" w:rsidP="00394153">
      <w:pPr>
        <w:pStyle w:val="Normal2"/>
      </w:pPr>
      <w:r>
        <w:t xml:space="preserve">371,622 records of visits during the study time range were queried from the EMR, with 23,968 variables extracted for each visit (Figure </w:t>
      </w:r>
      <w:r w:rsidR="00CA524D">
        <w:t>1</w:t>
      </w:r>
      <w:r>
        <w:t>)</w:t>
      </w:r>
      <w:r w:rsidR="007E439F">
        <w:t>.</w:t>
      </w:r>
      <w:r w:rsidR="004C0FBC">
        <w:t xml:space="preserve"> After filtering for the index visit per adult patient and excluding deaths and invalid dates, 171,938 visits were </w:t>
      </w:r>
      <w:r w:rsidR="005C642B">
        <w:t>eligible for inclusion</w:t>
      </w:r>
      <w:r w:rsidR="004C0FBC">
        <w:t xml:space="preserve"> </w:t>
      </w:r>
      <w:r w:rsidR="00512ACC">
        <w:t>and classified into five</w:t>
      </w:r>
      <w:r w:rsidR="001D32A7">
        <w:t xml:space="preserve"> overlapping</w:t>
      </w:r>
      <w:r w:rsidR="00512ACC">
        <w:t xml:space="preserve"> case definitions</w:t>
      </w:r>
      <w:r w:rsidR="00EE1BB3">
        <w:t xml:space="preserve"> for CDI</w:t>
      </w:r>
      <w:r w:rsidR="00556E30">
        <w:t xml:space="preserve">. </w:t>
      </w:r>
      <w:r w:rsidR="008A5EC0">
        <w:t>C</w:t>
      </w:r>
      <w:r w:rsidR="004D36AC">
        <w:t>ase c</w:t>
      </w:r>
      <w:r w:rsidR="001A227F">
        <w:t xml:space="preserve">ohort sizes </w:t>
      </w:r>
      <w:r w:rsidR="008A5EC0">
        <w:t xml:space="preserve">before matching </w:t>
      </w:r>
      <w:r w:rsidR="001A227F">
        <w:t>and</w:t>
      </w:r>
      <w:r w:rsidR="00325D75">
        <w:t xml:space="preserve"> </w:t>
      </w:r>
      <w:r w:rsidR="00F20D9C">
        <w:t xml:space="preserve">overlaps are depicted in </w:t>
      </w:r>
      <w:r w:rsidR="001A227F">
        <w:t xml:space="preserve">Figure </w:t>
      </w:r>
      <w:r w:rsidR="00F20D9C">
        <w:t>S</w:t>
      </w:r>
      <w:r w:rsidR="001A227F">
        <w:t>2.</w:t>
      </w:r>
    </w:p>
    <w:p w14:paraId="4A8B011C" w14:textId="576193EC" w:rsidR="00D128A4" w:rsidRDefault="00AD7296" w:rsidP="00D128A4">
      <w:pPr>
        <w:pStyle w:val="Normal2"/>
        <w:ind w:firstLine="720"/>
      </w:pPr>
      <w:r>
        <w:t>Regularized</w:t>
      </w:r>
      <w:r w:rsidR="00CB1564">
        <w:t xml:space="preserve"> l</w:t>
      </w:r>
      <w:r w:rsidR="001F4DB7">
        <w:t>ogistic regression models</w:t>
      </w:r>
      <w:r w:rsidR="005D63DF">
        <w:t xml:space="preserve"> </w:t>
      </w:r>
      <w:r w:rsidR="001B6279">
        <w:t xml:space="preserve">predicting </w:t>
      </w:r>
      <w:r w:rsidR="00BB6DC4">
        <w:t>the</w:t>
      </w:r>
      <w:r w:rsidR="008011F9">
        <w:t xml:space="preserve"> </w:t>
      </w:r>
      <w:r w:rsidR="001F4DB7">
        <w:t>ri</w:t>
      </w:r>
      <w:r w:rsidR="007C71D8">
        <w:t>sk of CDI acquisition</w:t>
      </w:r>
      <w:r w:rsidR="00D64A73">
        <w:t xml:space="preserve"> were fit</w:t>
      </w:r>
      <w:r w:rsidR="00E14765">
        <w:t xml:space="preserve"> to </w:t>
      </w:r>
      <w:r w:rsidR="00CD5E66">
        <w:t xml:space="preserve">EMR </w:t>
      </w:r>
      <w:r w:rsidR="00E14765">
        <w:t>data</w:t>
      </w:r>
      <w:r w:rsidR="00953EC7">
        <w:t xml:space="preserve"> from the first 24 hours of each admission</w:t>
      </w:r>
      <w:r w:rsidR="007C71D8">
        <w:t xml:space="preserve"> </w:t>
      </w:r>
      <w:r w:rsidR="002A0820">
        <w:t>for each</w:t>
      </w:r>
      <w:r w:rsidR="00132F3E">
        <w:t xml:space="preserve"> case definition</w:t>
      </w:r>
      <w:r w:rsidR="004238E4">
        <w:t>.</w:t>
      </w:r>
      <w:r w:rsidR="001B2D41">
        <w:t xml:space="preserve"> The cross-va</w:t>
      </w:r>
      <w:r w:rsidR="001B6279">
        <w:t xml:space="preserve">lidated </w:t>
      </w:r>
      <w:r w:rsidR="005D4FC7">
        <w:t xml:space="preserve">mean </w:t>
      </w:r>
      <w:r w:rsidR="00703ECF">
        <w:t>area under the receiving operator characteristic (</w:t>
      </w:r>
      <w:r w:rsidR="001B6279">
        <w:t>AUROC</w:t>
      </w:r>
      <w:r w:rsidR="00703ECF">
        <w:t>)</w:t>
      </w:r>
      <w:r w:rsidR="00572663">
        <w:t xml:space="preserve">, measuring performance of </w:t>
      </w:r>
      <w:r w:rsidR="008B20ED">
        <w:t>each</w:t>
      </w:r>
      <w:r w:rsidR="00D80ACE">
        <w:t xml:space="preserve"> model</w:t>
      </w:r>
      <w:r w:rsidR="00572663">
        <w:t>,</w:t>
      </w:r>
      <w:r w:rsidR="001B6279">
        <w:t xml:space="preserve"> </w:t>
      </w:r>
      <w:r w:rsidR="00296296">
        <w:t>v</w:t>
      </w:r>
      <w:r w:rsidR="006F13DC">
        <w:t>aried</w:t>
      </w:r>
      <w:r w:rsidR="00AE3A3A">
        <w:t xml:space="preserve"> </w:t>
      </w:r>
      <w:r w:rsidR="005C7FAC">
        <w:t>only</w:t>
      </w:r>
      <w:r w:rsidR="00C40D3D">
        <w:t xml:space="preserve"> </w:t>
      </w:r>
      <w:r w:rsidR="006F13DC">
        <w:t>slightly between case definitions</w:t>
      </w:r>
      <w:r w:rsidR="005B2F06">
        <w:t xml:space="preserve"> (</w:t>
      </w:r>
      <w:r w:rsidR="00F20D9C">
        <w:t>Figure</w:t>
      </w:r>
      <w:r w:rsidR="005B2F06">
        <w:t xml:space="preserve"> </w:t>
      </w:r>
      <w:r w:rsidR="00F20D9C">
        <w:t>S</w:t>
      </w:r>
      <w:r w:rsidR="005B2F06">
        <w:t>3)</w:t>
      </w:r>
      <w:r w:rsidR="00C23436">
        <w:t>:</w:t>
      </w:r>
      <w:r w:rsidR="00F60479">
        <w:t xml:space="preserve"> </w:t>
      </w:r>
      <w:r w:rsidR="00707B95">
        <w:t xml:space="preserve">(i) </w:t>
      </w:r>
      <w:r w:rsidR="005503CD">
        <w:t>by ICD-9 code, 0·</w:t>
      </w:r>
      <w:r w:rsidR="00F60479">
        <w:t xml:space="preserve">81 (95% </w:t>
      </w:r>
      <w:r w:rsidR="00F833F8">
        <w:t>confidence interval [</w:t>
      </w:r>
      <w:r w:rsidR="00F60479">
        <w:t>CI</w:t>
      </w:r>
      <w:r w:rsidR="00F833F8">
        <w:t>]</w:t>
      </w:r>
      <w:r w:rsidR="005503CD">
        <w:t>, 0·</w:t>
      </w:r>
      <w:r w:rsidR="00F60479">
        <w:t>79–0</w:t>
      </w:r>
      <w:r w:rsidR="005503CD">
        <w:t>·</w:t>
      </w:r>
      <w:r w:rsidR="00F60479">
        <w:t xml:space="preserve">83); </w:t>
      </w:r>
      <w:r w:rsidR="00707B95">
        <w:t xml:space="preserve">(ii) </w:t>
      </w:r>
      <w:r w:rsidR="00F60479">
        <w:t>by positive toxin EIA, 0</w:t>
      </w:r>
      <w:r w:rsidR="005503CD">
        <w:t>·</w:t>
      </w:r>
      <w:r w:rsidR="00F60479">
        <w:t>76 (</w:t>
      </w:r>
      <w:r w:rsidR="000A3C93">
        <w:t xml:space="preserve">95% CI, </w:t>
      </w:r>
      <w:r w:rsidR="00F60479">
        <w:t>0</w:t>
      </w:r>
      <w:r w:rsidR="005503CD">
        <w:t>·</w:t>
      </w:r>
      <w:r w:rsidR="00F60479">
        <w:t>74–0</w:t>
      </w:r>
      <w:r w:rsidR="005503CD">
        <w:t>·</w:t>
      </w:r>
      <w:r w:rsidR="00F60479">
        <w:t>78)</w:t>
      </w:r>
      <w:r w:rsidR="00707B95">
        <w:t>, (iii) by positive toxin PCR, 0.84 (</w:t>
      </w:r>
      <w:r w:rsidR="000A3C93">
        <w:t xml:space="preserve">95% CI, </w:t>
      </w:r>
      <w:r w:rsidR="00707B95">
        <w:t>0</w:t>
      </w:r>
      <w:r w:rsidR="005503CD">
        <w:t>·</w:t>
      </w:r>
      <w:r w:rsidR="00707B95">
        <w:t>82–0</w:t>
      </w:r>
      <w:r w:rsidR="005503CD">
        <w:t>·</w:t>
      </w:r>
      <w:r w:rsidR="00707B95">
        <w:t>85), (iv) by either toxin assay, 0</w:t>
      </w:r>
      <w:r w:rsidR="005503CD">
        <w:t>·</w:t>
      </w:r>
      <w:r w:rsidR="00707B95">
        <w:t>8</w:t>
      </w:r>
      <w:r w:rsidR="008604A3">
        <w:t>1</w:t>
      </w:r>
      <w:r w:rsidR="00707B95">
        <w:t xml:space="preserve"> (</w:t>
      </w:r>
      <w:r w:rsidR="000A3C93">
        <w:t xml:space="preserve">95% CI, </w:t>
      </w:r>
      <w:r w:rsidR="00707B95">
        <w:t>0</w:t>
      </w:r>
      <w:r w:rsidR="005503CD">
        <w:t>·</w:t>
      </w:r>
      <w:r w:rsidR="00707B95">
        <w:t>8</w:t>
      </w:r>
      <w:r w:rsidR="008604A3">
        <w:t>0</w:t>
      </w:r>
      <w:r w:rsidR="00707B95">
        <w:t>–0</w:t>
      </w:r>
      <w:r w:rsidR="005503CD">
        <w:t>·</w:t>
      </w:r>
      <w:r w:rsidR="00707B95">
        <w:t xml:space="preserve">82); (v) by any of these, </w:t>
      </w:r>
      <w:r w:rsidR="00220844">
        <w:t>0</w:t>
      </w:r>
      <w:r w:rsidR="005503CD">
        <w:t>·</w:t>
      </w:r>
      <w:r w:rsidR="00220844">
        <w:t>82 (</w:t>
      </w:r>
      <w:r w:rsidR="000A3C93">
        <w:t xml:space="preserve">95% CI, </w:t>
      </w:r>
      <w:r w:rsidR="00361E0C">
        <w:t>0</w:t>
      </w:r>
      <w:r w:rsidR="005503CD">
        <w:t>·</w:t>
      </w:r>
      <w:r w:rsidR="00361E0C">
        <w:t>81–0</w:t>
      </w:r>
      <w:r w:rsidR="005503CD">
        <w:t>·</w:t>
      </w:r>
      <w:r w:rsidR="00361E0C">
        <w:t xml:space="preserve">83). </w:t>
      </w:r>
      <w:r w:rsidR="0089653D">
        <w:t xml:space="preserve">The number of </w:t>
      </w:r>
      <w:r w:rsidR="007D5CB9">
        <w:t xml:space="preserve">selected </w:t>
      </w:r>
      <w:r w:rsidR="007F01A4">
        <w:t>variables</w:t>
      </w:r>
      <w:r w:rsidR="0089653D">
        <w:t xml:space="preserve"> in each model ranged from </w:t>
      </w:r>
      <w:r w:rsidR="00426E12">
        <w:t>373 to 1</w:t>
      </w:r>
      <w:r w:rsidR="005503CD">
        <w:t>,</w:t>
      </w:r>
      <w:r w:rsidR="0061769E">
        <w:t>027</w:t>
      </w:r>
      <w:r w:rsidR="00B45FBC">
        <w:t xml:space="preserve"> </w:t>
      </w:r>
      <w:r w:rsidR="00A55C65">
        <w:t>(</w:t>
      </w:r>
      <w:r w:rsidR="00F20D9C">
        <w:t>Table</w:t>
      </w:r>
      <w:r w:rsidR="00A55C65">
        <w:t xml:space="preserve"> </w:t>
      </w:r>
      <w:r w:rsidR="00F20D9C">
        <w:t>S</w:t>
      </w:r>
      <w:r w:rsidR="00A55C65">
        <w:t>2).</w:t>
      </w:r>
    </w:p>
    <w:p w14:paraId="51B66989" w14:textId="09F81CFA" w:rsidR="004E44A4" w:rsidRDefault="000501A0" w:rsidP="00D128A4">
      <w:pPr>
        <w:pStyle w:val="Normal2"/>
        <w:ind w:firstLine="720"/>
      </w:pPr>
      <w:proofErr w:type="gramStart"/>
      <w:r>
        <w:t>For each case d</w:t>
      </w:r>
      <w:r w:rsidR="00830416">
        <w:t xml:space="preserve">efinition, over </w:t>
      </w:r>
      <w:r w:rsidR="005E7604">
        <w:t>75</w:t>
      </w:r>
      <w:r w:rsidR="004C53A5">
        <w:t xml:space="preserve">% of </w:t>
      </w:r>
      <w:r w:rsidR="004C4619">
        <w:t>case</w:t>
      </w:r>
      <w:r w:rsidR="00366916">
        <w:t>s</w:t>
      </w:r>
      <w:r w:rsidR="004C4619">
        <w:t xml:space="preserve"> </w:t>
      </w:r>
      <w:r w:rsidR="004C53A5">
        <w:t>were successfully matched</w:t>
      </w:r>
      <w:r w:rsidR="00930179">
        <w:t xml:space="preserve"> by propensity score</w:t>
      </w:r>
      <w:r w:rsidR="00810AC5">
        <w:t xml:space="preserve"> to controls</w:t>
      </w:r>
      <w:proofErr w:type="gramEnd"/>
      <w:r w:rsidR="00204553">
        <w:t xml:space="preserve"> (</w:t>
      </w:r>
      <w:r w:rsidR="006D3204">
        <w:t>Figure</w:t>
      </w:r>
      <w:r w:rsidR="00204553">
        <w:t xml:space="preserve"> </w:t>
      </w:r>
      <w:r w:rsidR="00F20D9C">
        <w:t>S</w:t>
      </w:r>
      <w:r w:rsidR="00204553">
        <w:t xml:space="preserve">2 and </w:t>
      </w:r>
      <w:r>
        <w:t xml:space="preserve">Table </w:t>
      </w:r>
      <w:r w:rsidR="00FF5E1D">
        <w:t>1</w:t>
      </w:r>
      <w:r w:rsidR="00204553">
        <w:t>)</w:t>
      </w:r>
      <w:r>
        <w:t>. The groups are well matched on demographic</w:t>
      </w:r>
      <w:r w:rsidR="005E351C">
        <w:t xml:space="preserve">s </w:t>
      </w:r>
      <w:r>
        <w:t>and propensity scores (</w:t>
      </w:r>
      <w:r w:rsidR="000C5A30">
        <w:t xml:space="preserve">all </w:t>
      </w:r>
      <w:r w:rsidR="000C5A30">
        <w:rPr>
          <w:i/>
        </w:rPr>
        <w:t xml:space="preserve">P </w:t>
      </w:r>
      <w:r w:rsidR="000C5A30">
        <w:t>values &gt;</w:t>
      </w:r>
      <w:r w:rsidR="002655EE">
        <w:t>0.1</w:t>
      </w:r>
      <w:r w:rsidR="000C5A30">
        <w:t xml:space="preserve"> and standardized differences between -0.1 and 0.1; </w:t>
      </w:r>
      <w:r w:rsidR="000C5A30">
        <w:lastRenderedPageBreak/>
        <w:t>propensity score distributions</w:t>
      </w:r>
      <w:r w:rsidR="000135E6">
        <w:t xml:space="preserve"> </w:t>
      </w:r>
      <w:r w:rsidR="00776DF8">
        <w:t xml:space="preserve">in </w:t>
      </w:r>
      <w:r w:rsidR="00F20D9C">
        <w:t>Figure</w:t>
      </w:r>
      <w:r w:rsidR="00776DF8">
        <w:t xml:space="preserve"> </w:t>
      </w:r>
      <w:r w:rsidR="00F20D9C">
        <w:t>S</w:t>
      </w:r>
      <w:r w:rsidR="00776DF8">
        <w:t>3</w:t>
      </w:r>
      <w:r w:rsidR="00CA7975">
        <w:t>).</w:t>
      </w:r>
      <w:r w:rsidR="00ED3C39">
        <w:t xml:space="preserve"> </w:t>
      </w:r>
      <w:r w:rsidR="003F6D67">
        <w:t>Differences in the median LOS between m</w:t>
      </w:r>
      <w:r w:rsidR="00ED3C39">
        <w:t>atched case and control cohorts for</w:t>
      </w:r>
      <w:r w:rsidR="003F6D67">
        <w:t xml:space="preserve"> all CDI case definitions were </w:t>
      </w:r>
      <w:r w:rsidR="00277DAA">
        <w:t xml:space="preserve">strongly </w:t>
      </w:r>
      <w:r w:rsidR="003F6D67">
        <w:t xml:space="preserve">statistically </w:t>
      </w:r>
      <w:r w:rsidR="00ED3C39">
        <w:t>significant, although the magnitude of the difference</w:t>
      </w:r>
      <w:r w:rsidR="00BA7622">
        <w:t>s</w:t>
      </w:r>
      <w:r w:rsidR="00ED3C39">
        <w:t xml:space="preserve"> varied</w:t>
      </w:r>
      <w:r w:rsidR="00D54BE9">
        <w:t xml:space="preserve"> greatly</w:t>
      </w:r>
      <w:r w:rsidR="00645D09">
        <w:t xml:space="preserve"> between definitions</w:t>
      </w:r>
      <w:r w:rsidR="00D54BE9">
        <w:t xml:space="preserve"> </w:t>
      </w:r>
      <w:r w:rsidR="00ED3C39">
        <w:t xml:space="preserve">(Figure </w:t>
      </w:r>
      <w:r w:rsidR="00836610">
        <w:t>2A</w:t>
      </w:r>
      <w:r w:rsidR="00ED3C39">
        <w:t>)</w:t>
      </w:r>
      <w:r w:rsidR="00860CFA">
        <w:t>.</w:t>
      </w:r>
      <w:r w:rsidR="00235AEF">
        <w:t xml:space="preserve"> The differences in the median LOS </w:t>
      </w:r>
      <w:r w:rsidR="006826F8">
        <w:t xml:space="preserve">by </w:t>
      </w:r>
      <w:r w:rsidR="00287FAC">
        <w:t xml:space="preserve">case </w:t>
      </w:r>
      <w:r w:rsidR="00235AEF">
        <w:t xml:space="preserve">definition were: (i) </w:t>
      </w:r>
      <w:r w:rsidR="00AA10BC">
        <w:t>by ICD-9 code, 3</w:t>
      </w:r>
      <w:r w:rsidR="002C6878">
        <w:t>·</w:t>
      </w:r>
      <w:r w:rsidR="00AA10BC">
        <w:t>1 days</w:t>
      </w:r>
      <w:r w:rsidR="00235AEF">
        <w:t xml:space="preserve"> (95% CI,</w:t>
      </w:r>
      <w:r w:rsidR="00AA10BC">
        <w:t xml:space="preserve"> 2</w:t>
      </w:r>
      <w:r w:rsidR="002C6878">
        <w:t>·</w:t>
      </w:r>
      <w:r w:rsidR="00AA10BC">
        <w:t>2–3</w:t>
      </w:r>
      <w:r w:rsidR="002C6878">
        <w:t>·</w:t>
      </w:r>
      <w:r w:rsidR="00AA10BC">
        <w:t>9</w:t>
      </w:r>
      <w:r w:rsidR="00235AEF">
        <w:t xml:space="preserve">); (ii) by positive toxin EIA, </w:t>
      </w:r>
      <w:r w:rsidR="00AA10BC">
        <w:t xml:space="preserve">10.1 days </w:t>
      </w:r>
      <w:r w:rsidR="00235AEF">
        <w:t>(</w:t>
      </w:r>
      <w:r w:rsidR="000A3C93">
        <w:t xml:space="preserve">95% CI, </w:t>
      </w:r>
      <w:r w:rsidR="00AA10BC">
        <w:t>7</w:t>
      </w:r>
      <w:r w:rsidR="002C6878">
        <w:t>·</w:t>
      </w:r>
      <w:r w:rsidR="00AA10BC">
        <w:t>3–12</w:t>
      </w:r>
      <w:r w:rsidR="002C6878">
        <w:t>·</w:t>
      </w:r>
      <w:r w:rsidR="00AA10BC">
        <w:t>2</w:t>
      </w:r>
      <w:r w:rsidR="00235AEF">
        <w:t xml:space="preserve">), (iii) by positive toxin PCR, </w:t>
      </w:r>
      <w:r w:rsidR="00912D56">
        <w:t>6</w:t>
      </w:r>
      <w:r w:rsidR="002C6878">
        <w:t>·</w:t>
      </w:r>
      <w:r w:rsidR="00912D56">
        <w:t>6 days (</w:t>
      </w:r>
      <w:r w:rsidR="000A3C93">
        <w:t xml:space="preserve">95% CI, </w:t>
      </w:r>
      <w:r w:rsidR="00912D56">
        <w:t>5</w:t>
      </w:r>
      <w:r w:rsidR="002C6878">
        <w:t>·</w:t>
      </w:r>
      <w:r w:rsidR="00912D56">
        <w:t>0–8</w:t>
      </w:r>
      <w:r w:rsidR="002C6878">
        <w:t>·</w:t>
      </w:r>
      <w:r w:rsidR="00912D56">
        <w:t>1)</w:t>
      </w:r>
      <w:r w:rsidR="00235AEF">
        <w:t>,</w:t>
      </w:r>
      <w:r w:rsidR="00912D56">
        <w:t xml:space="preserve"> (iv) by either toxin assay, 7</w:t>
      </w:r>
      <w:r w:rsidR="002C6878">
        <w:t>·</w:t>
      </w:r>
      <w:r w:rsidR="00912D56">
        <w:t>2 days</w:t>
      </w:r>
      <w:r w:rsidR="00235AEF">
        <w:t xml:space="preserve"> (</w:t>
      </w:r>
      <w:r w:rsidR="000A3C93">
        <w:t xml:space="preserve">95% CI, </w:t>
      </w:r>
      <w:r w:rsidR="00912D56">
        <w:t>5</w:t>
      </w:r>
      <w:r w:rsidR="002C6878">
        <w:t>·</w:t>
      </w:r>
      <w:r w:rsidR="00912D56">
        <w:t>8–8</w:t>
      </w:r>
      <w:r w:rsidR="002C6878">
        <w:t>·</w:t>
      </w:r>
      <w:r w:rsidR="00912D56">
        <w:t>3</w:t>
      </w:r>
      <w:r w:rsidR="00235AEF">
        <w:t xml:space="preserve">); </w:t>
      </w:r>
      <w:r w:rsidR="00912D56">
        <w:t xml:space="preserve">and </w:t>
      </w:r>
      <w:r w:rsidR="00235AEF">
        <w:t xml:space="preserve">(v) by any of these, </w:t>
      </w:r>
      <w:r w:rsidR="00912D56">
        <w:t>5.7 days</w:t>
      </w:r>
      <w:r w:rsidR="00235AEF">
        <w:t xml:space="preserve"> (</w:t>
      </w:r>
      <w:r w:rsidR="000A3C93">
        <w:t xml:space="preserve">95% CI, </w:t>
      </w:r>
      <w:r w:rsidR="00912D56">
        <w:t>4</w:t>
      </w:r>
      <w:r w:rsidR="002C6878">
        <w:t>·</w:t>
      </w:r>
      <w:r w:rsidR="00912D56">
        <w:t>5–6</w:t>
      </w:r>
      <w:r w:rsidR="002C6878">
        <w:t>·</w:t>
      </w:r>
      <w:r w:rsidR="00912D56">
        <w:t>6</w:t>
      </w:r>
      <w:r w:rsidR="00235AEF">
        <w:t>)</w:t>
      </w:r>
      <w:r w:rsidR="00912D56">
        <w:t>.</w:t>
      </w:r>
      <w:r w:rsidR="0092514B">
        <w:t xml:space="preserve"> There were no significant differences in LOS for </w:t>
      </w:r>
      <w:r w:rsidR="00683A41">
        <w:t>a second</w:t>
      </w:r>
      <w:r w:rsidR="00F22515">
        <w:t xml:space="preserve"> </w:t>
      </w:r>
      <w:r w:rsidR="00683A41">
        <w:t xml:space="preserve">round of </w:t>
      </w:r>
      <w:r w:rsidR="00F22515">
        <w:t>matching</w:t>
      </w:r>
      <w:r w:rsidR="0092514B">
        <w:t xml:space="preserve"> between matched controls and remaining controls </w:t>
      </w:r>
      <w:r w:rsidR="003B0429">
        <w:t>(matched-again controls)</w:t>
      </w:r>
      <w:r w:rsidR="0092514B">
        <w:t xml:space="preserve"> for any of the case definitions (Figure </w:t>
      </w:r>
      <w:r w:rsidR="001A3A3C">
        <w:t>2A</w:t>
      </w:r>
      <w:r w:rsidR="0092514B">
        <w:t>).</w:t>
      </w:r>
      <w:r w:rsidR="00FA79B9">
        <w:t xml:space="preserve"> Kaplan-Meier curves for the time-dependent risk </w:t>
      </w:r>
      <w:r w:rsidR="0007421C">
        <w:t xml:space="preserve">of </w:t>
      </w:r>
      <w:r w:rsidR="00FA79B9">
        <w:t xml:space="preserve">being discharged </w:t>
      </w:r>
      <w:r w:rsidR="0007421C">
        <w:t>from</w:t>
      </w:r>
      <w:r w:rsidR="00FA79B9">
        <w:t xml:space="preserve"> the hospital showed significant </w:t>
      </w:r>
      <w:r w:rsidR="00FE46FA">
        <w:t>differences</w:t>
      </w:r>
      <w:r w:rsidR="00FA79B9">
        <w:t xml:space="preserve"> between matched case and control cohorts </w:t>
      </w:r>
      <w:r w:rsidR="00230CE9">
        <w:t xml:space="preserve">up to </w:t>
      </w:r>
      <w:r w:rsidR="008E7259">
        <w:t xml:space="preserve">post-admit </w:t>
      </w:r>
      <w:r w:rsidR="00FA79B9">
        <w:t xml:space="preserve">day </w:t>
      </w:r>
      <w:r w:rsidR="008E7259">
        <w:t xml:space="preserve">60 </w:t>
      </w:r>
      <w:r w:rsidR="00FA79B9">
        <w:t xml:space="preserve">for all case definitions except ICD-9 code (Figure </w:t>
      </w:r>
      <w:r w:rsidR="001A3A3C">
        <w:t>2B-F</w:t>
      </w:r>
      <w:r w:rsidR="00FA79B9">
        <w:t>).</w:t>
      </w:r>
    </w:p>
    <w:p w14:paraId="5DFB88DB" w14:textId="7C9C06CD" w:rsidR="001E415D" w:rsidRDefault="003B5E05" w:rsidP="00D128A4">
      <w:pPr>
        <w:pStyle w:val="Normal2"/>
        <w:ind w:firstLine="720"/>
      </w:pPr>
      <w:r>
        <w:t>E</w:t>
      </w:r>
      <w:r w:rsidR="009453D7">
        <w:t>stima</w:t>
      </w:r>
      <w:r w:rsidR="00D334F7">
        <w:t>t</w:t>
      </w:r>
      <w:r w:rsidR="00720E8D">
        <w:t>es of</w:t>
      </w:r>
      <w:r w:rsidR="00D334F7">
        <w:t xml:space="preserve"> LOS</w:t>
      </w:r>
      <w:r w:rsidR="00720E8D">
        <w:t xml:space="preserve"> associated with CDI</w:t>
      </w:r>
      <w:r>
        <w:t xml:space="preserve"> </w:t>
      </w:r>
      <w:r w:rsidR="00A53A5A">
        <w:t>are</w:t>
      </w:r>
      <w:r>
        <w:t xml:space="preserve"> inflated by </w:t>
      </w:r>
      <w:r w:rsidR="00A53A5A">
        <w:t>dependencies</w:t>
      </w:r>
      <w:r>
        <w:t xml:space="preserve"> on time-to-infection</w:t>
      </w:r>
      <w:r w:rsidR="00D334F7">
        <w:t>—</w:t>
      </w:r>
      <w:r w:rsidR="009615E4">
        <w:t>if</w:t>
      </w:r>
      <w:r w:rsidR="00720E8D">
        <w:t xml:space="preserve"> </w:t>
      </w:r>
      <w:r w:rsidR="009453D7">
        <w:t>longer</w:t>
      </w:r>
      <w:r w:rsidR="009615E4">
        <w:t xml:space="preserve"> pre-infection</w:t>
      </w:r>
      <w:r w:rsidR="009453D7">
        <w:t xml:space="preserve"> LOS </w:t>
      </w:r>
      <w:r w:rsidR="00FE01FB">
        <w:t>increase</w:t>
      </w:r>
      <w:r w:rsidR="009615E4">
        <w:t>s</w:t>
      </w:r>
      <w:r w:rsidR="00FE01FB">
        <w:t xml:space="preserve"> </w:t>
      </w:r>
      <w:r w:rsidR="009453D7">
        <w:t>CDI</w:t>
      </w:r>
      <w:r w:rsidR="00A53A5A">
        <w:t xml:space="preserve"> risk</w:t>
      </w:r>
      <w:r w:rsidR="00A17397">
        <w:t xml:space="preserve">, </w:t>
      </w:r>
      <w:r w:rsidR="00A53A5A">
        <w:t xml:space="preserve">i.e., </w:t>
      </w:r>
      <w:r w:rsidR="00352F75">
        <w:t>reverse causation</w:t>
      </w:r>
      <w:r w:rsidR="00A53A5A">
        <w:t>, this</w:t>
      </w:r>
      <w:r w:rsidR="00720E8D">
        <w:t xml:space="preserve"> </w:t>
      </w:r>
      <w:r w:rsidR="00A17397">
        <w:t>leads to overestimates</w:t>
      </w:r>
      <w:r w:rsidR="002C7062">
        <w:t xml:space="preserve"> in attributable cost</w:t>
      </w:r>
      <w:r w:rsidR="009453D7">
        <w:t>.</w:t>
      </w:r>
      <w:r w:rsidR="00903363">
        <w:fldChar w:fldCharType="begin" w:fldLock="1"/>
      </w:r>
      <w:r w:rsidR="00717812">
        <w:instrText>ADDIN CSL_CITATION { "citationItems" : [ { "id" : "ITEM-1", "itemData" : { "DOI" : "10.1017/ice.2015.132", "ISBN" : "1559-6834", "ISSN" : "1559-6834", "PMID" : "26006153", "abstract" : "BACKGROUND Standard estimates of the impact of Clostridium difficile infections (CDI) on inpatient lengths of stay (LOS) may overstate inpatient care costs attributable to CDI. In this study, we used multistate modeling (MSM) of CDI timing to reduce bias in estimates of excess LOS. METHODS A retrospective cohort study of all hospitalizations at any of 120 acute care facilities within the US Department of Veterans Affairs (VA) between 2005 and 2012 was conducted. We estimated the excess LOS attributable to CDI using an MSM to address time-dependent bias. Bootstrapping was used to generate 95% confidence intervals (CI). These estimates were compared to unadjusted differences in mean LOS for hospitalizations with and without CDI. RESULTS During the study period, there were 3.96 million hospitalizations and 43,540 CDIs. A comparison of unadjusted means suggested an excess LOS of 14.0 days (19.4 vs 5.4 days). In contrast, the MSM estimated an attributable LOS of only 2.27 days (95% CI, 2.14-2.40). The excess LOS for mild-to-moderate CDI was 0.75 days (95% CI, 0.59-0.89), and for severe CDI, it was 4.11 days (95% CI, 3.90-4.32). Substantial variation across the Veteran Integrated Services Networks (VISN) was observed. CONCLUSIONS CDI significantly contributes to LOS, but the magnitude of its estimated impact is smaller when methods are used that account for the time-varying nature of infection. The greatest impact on LOS occurred among patients with severe CDI. Significant geographic variability was observed. MSM is a useful tool for obtaining more accurate estimates of the inpatient care costs of CDI. Infect. Control Hosp. Epidemiol. 2015;00(0):1-7.", "author" : [ { "dropping-particle" : "", "family" : "Stevens", "given" : "Vanessa W", "non-dropping-particle" : "", "parse-names" : false, "suffix" : "" }, { "dropping-particle" : "", "family" : "Khader", "given" : "Karim", "non-dropping-particle" : "", "parse-names" : false, "suffix" : "" }, { "dropping-particle" : "", "family" : "Nelson", "given" : "Richard E", "non-dropping-particle" : "", "parse-names" : false, "suffix" : "" }, { "dropping-particle" : "", "family" : "Jones", "given" : "Makoto", "non-dropping-particle" : "", "parse-names" : false, "suffix" : "" }, { "dropping-particle" : "", "family" : "Rubin", "given" : "Michael a", "non-dropping-particle" : "", "parse-names" : false, "suffix" : "" }, { "dropping-particle" : "", "family" : "Brown", "given" : "Kevin a", "non-dropping-particle" : "", "parse-names" : false, "suffix" : "" }, { "dropping-particle" : "", "family" : "Evans", "given" : "Martin E", "non-dropping-particle" : "", "parse-names" : false, "suffix" : "" }, { "dropping-particle" : "", "family" : "Greene", "given" : "Tom", "non-dropping-particle" : "", "parse-names" : false, "suffix" : "" }, { "dropping-particle" : "", "family" : "Slade", "given" : "Eric", "non-dropping-particle" : "", "parse-names" : false, "suffix" : "" }, { "dropping-particle" : "", "family" : "Samore", "given" : "Matthew H", "non-dropping-particle" : "", "parse-names" : false, "suffix" : "" } ], "container-title" : "Infection control and hospital epidemiology", "id" : "ITEM-1", "issue" : "Cdi", "issued" : { "date-parts" : [ [ "2015" ] ] }, "page" : "1-7", "title" : "Excess Length of Stay Attributable to Clostridium difficile Infection (CDI) in the Acute Care Setting: A Multistate Model.", "type" : "article-journal", "volume" : "36" }, "uris" : [ "http://www.mendeley.com/documents/?uuid=48762d07-8992-4ffd-a6c6-cae69631360e" ] }, { "id" : "ITEM-2", "itemData" : { "DOI" : "10.1016/j.ajic.2013.07.006", "ISBN" : "0196-6553\r1527-3296", "ISSN" : "01966553", "PMID" : "24290226", "abstract" : "Background Clostridium difficile infection (CDI) possibly extends hospital length of stay (LOS); however, the current evidence does not account for the time-dependent bias, ie, when infection is incorrectly analyzed as a baseline covariate. The aim of this study was to determine whether CDI increases LOS after managing this bias. Methods We examined the estimated extra LOS because of CDI using a multistate model. Data from all persons hospitalized &gt;48 hours over 4 years in a tertiary hospital in Australia were analyzed. Persons with health care-associated CDIs were identified. Cox proportional hazards models were applied together with multistate modeling. Results One hundred fifty-eight of 58,942 admissions examined had CDI. The mean extra LOS because of infection was 0.9 days (95% confidence interval: -1.8 to 3.6 days, P =.51) when a multistate model was applied. The hazard of discharge was lower in persons who had CDI (adjusted hazard ratio, 0.42; P &lt;.001) when a Cox proportional hazard model was applied. Conclusion This study is the first to use multistate models to determine the extra LOS because of CDI. Results suggest CDI does not significantly contribute to hospital LOS, contradicting findings published elsewhere. Conversely, when methods prone to result in time-dependent bias were applied to the data, the hazard of discharge significantly increased. These findings contribute to discussion on methods used to evaluate LOS and health care-associated infections.", "author" : [ { "dropping-particle" : "", "family" : "Mitchell", "given" : "Brett G.", "non-dropping-particle" : "", "parse-names" : false, "suffix" : "" }, { "dropping-particle" : "", "family" : "Gardner", "given" : "Anne", "non-dropping-particle" : "", "parse-names" : false, "suffix" : "" }, { "dropping-particle" : "", "family" : "Barnett", "given" : "Adrian G.", "non-dropping-particle" : "", "parse-names" : false, "suffix" : "" }, { "dropping-particle" : "", "family" : "Hiller", "given" : "Janet E.", "non-dropping-particle" : "", "parse-names" : false, "suffix" : "" }, { "dropping-particle" : "", "family" : "Graves", "given" : "Nicholas", "non-dropping-particle" : "", "parse-names" : false, "suffix" : "" } ], "container-title" : "American Journal of Infection Control", "id" : "ITEM-2", "issue" : "2", "issued" : { "date-parts" : [ [ "2014" ] ] }, "page" : "164-167", "publisher" : "Elsevier Inc", "title" : "The prolongation of length of stay because of Clostridium difficile infection", "type" : "article-journal", "volume" : "42" }, "uris" : [ "http://www.mendeley.com/documents/?uuid=a1f2dcd7-ed71-4ff1-9e5a-589fada7571d" ] } ], "mendeley" : { "formattedCitation" : "\\autocite{Mitchell2014,Stevens2015}", "plainTextFormattedCitation" : "\\autocite{Mitchell2014,Stevens2015}", "previouslyFormattedCitation" : "&lt;sup&gt;7,24&lt;/sup&gt;" }, "properties" : { "noteIndex" : 0 }, "schema" : "https://github.com/citation-style-language/schema/raw/master/csl-citation.json" }</w:instrText>
      </w:r>
      <w:r w:rsidR="00903363">
        <w:fldChar w:fldCharType="separate"/>
      </w:r>
      <w:r w:rsidR="00717812" w:rsidRPr="00717812">
        <w:rPr>
          <w:noProof/>
        </w:rPr>
        <w:t>\autocite{Mitchell2014,Stevens2015}</w:t>
      </w:r>
      <w:r w:rsidR="00903363">
        <w:fldChar w:fldCharType="end"/>
      </w:r>
      <w:r w:rsidR="00903363">
        <w:t xml:space="preserve"> </w:t>
      </w:r>
      <w:proofErr w:type="gramStart"/>
      <w:r w:rsidR="00903363">
        <w:t>We</w:t>
      </w:r>
      <w:proofErr w:type="gramEnd"/>
      <w:r w:rsidR="00903363">
        <w:t xml:space="preserve"> therefore performed two follow-up analyses to </w:t>
      </w:r>
      <w:r w:rsidR="009615E4">
        <w:t xml:space="preserve">account </w:t>
      </w:r>
      <w:r w:rsidR="00903363">
        <w:t>for this. First, we stratified the</w:t>
      </w:r>
      <w:r w:rsidR="009B3854">
        <w:t xml:space="preserve"> LOS</w:t>
      </w:r>
      <w:r w:rsidR="00903363">
        <w:t xml:space="preserve"> comparison by the time of CDI diag</w:t>
      </w:r>
      <w:r w:rsidR="009B3854">
        <w:t xml:space="preserve">nosis for case definition (iv) into 0–3 day, 3–8 day, and ≥8 day case cohorts, </w:t>
      </w:r>
      <w:r w:rsidR="00137C47">
        <w:t>training</w:t>
      </w:r>
      <w:r w:rsidR="00FC1EC2">
        <w:t xml:space="preserve"> </w:t>
      </w:r>
      <w:r w:rsidR="005711FA">
        <w:t xml:space="preserve">new </w:t>
      </w:r>
      <w:r w:rsidR="00FC1EC2">
        <w:t>propensity models</w:t>
      </w:r>
      <w:r w:rsidR="00D77E3D">
        <w:t xml:space="preserve"> for</w:t>
      </w:r>
      <w:r w:rsidR="002F7767">
        <w:t xml:space="preserve"> another</w:t>
      </w:r>
      <w:r w:rsidR="009B3854">
        <w:t xml:space="preserve"> match</w:t>
      </w:r>
      <w:r w:rsidR="00735E6D">
        <w:t>ed comparison</w:t>
      </w:r>
      <w:r w:rsidR="009626B6">
        <w:t>,</w:t>
      </w:r>
      <w:r w:rsidR="004E5E0C">
        <w:t xml:space="preserve"> </w:t>
      </w:r>
      <w:r w:rsidR="005711FA">
        <w:t xml:space="preserve">with </w:t>
      </w:r>
      <w:r w:rsidR="00D352AF">
        <w:t xml:space="preserve">similar </w:t>
      </w:r>
      <w:r w:rsidR="005711FA">
        <w:t>matching performance</w:t>
      </w:r>
      <w:r w:rsidR="00F20D9C">
        <w:t xml:space="preserve"> (</w:t>
      </w:r>
      <w:r w:rsidR="0035198C">
        <w:t xml:space="preserve">Figure </w:t>
      </w:r>
      <w:r w:rsidR="00F20D9C">
        <w:t>S</w:t>
      </w:r>
      <w:r w:rsidR="0035198C">
        <w:t>4)</w:t>
      </w:r>
      <w:r w:rsidR="009B3854">
        <w:t>.</w:t>
      </w:r>
      <w:r w:rsidR="0004731B">
        <w:t xml:space="preserve"> Since 3 days (or 72 hours) is a typical cutoff for differentiating community acquired</w:t>
      </w:r>
      <w:r w:rsidR="00836301">
        <w:t xml:space="preserve"> (CA)</w:t>
      </w:r>
      <w:r w:rsidR="00AD1E7B">
        <w:t xml:space="preserve"> from healthcare-associated (HA)</w:t>
      </w:r>
      <w:r w:rsidR="0004731B">
        <w:t xml:space="preserve"> CDI,</w:t>
      </w:r>
      <w:r w:rsidR="0004731B">
        <w:fldChar w:fldCharType="begin" w:fldLock="1"/>
      </w:r>
      <w:r w:rsidR="00717812">
        <w:instrText>ADDIN CSL_CITATION { "citationItems" : [ { "id" : "ITEM-1", "itemData" : { "DOI" : "10.1001/jamainternmed.2016.0177", "ISSN" : "2168-6114", "PMID" : "27111806", "abstract" : "Importance Clostridium difficile infection (CDI) is a major cause of health care-associated infection worldwide, and new preventive strategies are urgently needed. Current control measures do not target asymptomatic carriers, despite evidence that they can contaminate the hospital environment and health care workers' hands and potentially transmit C difficile to other patients. Objective To investigate the effect of detecting and isolating C difficile asymptomatic carriers at hospital admission on the incidence of health care-associated CDI (HA-CDI). Design, Setting, and Participants We performed a controlled quasi-experimental study between November 19, 2013, and March 7, 2015, in a Canadian acute care facility. Admission screening was conducted by detecting the tcdB gene by polymerase chain reaction on a rectal swab. Carriers were placed under contact isolation precautions during their hospitalization. Main Outcomes and Measures Changes in HA-CDI incidence level and trend during the intervention period (17 periods of 4 weeks each) were compared with the preintervention control period (120 periods of 4 weeks each) by segmented regression analysis and autoregressive integrated moving average (ARIMA) modeling. Concomitant changes in the aggregated HA-CDI incidence at other institutions in Qu\u00e9bec City, Qu\u00e9bec (n = 6) and the province of Qu\u00e9bec (n = 94) were also examined. Results Overall, 7599 of 8218 (92.5%) eligible patients were screened, among whom 368 (4.8%) were identified as C difficile carriers. During the intervention, 38 patients (3.0 per 10 000 patient-days) developed an HA-CDI compared with 416 patients (6.9 per 10 000 patient-days) during the preintervention control period (P &lt; .001). There was no immediate change in the level of HA-CDIs on implementation (P = .92), but there was a significant decrease in trend over time of 7% per 4-week period (rate ratio, 0.93; 95% CI, 0.87-0.99 per period; P = .02). ARIMA modeling also detected a significant effect of the intervention, represented by a gradual progressive decrease in the HA-CDI time series by an overall magnitude of 7.2 HA-CDIs per 10 000 patient-days. We estimated that the intervention had prevented 63 of the 101 (62.4%) expected cases. By contrast, no significant decrease in HA-CDI rates occurred in the control groups. Conclusions and Relevance Detecting and isolating C difficile carriers was associated with a significant decrease in the incidence of HA-CDI. If confirmed in subsequent st\u2026", "author" : [ { "dropping-particle" : "", "family" : "Longtin", "given" : "Yves", "non-dropping-particle" : "", "parse-names" : false, "suffix" : "" }, { "dropping-particle" : "", "family" : "Paquet-Bolduc", "given" : "Bianka", "non-dropping-particle" : "", "parse-names" : false, "suffix" : "" }, { "dropping-particle" : "", "family" : "Gilca", "given" : "Rodica", "non-dropping-particle" : "", "parse-names" : false, "suffix" : "" }, { "dropping-particle" : "", "family" : "Garenc", "given" : "Christophe", "non-dropping-particle" : "", "parse-names" : false, "suffix" : "" }, { "dropping-particle" : "", "family" : "Fortin", "given" : "Elise", "non-dropping-particle" : "", "parse-names" : false, "suffix" : "" }, { "dropping-particle" : "", "family" : "Longtin", "given" : "Jean", "non-dropping-particle" : "", "parse-names" : false, "suffix" : "" }, { "dropping-particle" : "", "family" : "Trottier", "given" : "Sylvie", "non-dropping-particle" : "", "parse-names" : false, "suffix" : "" }, { "dropping-particle" : "", "family" : "Gervais", "given" : "Philippe", "non-dropping-particle" : "", "parse-names" : false, "suffix" : "" }, { "dropping-particle" : "", "family" : "Roussy", "given" : "Jean-Fran\u00e7ois", "non-dropping-particle" : "", "parse-names" : false, "suffix" : "" }, { "dropping-particle" : "", "family" : "L\u00e9vesque", "given" : "Simon", "non-dropping-particle" : "", "parse-names" : false, "suffix" : "" }, { "dropping-particle" : "", "family" : "Ben-David", "given" : "Debby", "non-dropping-particle" : "", "parse-names" : false, "suffix" : "" }, { "dropping-particle" : "", "family" : "Cloutier", "given" : "Isabelle", "non-dropping-particle" : "", "parse-names" : false, "suffix" : "" }, { "dropping-particle" : "", "family" : "Loo", "given" : "Vivian G", "non-dropping-particle" : "", "parse-names" : false, "suffix" : "" } ], "container-title" : "JAMA internal medicine", "id" : "ITEM-1", "issue" : "6", "issued" : { "date-parts" : [ [ "2016" ] ] }, "page" : "796-804", "title" : "Effect of Detecting and Isolating Clostridium difficile Carriers at Hospital Admission on the Incidence of C difficile Infections: A Quasi-Experimental Controlled Study.", "type" : "article-journal", "volume" : "176" }, "uris" : [ "http://www.mendeley.com/documents/?uuid=730d9def-20e6-4d61-a0cb-1fee5fd4d9d0" ] }, { "id" : "ITEM-2", "itemData" : { "DOI" : "10.1001/jamainternmed.2015.4114", "ISBN" : "2168-6106", "ISSN" : "2168-6114", "PMID" : "26348734", "abstract" : "Importance: Clostridium difficile is a major cause of health care-associated infection, but disagreement between diagnostic tests is an ongoing barrier to clinical decision making and public health reporting. Molecular tests are increasingly used to diagnose C difficile infection (CDI), but many molecular test-positive patients lack toxins that historically defined disease, making it unclear if they need treatment.\\n\\nObjective: To determine the natural history and need for treatment of patients who are toxin immunoassay negative and polymerase chain reaction (PCR) positive (Tox-/PCR+) for CDI.\\n\\nDesign, Setting, and Participants: Prospective observational cohort study at a single academic medical center among 1416 hospitalized adults tested for C difficile toxins 72 hours or longer after admission between December 1, 2010, and October 20, 2012. The analysis was conducted in stages with revisions from April 27, 2013, to January 13, 2015.\\n\\nMain Outcomes and Measures: Patients undergoing C difficile testing were grouped by US Food and Drug Administration-approved toxin and PCR tests as Tox+/PCR+, Tox-/PCR+, or Tox-/PCR-. Toxin results were reported clinically. Polymerase chain reaction results were not reported. The main study outcomes were duration of diarrhea during up to 14 days of treatment, rate of CDI-related complications (ie, colectomy, megacolon, or intensive care unit care) and CDI-related death within 30 days.\\n\\nResults: Twenty-one percent (293 of 1416) of hospitalized adults tested for C difficile were positive by PCR, but 44.7% (131 of 293) had toxins detected by the clinical toxin test. At baseline, Tox-/PCR+ patients had lower C difficile bacterial load and less antibiotic exposure, fecal inflammation, and diarrhea than Tox+/PCR+ patients (P\u2009&lt;\u2009.001 for all). The median duration of diarrhea was shorter in Tox-/PCR+ patients (2 days; interquartile range, 1-4 days) than in Tox+/PCR+ patients (3 days; interquartile range, 1-6 days) (P\u2009=\u2009.003) and was similar to that in Tox-/PCR- patients (2 days; interquartile range, 1-3 days), despite minimal empirical treatment of Tox-/PCR+ patients. No CDI-related complications occurred in Tox-/PCR+ patients vs 10 complications in Tox+/PCR+ patients (0% vs 7.6%, P\u2009&lt;\u2009.001). One Tox-/PCR+ patient had recurrent CDI as a contributing factor to death within 30 days vs 11 CDI-related deaths in Tox+/PCR+ patients (0.6% vs 8.4%, P\u2009=\u2009.001).\\n\\nConclusions and Relevance: Among hospitalized adults with suspected CD\u2026", "author" : [ { "dropping-particle" : "", "family" : "Polage", "given" : "Christopher R", "non-dropping-particle" : "", "parse-names" : false, "suffix" : "" }, { "dropping-particle" : "", "family" : "Gyorke", "given" : "Clare E", "non-dropping-particle" : "", "parse-names" : false, "suffix" : "" }, { "dropping-particle" : "", "family" : "Kennedy", "given" : "Michael A", "non-dropping-particle" : "", "parse-names" : false, "suffix" : "" }, { "dropping-particle" : "", "family" : "Leslie", "given" : "Jhansi L", "non-dropping-particle" : "", "parse-names" : false, "suffix" : "" }, { "dropping-particle" : "", "family" : "Chin", "given" : "David L", "non-dropping-particle" : "", "parse-names" : false, "suffix" : "" }, { "dropping-particle" : "", "family" : "Wang", "given" : "Susan", "non-dropping-particle" : "", "parse-names" : false, "suffix" : "" }, { "dropping-particle" : "", "family" : "Nguyen", "given" : "Hien H", "non-dropping-particle" : "", "parse-names" : false, "suffix" : "" }, { "dropping-particle" : "", "family" : "Huang", "given" : "Bin", "non-dropping-particle" : "", "parse-names" : false, "suffix" : "" }, { "dropping-particle" : "", "family" : "Tang", "given" : "Yi-Wei", "non-dropping-particle" : "", "parse-names" : false, "suffix" : "" }, { "dropping-particle" : "", "family" : "Lee", "given" : "Lenora W", "non-dropping-particle" : "", "parse-names" : false, "suffix" : "" }, { "dropping-particle" : "", "family" : "Kim", "given" : "Kyoungmi", "non-dropping-particle" : "", "parse-names" : false, "suffix" : "" }, { "dropping-particle" : "", "family" : "Taylor", "given" : "Sandra", "non-dropping-particle" : "", "parse-names" : false, "suffix" : "" }, { "dropping-particle" : "", "family" : "Romano", "given" : "Patrick S", "non-dropping-particle" : "", "parse-names" : false, "suffix" : "" }, { "dropping-particle" : "", "family" : "Panacek", "given" : "Edward A", "non-dropping-particle" : "", "parse-names" : false, "suffix" : "" }, { "dropping-particle" : "", "family" : "Goodell", "given" : "Parker B", "non-dropping-particle" : "", "parse-names" : false, "suffix" : "" }, { "dropping-particle" : "V", "family" : "Solnick", "given" : "Jay", "non-dropping-particle" : "", "parse-names" : false, "suffix" : "" }, { "dropping-particle" : "", "family" : "Cohen", "given" : "Stuart H", "non-dropping-particle" : "", "parse-names" : false, "suffix" : "" } ], "container-title" : "JAMA internal medicine", "id" : "ITEM-2", "issue" : "11", "issued" : { "date-parts" : [ [ "2015" ] ] }, "page" : "1-10", "title" : "Overdiagnosis of Clostridium difficile Infection in the Molecular Test Era.", "type" : "article-journal", "volume" : "175" }, "uris" : [ "http://www.mendeley.com/documents/?uuid=ccaaaad1-aae1-45e7-ae23-0ffa82208001" ] } ], "mendeley" : { "formattedCitation" : "\\autocite{Longtin2016,Polage2015}", "plainTextFormattedCitation" : "\\autocite{Longtin2016,Polage2015}", "previouslyFormattedCitation" : "&lt;sup&gt;25,31&lt;/sup&gt;" }, "properties" : { "noteIndex" : 0 }, "schema" : "https://github.com/citation-style-language/schema/raw/master/csl-citation.json" }</w:instrText>
      </w:r>
      <w:r w:rsidR="0004731B">
        <w:fldChar w:fldCharType="separate"/>
      </w:r>
      <w:r w:rsidR="00717812" w:rsidRPr="00717812">
        <w:rPr>
          <w:noProof/>
        </w:rPr>
        <w:t>\autocite{Longtin2016,Polage2015}</w:t>
      </w:r>
      <w:r w:rsidR="0004731B">
        <w:fldChar w:fldCharType="end"/>
      </w:r>
      <w:r w:rsidR="0004731B">
        <w:t xml:space="preserve"> these strata were</w:t>
      </w:r>
      <w:r w:rsidR="00836301">
        <w:t xml:space="preserve"> </w:t>
      </w:r>
      <w:r w:rsidR="009E6860">
        <w:t xml:space="preserve">named </w:t>
      </w:r>
      <w:r w:rsidR="00836301">
        <w:t>“CA,” “early HA,” and “late HA</w:t>
      </w:r>
      <w:r w:rsidR="00063DA9">
        <w:t>,</w:t>
      </w:r>
      <w:r w:rsidR="00836301">
        <w:t>”</w:t>
      </w:r>
      <w:r w:rsidR="00063DA9">
        <w:t xml:space="preserve"> respectively.</w:t>
      </w:r>
      <w:r w:rsidR="007D26DE">
        <w:t xml:space="preserve"> </w:t>
      </w:r>
      <w:r w:rsidR="00FC0ED0">
        <w:t>As suspected, s</w:t>
      </w:r>
      <w:r w:rsidR="007D26DE">
        <w:t>tratification revealed a</w:t>
      </w:r>
      <w:r w:rsidR="00EE64C6">
        <w:t xml:space="preserve"> positive</w:t>
      </w:r>
      <w:r w:rsidR="007D26DE">
        <w:t xml:space="preserve"> correlation </w:t>
      </w:r>
      <w:r w:rsidR="008B26A3">
        <w:t xml:space="preserve">between time of diagnosis </w:t>
      </w:r>
      <w:r w:rsidR="00CE336D">
        <w:t xml:space="preserve">and </w:t>
      </w:r>
      <w:r w:rsidR="00B63371">
        <w:t>the</w:t>
      </w:r>
      <w:r w:rsidR="006D1547">
        <w:t xml:space="preserve"> CDI-associated</w:t>
      </w:r>
      <w:r w:rsidR="00B63371">
        <w:t xml:space="preserve"> difference in </w:t>
      </w:r>
      <w:r w:rsidR="006E3893">
        <w:t>LOS</w:t>
      </w:r>
      <w:r w:rsidR="00B63371">
        <w:t xml:space="preserve"> </w:t>
      </w:r>
      <w:r w:rsidR="006E3893">
        <w:t xml:space="preserve">(Figure </w:t>
      </w:r>
      <w:r w:rsidR="00801FB9">
        <w:t>3A</w:t>
      </w:r>
      <w:r w:rsidR="006E3893">
        <w:t>)</w:t>
      </w:r>
      <w:r w:rsidR="00141890">
        <w:t>.</w:t>
      </w:r>
      <w:r w:rsidR="00C77A3A">
        <w:t xml:space="preserve"> The differences in medians were: for CA, 2</w:t>
      </w:r>
      <w:r w:rsidR="00775A51">
        <w:t>·</w:t>
      </w:r>
      <w:r w:rsidR="00C77A3A">
        <w:t>5 days (95% CI, 1</w:t>
      </w:r>
      <w:r w:rsidR="00775A51">
        <w:t>·</w:t>
      </w:r>
      <w:r w:rsidR="00C77A3A">
        <w:t>2–3</w:t>
      </w:r>
      <w:r w:rsidR="00775A51">
        <w:t>·</w:t>
      </w:r>
      <w:r w:rsidR="00C77A3A">
        <w:t>4); early HA, 3</w:t>
      </w:r>
      <w:r w:rsidR="00775A51">
        <w:t>·</w:t>
      </w:r>
      <w:r w:rsidR="00C77A3A">
        <w:t>1 days (95% CI, 1</w:t>
      </w:r>
      <w:r w:rsidR="00775A51">
        <w:t>·</w:t>
      </w:r>
      <w:r w:rsidR="00C77A3A">
        <w:t>8–4</w:t>
      </w:r>
      <w:r w:rsidR="00775A51">
        <w:t>·</w:t>
      </w:r>
      <w:r w:rsidR="00C77A3A">
        <w:t>4); and late HA, 14</w:t>
      </w:r>
      <w:r w:rsidR="00775A51">
        <w:t>·</w:t>
      </w:r>
      <w:r w:rsidR="00C77A3A">
        <w:t>0 days (95% CI, 9</w:t>
      </w:r>
      <w:r w:rsidR="00775A51">
        <w:t>·</w:t>
      </w:r>
      <w:r w:rsidR="00C77A3A">
        <w:t>9–17</w:t>
      </w:r>
      <w:r w:rsidR="00775A51">
        <w:t>·</w:t>
      </w:r>
      <w:r w:rsidR="00C77A3A">
        <w:t>1).</w:t>
      </w:r>
      <w:r w:rsidR="00F02D67">
        <w:t xml:space="preserve"> </w:t>
      </w:r>
      <w:r w:rsidR="005E6C38">
        <w:t>All</w:t>
      </w:r>
      <w:r w:rsidR="00F02D67">
        <w:t xml:space="preserve"> comparisons between matched cases and controls were </w:t>
      </w:r>
      <w:r w:rsidR="000A03E6">
        <w:t xml:space="preserve">again </w:t>
      </w:r>
      <w:r w:rsidR="00D85F4D">
        <w:t xml:space="preserve">strongly </w:t>
      </w:r>
      <w:r w:rsidR="00163F8A">
        <w:t xml:space="preserve">statistically </w:t>
      </w:r>
      <w:r w:rsidR="00F02D67">
        <w:t xml:space="preserve">significant, and comparisons between matched controls and matched-again controls were not significant (Figure </w:t>
      </w:r>
      <w:r w:rsidR="008B3DDF">
        <w:t>3A</w:t>
      </w:r>
      <w:r w:rsidR="00F02D67">
        <w:t>).</w:t>
      </w:r>
      <w:r w:rsidR="00DA3430">
        <w:t xml:space="preserve"> Kaplan-Meier </w:t>
      </w:r>
      <w:r w:rsidR="00B96E62">
        <w:t>plots</w:t>
      </w:r>
      <w:r w:rsidR="00DA3430">
        <w:t xml:space="preserve"> likewise confirm</w:t>
      </w:r>
      <w:r w:rsidR="004C5915">
        <w:t>ed</w:t>
      </w:r>
      <w:r w:rsidR="00DA3430">
        <w:t xml:space="preserve"> a correlation between time of CDI diagnosis and </w:t>
      </w:r>
      <w:r w:rsidR="009C2E62">
        <w:t xml:space="preserve">the </w:t>
      </w:r>
      <w:r w:rsidR="00AF39FD">
        <w:t xml:space="preserve">difference </w:t>
      </w:r>
      <w:r w:rsidR="00DA3430">
        <w:t>in</w:t>
      </w:r>
      <w:r w:rsidR="00C6474D">
        <w:t xml:space="preserve"> time-dependent</w:t>
      </w:r>
      <w:r w:rsidR="00DA3430">
        <w:t xml:space="preserve"> </w:t>
      </w:r>
      <w:r w:rsidR="00096168">
        <w:t xml:space="preserve">discharge risk </w:t>
      </w:r>
      <w:r w:rsidR="00B96E62">
        <w:t xml:space="preserve">(Figure </w:t>
      </w:r>
      <w:r w:rsidR="00F75D68">
        <w:t>3B-D</w:t>
      </w:r>
      <w:r w:rsidR="00DA3430">
        <w:t>).</w:t>
      </w:r>
    </w:p>
    <w:p w14:paraId="15BE1C78" w14:textId="396B543F" w:rsidR="00337A53" w:rsidRPr="00903363" w:rsidRDefault="00AD5E5C" w:rsidP="00D128A4">
      <w:pPr>
        <w:pStyle w:val="Normal2"/>
        <w:ind w:firstLine="720"/>
      </w:pPr>
      <w:r>
        <w:lastRenderedPageBreak/>
        <w:t xml:space="preserve">To further address reverse causation, we </w:t>
      </w:r>
      <w:r w:rsidR="00337A53">
        <w:t xml:space="preserve">fit a multistate model </w:t>
      </w:r>
      <w:r w:rsidR="00836250">
        <w:t>similar to previously published</w:t>
      </w:r>
      <w:r w:rsidR="00337A53">
        <w:t xml:space="preserve"> studies</w:t>
      </w:r>
      <w:r w:rsidR="00337A53">
        <w:fldChar w:fldCharType="begin" w:fldLock="1"/>
      </w:r>
      <w:r w:rsidR="00717812">
        <w:instrText>ADDIN CSL_CITATION { "citationItems" : [ { "id" : "ITEM-1", "itemData" : { "DOI" : "10.1017/ice.2015.132", "ISBN" : "1559-6834", "ISSN" : "1559-6834", "PMID" : "26006153", "abstract" : "BACKGROUND Standard estimates of the impact of Clostridium difficile infections (CDI) on inpatient lengths of stay (LOS) may overstate inpatient care costs attributable to CDI. In this study, we used multistate modeling (MSM) of CDI timing to reduce bias in estimates of excess LOS. METHODS A retrospective cohort study of all hospitalizations at any of 120 acute care facilities within the US Department of Veterans Affairs (VA) between 2005 and 2012 was conducted. We estimated the excess LOS attributable to CDI using an MSM to address time-dependent bias. Bootstrapping was used to generate 95% confidence intervals (CI). These estimates were compared to unadjusted differences in mean LOS for hospitalizations with and without CDI. RESULTS During the study period, there were 3.96 million hospitalizations and 43,540 CDIs. A comparison of unadjusted means suggested an excess LOS of 14.0 days (19.4 vs 5.4 days). In contrast, the MSM estimated an attributable LOS of only 2.27 days (95% CI, 2.14-2.40). The excess LOS for mild-to-moderate CDI was 0.75 days (95% CI, 0.59-0.89), and for severe CDI, it was 4.11 days (95% CI, 3.90-4.32). Substantial variation across the Veteran Integrated Services Networks (VISN) was observed. CONCLUSIONS CDI significantly contributes to LOS, but the magnitude of its estimated impact is smaller when methods are used that account for the time-varying nature of infection. The greatest impact on LOS occurred among patients with severe CDI. Significant geographic variability was observed. MSM is a useful tool for obtaining more accurate estimates of the inpatient care costs of CDI. Infect. Control Hosp. Epidemiol. 2015;00(0):1-7.", "author" : [ { "dropping-particle" : "", "family" : "Stevens", "given" : "Vanessa W", "non-dropping-particle" : "", "parse-names" : false, "suffix" : "" }, { "dropping-particle" : "", "family" : "Khader", "given" : "Karim", "non-dropping-particle" : "", "parse-names" : false, "suffix" : "" }, { "dropping-particle" : "", "family" : "Nelson", "given" : "Richard E", "non-dropping-particle" : "", "parse-names" : false, "suffix" : "" }, { "dropping-particle" : "", "family" : "Jones", "given" : "Makoto", "non-dropping-particle" : "", "parse-names" : false, "suffix" : "" }, { "dropping-particle" : "", "family" : "Rubin", "given" : "Michael a", "non-dropping-particle" : "", "parse-names" : false, "suffix" : "" }, { "dropping-particle" : "", "family" : "Brown", "given" : "Kevin a", "non-dropping-particle" : "", "parse-names" : false, "suffix" : "" }, { "dropping-particle" : "", "family" : "Evans", "given" : "Martin E", "non-dropping-particle" : "", "parse-names" : false, "suffix" : "" }, { "dropping-particle" : "", "family" : "Greene", "given" : "Tom", "non-dropping-particle" : "", "parse-names" : false, "suffix" : "" }, { "dropping-particle" : "", "family" : "Slade", "given" : "Eric", "non-dropping-particle" : "", "parse-names" : false, "suffix" : "" }, { "dropping-particle" : "", "family" : "Samore", "given" : "Matthew H", "non-dropping-particle" : "", "parse-names" : false, "suffix" : "" } ], "container-title" : "Infection control and hospital epidemiology", "id" : "ITEM-1", "issue" : "Cdi", "issued" : { "date-parts" : [ [ "2015" ] ] }, "page" : "1-7", "title" : "Excess Length of Stay Attributable to Clostridium difficile Infection (CDI) in the Acute Care Setting: A Multistate Model.", "type" : "article-journal", "volume" : "36" }, "uris" : [ "http://www.mendeley.com/documents/?uuid=48762d07-8992-4ffd-a6c6-cae69631360e" ] }, { "id" : "ITEM-2", "itemData" : { "DOI" : "10.1016/j.jhin.2014.08.008", "ISBN" : "1532-2939", "ISSN" : "15322939", "PMID" : "25441017", "abstract" : "The burden of healthcare-associated infections, such as healthcare-acquired Clostridium difficile (HA-CDI), can be expressed in terms of additional length of stay (LOS) and mortality. However, previous estimates have varied widely. Although some have considered time of infection onset (time-dependent bias), none considered the impact of severity of HA-CDI; this was the primary aim of this study. Methods: The daily risk of in-hospital death or discharge was modelled using a Cox proportional hazards model, fitted to data on patients discharged in 2012 from a large English teaching hospital. We treated HA-CDI status as a time-dependent variable and adjusted for confounders. In addition, a multi-state model was developed to provide a clinically intuitive metric of delayed discharge associated with non-severe and severe HA-CDI respectively. Findings: Data comprised 157 (including 48 severe) HA-CDI cases among 42,618 patients. HA-CDI reduced the daily discharge rate by nearly one-quarter [hazard ratio (HR): 0.72; 95% confidence interval (CI): 0.61-0.84] and increased the in-hospital death rate by 75% compared with non-HA-CDI patients (HR: 1.75; 95% CI: 1.16-2.62). Whereas overall HA-CDI resulted in a mean excess LOS of about seven days (95% CI: 3.5-10.9), severe cases had an average excess LOS which was twice (~11.6 days; 95% CI: 3.6-19.6) that of the non-severe cases (about five days; 95% CI: 1.1-9.5). Conclusion: HA-CDI contributes to patients' expected LOS and risk of mortality. However, when quantifying the health and economic burden of hospital-onset of HA-CDI, the heterogeneity in the impact of HA-CDI should be accounted for.", "author" : [ { "dropping-particle" : "", "family" : "Kleef", "given" : "E.", "non-dropping-particle" : "van", "parse-names" : false, "suffix" : "" }, { "dropping-particle" : "", "family" : "Green", "given" : "N.", "non-dropping-particle" : "", "parse-names" : false, "suffix" : "" }, { "dropping-particle" : "", "family" : "Goldenberg", "given" : "S. D.", "non-dropping-particle" : "", "parse-names" : false, "suffix" : "" }, { "dropping-particle" : "V.", "family" : "Robotham", "given" : "J.", "non-dropping-particle" : "", "parse-names" : false, "suffix" : "" }, { "dropping-particle" : "", "family" : "Cookson", "given" : "B.", "non-dropping-particle" : "", "parse-names" : false, "suffix" : "" }, { "dropping-particle" : "", "family" : "Jit", "given" : "M.", "non-dropping-particle" : "", "parse-names" : false, "suffix" : "" }, { "dropping-particle" : "", "family" : "Edmunds", "given" : "W. J.", "non-dropping-particle" : "", "parse-names" : false, "suffix" : "" }, { "dropping-particle" : "", "family" : "Deeny", "given" : "S. R.", "non-dropping-particle" : "", "parse-names" : false, "suffix" : "" } ], "container-title" : "Journal of Hospital Infection", "id" : "ITEM-2", "issue" : "4", "issued" : { "date-parts" : [ [ "2014" ] ] }, "page" : "213-217", "publisher" : "Elsevier Ltd", "title" : "Excess length of stay and mortality due to Clostridium difficile infection: A multi-state modelling approach", "type" : "article-journal", "volume" : "88" }, "uris" : [ "http://www.mendeley.com/documents/?uuid=3ae7fa69-709e-49bb-b6cb-f77c926a795c" ] }, { "id" : "ITEM-3", "itemData" : { "DOI" : "10.1016/j.ajic.2013.07.006", "ISBN" : "0196-6553\r1527-3296", "ISSN" : "01966553", "PMID" : "24290226", "abstract" : "Background Clostridium difficile infection (CDI) possibly extends hospital length of stay (LOS); however, the current evidence does not account for the time-dependent bias, ie, when infection is incorrectly analyzed as a baseline covariate. The aim of this study was to determine whether CDI increases LOS after managing this bias. Methods We examined the estimated extra LOS because of CDI using a multistate model. Data from all persons hospitalized &gt;48 hours over 4 years in a tertiary hospital in Australia were analyzed. Persons with health care-associated CDIs were identified. Cox proportional hazards models were applied together with multistate modeling. Results One hundred fifty-eight of 58,942 admissions examined had CDI. The mean extra LOS because of infection was 0.9 days (95% confidence interval: -1.8 to 3.6 days, P =.51) when a multistate model was applied. The hazard of discharge was lower in persons who had CDI (adjusted hazard ratio, 0.42; P &lt;.001) when a Cox proportional hazard model was applied. Conclusion This study is the first to use multistate models to determine the extra LOS because of CDI. Results suggest CDI does not significantly contribute to hospital LOS, contradicting findings published elsewhere. Conversely, when methods prone to result in time-dependent bias were applied to the data, the hazard of discharge significantly increased. These findings contribute to discussion on methods used to evaluate LOS and health care-associated infections.", "author" : [ { "dropping-particle" : "", "family" : "Mitchell", "given" : "Brett G.", "non-dropping-particle" : "", "parse-names" : false, "suffix" : "" }, { "dropping-particle" : "", "family" : "Gardner", "given" : "Anne", "non-dropping-particle" : "", "parse-names" : false, "suffix" : "" }, { "dropping-particle" : "", "family" : "Barnett", "given" : "Adrian G.", "non-dropping-particle" : "", "parse-names" : false, "suffix" : "" }, { "dropping-particle" : "", "family" : "Hiller", "given" : "Janet E.", "non-dropping-particle" : "", "parse-names" : false, "suffix" : "" }, { "dropping-particle" : "", "family" : "Graves", "given" : "Nicholas", "non-dropping-particle" : "", "parse-names" : false, "suffix" : "" } ], "container-title" : "American Journal of Infection Control", "id" : "ITEM-3", "issue" : "2", "issued" : { "date-parts" : [ [ "2014" ] ] }, "page" : "164-167", "publisher" : "Elsevier Inc", "title" : "The prolongation of length of stay because of Clostridium difficile infection", "type" : "article-journal", "volume" : "42" }, "uris" : [ "http://www.mendeley.com/documents/?uuid=a1f2dcd7-ed71-4ff1-9e5a-589fada7571d" ] } ], "mendeley" : { "formattedCitation" : "\\autocite{Mitchell2014,Stevens2015,van Kleef2014}", "plainTextFormattedCitation" : "\\autocite{Mitchell2014,Stevens2015,van Kleef2014}", "previouslyFormattedCitation" : "&lt;sup&gt;7,24,30&lt;/sup&gt;" }, "properties" : { "noteIndex" : 0 }, "schema" : "https://github.com/citation-style-language/schema/raw/master/csl-citation.json" }</w:instrText>
      </w:r>
      <w:r w:rsidR="00337A53">
        <w:fldChar w:fldCharType="separate"/>
      </w:r>
      <w:r w:rsidR="00717812" w:rsidRPr="00717812">
        <w:rPr>
          <w:noProof/>
        </w:rPr>
        <w:t>\autocite{Mitchell2014,Stevens2015,van Kleef2014}</w:t>
      </w:r>
      <w:r w:rsidR="00337A53">
        <w:fldChar w:fldCharType="end"/>
      </w:r>
      <w:r w:rsidR="00337A53">
        <w:t xml:space="preserve"> </w:t>
      </w:r>
      <w:r w:rsidR="00FE56EB">
        <w:t xml:space="preserve">that </w:t>
      </w:r>
      <w:r w:rsidR="00B976A6">
        <w:t xml:space="preserve">explicitly </w:t>
      </w:r>
      <w:r w:rsidR="004A65A0">
        <w:t xml:space="preserve">estimates </w:t>
      </w:r>
      <w:r w:rsidR="00337A53">
        <w:t>time-dependent</w:t>
      </w:r>
      <w:r w:rsidR="009B1B58">
        <w:t>,</w:t>
      </w:r>
      <w:r w:rsidR="004A65A0">
        <w:t xml:space="preserve"> competing</w:t>
      </w:r>
      <w:r w:rsidR="00337A53">
        <w:t xml:space="preserve"> risks of transitioning to </w:t>
      </w:r>
      <w:r w:rsidR="002049D3">
        <w:t>a CDI-positive state</w:t>
      </w:r>
      <w:r w:rsidR="00CF1C18">
        <w:t xml:space="preserve"> </w:t>
      </w:r>
      <w:r w:rsidR="00E9368A">
        <w:t>vs. being</w:t>
      </w:r>
      <w:r w:rsidR="00337A53">
        <w:t xml:space="preserve"> discharge</w:t>
      </w:r>
      <w:r w:rsidR="00E9368A">
        <w:t xml:space="preserve">d. </w:t>
      </w:r>
      <w:r w:rsidR="00003224">
        <w:t>Figure 4A depicts t</w:t>
      </w:r>
      <w:r w:rsidR="00E9368A">
        <w:t xml:space="preserve">he three </w:t>
      </w:r>
      <w:r w:rsidR="00FA5702">
        <w:t xml:space="preserve">states and allowed </w:t>
      </w:r>
      <w:r w:rsidR="00E9368A">
        <w:t>transitions</w:t>
      </w:r>
      <w:r w:rsidR="00FA5702">
        <w:t xml:space="preserve"> of the model</w:t>
      </w:r>
      <w:r w:rsidR="00E9368A">
        <w:t>.</w:t>
      </w:r>
      <w:r w:rsidR="00183F8A">
        <w:t xml:space="preserve"> After fitting the model</w:t>
      </w:r>
      <w:r w:rsidR="00E2254B">
        <w:t xml:space="preserve"> for the case definitions </w:t>
      </w:r>
      <w:r w:rsidR="006655AB">
        <w:t>with</w:t>
      </w:r>
      <w:r w:rsidR="00E2254B">
        <w:t xml:space="preserve"> a time of diagnosis (ii, iii, and iv)</w:t>
      </w:r>
      <w:r w:rsidR="00183F8A">
        <w:t xml:space="preserve">, </w:t>
      </w:r>
      <w:r w:rsidR="0004527A">
        <w:t xml:space="preserve">the expected remaining LOS </w:t>
      </w:r>
      <w:r w:rsidR="00573B6E">
        <w:t>can be compared</w:t>
      </w:r>
      <w:r w:rsidR="0004527A">
        <w:t xml:space="preserve"> </w:t>
      </w:r>
      <w:r w:rsidR="00504892">
        <w:t>across</w:t>
      </w:r>
      <w:r w:rsidR="0004527A">
        <w:t xml:space="preserve"> cohorts that have </w:t>
      </w:r>
      <w:r w:rsidR="008D3FB3">
        <w:t xml:space="preserve">already </w:t>
      </w:r>
      <w:r w:rsidR="0004527A">
        <w:t xml:space="preserve">transitioned </w:t>
      </w:r>
      <w:r w:rsidR="008D3FB3">
        <w:t>to</w:t>
      </w:r>
      <w:r w:rsidR="0004527A">
        <w:t xml:space="preserve"> the CDI infected state vs. those that are still CDI negative</w:t>
      </w:r>
      <w:r w:rsidR="00A44CBE">
        <w:t xml:space="preserve"> </w:t>
      </w:r>
      <w:r w:rsidR="00F76505">
        <w:t>at</w:t>
      </w:r>
      <w:r w:rsidR="00A44CBE">
        <w:t xml:space="preserve"> any given timepoint</w:t>
      </w:r>
      <w:r w:rsidR="0004527A">
        <w:t xml:space="preserve"> (Figure</w:t>
      </w:r>
      <w:r w:rsidR="002962EC">
        <w:t xml:space="preserve"> 4B-D</w:t>
      </w:r>
      <w:r w:rsidR="0004527A">
        <w:t>).</w:t>
      </w:r>
      <w:r w:rsidR="0073670B">
        <w:t xml:space="preserve"> To summarize the ov</w:t>
      </w:r>
      <w:r w:rsidR="00B12F4A">
        <w:t xml:space="preserve">erall </w:t>
      </w:r>
      <w:r w:rsidR="00812C20">
        <w:t xml:space="preserve">relationship between </w:t>
      </w:r>
      <w:r w:rsidR="00B12F4A">
        <w:t xml:space="preserve">CDI </w:t>
      </w:r>
      <w:r w:rsidR="003A0D8A">
        <w:t xml:space="preserve">and </w:t>
      </w:r>
      <w:r w:rsidR="00B12F4A">
        <w:t xml:space="preserve">LOS, </w:t>
      </w:r>
      <w:r w:rsidR="009C2181">
        <w:t>differences</w:t>
      </w:r>
      <w:r w:rsidR="0073670B">
        <w:t xml:space="preserve"> in LOS </w:t>
      </w:r>
      <w:r w:rsidR="002A49EE">
        <w:t>w</w:t>
      </w:r>
      <w:r w:rsidR="00BD60AD">
        <w:t>ere</w:t>
      </w:r>
      <w:r w:rsidR="00B77E64">
        <w:t xml:space="preserve"> </w:t>
      </w:r>
      <w:r w:rsidR="0073670B">
        <w:t>weighted by the</w:t>
      </w:r>
      <w:r w:rsidR="00715686">
        <w:t xml:space="preserve"> distribution of time</w:t>
      </w:r>
      <w:r w:rsidR="009227F3">
        <w:t>s</w:t>
      </w:r>
      <w:r w:rsidR="0073670B">
        <w:t xml:space="preserve"> spent in the initial state</w:t>
      </w:r>
      <w:r w:rsidR="00BA3579">
        <w:t xml:space="preserve"> and averaged</w:t>
      </w:r>
      <w:r w:rsidR="00595EBB">
        <w:t>. The average difference</w:t>
      </w:r>
      <w:r w:rsidR="00AC4542">
        <w:t>s</w:t>
      </w:r>
      <w:r w:rsidR="00113552">
        <w:t xml:space="preserve"> for</w:t>
      </w:r>
      <w:r w:rsidR="0073670B">
        <w:t xml:space="preserve"> each case definition</w:t>
      </w:r>
      <w:r w:rsidR="000152C2">
        <w:t xml:space="preserve"> </w:t>
      </w:r>
      <w:r w:rsidR="00AC4542">
        <w:t>were</w:t>
      </w:r>
      <w:r w:rsidR="0073670B">
        <w:t>: (ii) by positive toxin EIA, 3</w:t>
      </w:r>
      <w:r w:rsidR="009151BE">
        <w:t>·</w:t>
      </w:r>
      <w:r w:rsidR="0073670B">
        <w:t>0 days (95% CI, 2</w:t>
      </w:r>
      <w:r w:rsidR="009151BE">
        <w:t>·</w:t>
      </w:r>
      <w:r w:rsidR="0073670B">
        <w:t>0–4</w:t>
      </w:r>
      <w:r w:rsidR="009151BE">
        <w:t>·</w:t>
      </w:r>
      <w:r w:rsidR="0073670B">
        <w:t>0); (iii) by positive toxin PCR, 3</w:t>
      </w:r>
      <w:r w:rsidR="009151BE">
        <w:t>·</w:t>
      </w:r>
      <w:r w:rsidR="0073670B">
        <w:t>5 days (95% CI, 2</w:t>
      </w:r>
      <w:r w:rsidR="009151BE">
        <w:t>·</w:t>
      </w:r>
      <w:r w:rsidR="0073670B">
        <w:t>7–4</w:t>
      </w:r>
      <w:r w:rsidR="009151BE">
        <w:t>·</w:t>
      </w:r>
      <w:r w:rsidR="0073670B">
        <w:t xml:space="preserve">5); </w:t>
      </w:r>
      <w:r w:rsidR="00036C35">
        <w:t xml:space="preserve">and </w:t>
      </w:r>
      <w:r w:rsidR="0073670B">
        <w:t>(iv) by either toxin assay, 3</w:t>
      </w:r>
      <w:r w:rsidR="009151BE">
        <w:t>·</w:t>
      </w:r>
      <w:r w:rsidR="0073670B">
        <w:t>3 days (95% CI, 2</w:t>
      </w:r>
      <w:r w:rsidR="009151BE">
        <w:t>·</w:t>
      </w:r>
      <w:r w:rsidR="0073670B">
        <w:t>6–4</w:t>
      </w:r>
      <w:r w:rsidR="009151BE">
        <w:t>·</w:t>
      </w:r>
      <w:r w:rsidR="0073670B">
        <w:t>0).</w:t>
      </w:r>
      <w:r w:rsidR="00FA08EC">
        <w:t xml:space="preserve"> </w:t>
      </w:r>
      <w:r w:rsidR="00866AFC">
        <w:t xml:space="preserve">Notably, the </w:t>
      </w:r>
      <w:r w:rsidR="00615A22">
        <w:t>95% CI</w:t>
      </w:r>
      <w:r w:rsidR="00A3146D">
        <w:t xml:space="preserve"> </w:t>
      </w:r>
      <w:r w:rsidR="00935AF8">
        <w:t xml:space="preserve">for </w:t>
      </w:r>
      <w:r w:rsidR="00615A22">
        <w:t>the</w:t>
      </w:r>
      <w:r w:rsidR="001D0A63">
        <w:t xml:space="preserve"> </w:t>
      </w:r>
      <w:r w:rsidR="00893440">
        <w:t>difference in</w:t>
      </w:r>
      <w:r w:rsidR="00D51046">
        <w:t xml:space="preserve"> cohort</w:t>
      </w:r>
      <w:r w:rsidR="00FB4F1C">
        <w:t xml:space="preserve"> </w:t>
      </w:r>
      <w:r w:rsidR="001D0A63">
        <w:t>(iv)</w:t>
      </w:r>
      <w:r w:rsidR="00615A22">
        <w:t xml:space="preserve"> </w:t>
      </w:r>
      <w:r w:rsidR="005C11B9">
        <w:t>overlaps</w:t>
      </w:r>
      <w:r w:rsidR="00615A22">
        <w:t xml:space="preserve"> the</w:t>
      </w:r>
      <w:r w:rsidR="00866AFC">
        <w:t xml:space="preserve"> 3</w:t>
      </w:r>
      <w:r w:rsidR="009151BE">
        <w:t>·</w:t>
      </w:r>
      <w:r w:rsidR="00866AFC">
        <w:t xml:space="preserve">1 day </w:t>
      </w:r>
      <w:r w:rsidR="002918DB">
        <w:t xml:space="preserve">difference </w:t>
      </w:r>
      <w:r w:rsidR="00866AFC">
        <w:t>for</w:t>
      </w:r>
      <w:r w:rsidR="003B036E">
        <w:t xml:space="preserve"> the</w:t>
      </w:r>
      <w:r w:rsidR="00866AFC">
        <w:t xml:space="preserve"> “early HA”</w:t>
      </w:r>
      <w:r w:rsidR="003B036E">
        <w:t xml:space="preserve"> stratum</w:t>
      </w:r>
      <w:r w:rsidR="00866AFC">
        <w:t xml:space="preserve"> </w:t>
      </w:r>
      <w:r w:rsidR="005474F7">
        <w:t>of</w:t>
      </w:r>
      <w:r w:rsidR="00F94B4F">
        <w:t xml:space="preserve"> the </w:t>
      </w:r>
      <w:r w:rsidR="00563F3C">
        <w:t xml:space="preserve">propensity-matched analysis </w:t>
      </w:r>
      <w:r w:rsidR="00364992">
        <w:t xml:space="preserve">in </w:t>
      </w:r>
      <w:r w:rsidR="00563F3C">
        <w:t>th</w:t>
      </w:r>
      <w:r w:rsidR="003764AE">
        <w:t>e same</w:t>
      </w:r>
      <w:r w:rsidR="00866AFC">
        <w:t xml:space="preserve"> cohort.</w:t>
      </w:r>
    </w:p>
    <w:p w14:paraId="3956D214" w14:textId="77777777" w:rsidR="00394153" w:rsidRDefault="00394153" w:rsidP="00394153">
      <w:pPr>
        <w:pStyle w:val="Heading1"/>
      </w:pPr>
      <w:r>
        <w:t>Discussion</w:t>
      </w:r>
    </w:p>
    <w:p w14:paraId="52C622BB" w14:textId="33106D70" w:rsidR="00D754FE" w:rsidRDefault="00866EB0" w:rsidP="00D754FE">
      <w:r>
        <w:t>This</w:t>
      </w:r>
      <w:r w:rsidR="0091655E">
        <w:t xml:space="preserve"> study examined </w:t>
      </w:r>
      <w:r w:rsidR="00D728F0">
        <w:t>nearly seven years</w:t>
      </w:r>
      <w:r w:rsidR="0091655E">
        <w:t xml:space="preserve"> of </w:t>
      </w:r>
      <w:r w:rsidR="009B0E8B">
        <w:t>uncurated</w:t>
      </w:r>
      <w:r w:rsidR="009D4EEA">
        <w:t xml:space="preserve"> </w:t>
      </w:r>
      <w:r w:rsidR="0091655E">
        <w:t xml:space="preserve">EMR data </w:t>
      </w:r>
      <w:r w:rsidR="00135365">
        <w:t>for</w:t>
      </w:r>
      <w:r w:rsidR="0091655E">
        <w:t xml:space="preserve"> a single hospital and </w:t>
      </w:r>
      <w:r w:rsidR="00ED33BA">
        <w:t xml:space="preserve">determined </w:t>
      </w:r>
      <w:r w:rsidR="008D3255">
        <w:t xml:space="preserve">associated </w:t>
      </w:r>
      <w:r w:rsidR="00ED33BA">
        <w:t xml:space="preserve">costs of CDI </w:t>
      </w:r>
      <w:r w:rsidR="00231AFA">
        <w:t xml:space="preserve">as </w:t>
      </w:r>
      <w:r w:rsidR="00ED33BA">
        <w:t xml:space="preserve">defined by </w:t>
      </w:r>
      <w:r w:rsidR="00D50166">
        <w:t xml:space="preserve">either </w:t>
      </w:r>
      <w:r w:rsidR="00DA3D1D">
        <w:t xml:space="preserve">visit </w:t>
      </w:r>
      <w:r w:rsidR="00ED33BA">
        <w:t>diagnosis code</w:t>
      </w:r>
      <w:r w:rsidR="00F50436">
        <w:t>s</w:t>
      </w:r>
      <w:r w:rsidR="00ED33BA">
        <w:t xml:space="preserve"> or lab results.</w:t>
      </w:r>
      <w:r w:rsidR="00DA3D1D">
        <w:t xml:space="preserve"> </w:t>
      </w:r>
      <w:r w:rsidR="002F5D62" w:rsidRPr="002F5D62">
        <w:t xml:space="preserve"> </w:t>
      </w:r>
      <w:r w:rsidR="002F5D62">
        <w:t xml:space="preserve">In </w:t>
      </w:r>
      <w:r w:rsidR="009A1F28">
        <w:t>the</w:t>
      </w:r>
      <w:r w:rsidR="00231AFA">
        <w:t xml:space="preserve"> </w:t>
      </w:r>
      <w:r w:rsidR="002F5D62">
        <w:t xml:space="preserve">analysis </w:t>
      </w:r>
      <w:r w:rsidR="00DC4061">
        <w:t xml:space="preserve">unadjusted </w:t>
      </w:r>
      <w:r w:rsidR="002F5D62">
        <w:t>for time-to-infection,</w:t>
      </w:r>
      <w:r w:rsidR="009A30F1">
        <w:t xml:space="preserve"> differences in LOS were often greater than national averages </w:t>
      </w:r>
      <w:r w:rsidR="008F6B2C">
        <w:t>from</w:t>
      </w:r>
      <w:r w:rsidR="009A30F1">
        <w:t xml:space="preserve"> similar unadjusted studies,</w:t>
      </w:r>
      <w:r w:rsidR="009A30F1">
        <w:fldChar w:fldCharType="begin" w:fldLock="1"/>
      </w:r>
      <w:r w:rsidR="00717812">
        <w:instrText>ADDIN CSL_CITATION { "citationItems" : [ { "id" : "ITEM-1", "itemData" : { "DOI" : "10.1001/jamainternmed.2013.9763", "ISBN" : "2168-6114", "ISSN" : "2168-6114", "PMID" : "23999949", "abstract" : "IMPORTANCE: Health care-associated infections (HAIs) account for a large proportion of the harms caused by health care and are associated with high costs. Better evaluation of the costs of these infections could help providers and payers to justify investing in prevention.\\n\\nOBJECTIVE: To estimate costs associated with the most significant and targetable HAIs.\\n\\nDATA SOURCES: For estimation of attributable costs, we conducted a systematic review of the literature using PubMed for the years 1986 through April 2013. For HAI incidence estimates, we used the National Healthcare Safety Network of the Centers for Disease Control and Prevention (CDC).\\n\\nSTUDY SELECTION: Studies performed outside the United States were excluded. Inclusion criteria included a robust method of comparison using a matched control group or an appropriate regression strategy, generalizable populations typical of inpatient wards and critical care units, methodologic consistency with CDC definitions, and soundness of handling economic outcomes.\\n\\nDATA EXTRACTION AND SYNTHESIS: Three review cycles were completed, with the final iteration carried out from July 2011 to April 2013. Selected publications underwent a secondary review by the research team.\\n\\nMAIN OUTCOMES AND MEASURES: Costs, inflated to 2012 US dollars.\\n\\nRESULTS: Using Monte Carlo simulation, we generated point estimates and 95% CIs for attributable costs and length of hospital stay. On a per-case basis, central line-associated bloodstream infections were found to be the most costly HAIs at $45,814 (95% CI, $30,919-$65,245), followed by ventilator-associated pneumonia at $40,144 (95% CI, $36,286-$44,220), surgical site infections at $20,785 (95% CI, $18,902-$22,667), Clostridium difficile infection at $11,285 (95% CI, $9118-$13,574), and catheter-associated urinary tract infections at $896 (95% CI, $603-$1189). The total annual costs for the 5 major infections were $9.8 billion (95% CI, $8.3-$11.5 billion), with surgical site infections contributing the most to overall costs (33.7% of the total), followed by ventilator-associated pneumonia (31.6%), central line-associated bloodstream infections (18.9%), C difficile infections (15.4%), and catheter-associated urinary tract infections (&lt;1%).\\n\\nCONCLUSIONS AND RELEVANCE: While quality improvement initiatives have decreased HAI incidence and costs, much more remains to be done. As hospitals realize savings from prevention of these complications under payment reforms, the\u2026", "author" : [ { "dropping-particle" : "", "family" : "Zimlichman", "given" : "Eyal", "non-dropping-particle" : "", "parse-names" : false, "suffix" : "" }, { "dropping-particle" : "", "family" : "Henderson", "given" : "Daniel", "non-dropping-particle" : "", "parse-names" : false, "suffix" : "" }, { "dropping-particle" : "", "family" : "Tamir", "given" : "Orly", "non-dropping-particle" : "", "parse-names" : false, "suffix" : "" }, { "dropping-particle" : "", "family" : "Franz", "given" : "Calvin", "non-dropping-particle" : "", "parse-names" : false, "suffix" : "" }, { "dropping-particle" : "", "family" : "Song", "given" : "Peter", "non-dropping-particle" : "", "parse-names" : false, "suffix" : "" }, { "dropping-particle" : "", "family" : "Yamin", "given" : "Cyrus K.", "non-dropping-particle" : "", "parse-names" : false, "suffix" : "" }, { "dropping-particle" : "", "family" : "Keohane", "given" : "Carol", "non-dropping-particle" : "", "parse-names" : false, "suffix" : "" }, { "dropping-particle" : "", "family" : "Denham", "given" : "Charles R.", "non-dropping-particle" : "", "parse-names" : false, "suffix" : "" }, { "dropping-particle" : "", "family" : "Bates", "given" : "David W.", "non-dropping-particle" : "", "parse-names" : false, "suffix" : "" } ], "container-title" : "JAMA internal medicine", "id" : "ITEM-1", "issue" : "22", "issued" : { "date-parts" : [ [ "2013" ] ] }, "page" : "2039-46", "title" : "Health care-associated infections: a meta-analysis of costs and financial impact on the US health care system.", "type" : "article-journal", "volume" : "173" }, "uris" : [ "http://www.mendeley.com/documents/?uuid=c3782faa-a896-4aff-bdab-e8997d58b765" ] }, { "id" : "ITEM-2", "itemData" : { "DOI" : "10.1016/j.jhin.2014.04.011", "ISBN" : "1532-2939 (Electronic)\\r0195-6701 (Linking)", "ISSN" : "15322939", "PMID" : "24996516", "abstract" : "In most healthcare systems, third-party payers fund the costs for patients admitted to hospital for Clostridium difficile infection (CDI) whereas, for CDI cases arising as complications of hospitalization, not all related costs are refundable to the hospital. We therefore aimed to critically review and categorize hospital costs and length of hospital stay (LOS) attributable to Clostridium difficile infection and to investigate the economic burden associated with it. A comprehensive literature review selected papers describing the costs and LOS for hospitalized patients as outcomes of CDI, following the use of statisticsto identify costs and LOS solely attributable to CDI. Twenty-four studies were selected. Estimated attributable costs, all ranges expressed in US dollars, were $6,774-$10,212 for CDI requiring admission, $2,992-$29,000 for hospital-acquired CDI, and $2,454-$12,850 where no categorization was made. The ranges for LOS values were 5-13.6, 2.7-21.3, and 2.8-17.9 days, respectively. The categorization of CDI attributable costs allows budget holders to anticipate the cost per CDI case, a perspective that should enrich the design of appropriate incentives for the various budget holders to invest in prevention so that CDI prevention is optimized globally. ?? 2014 The Healthcare Infection Society.", "author" : [ { "dropping-particle" : "", "family" : "Gabriel", "given" : "L.", "non-dropping-particle" : "", "parse-names" : false, "suffix" : "" }, { "dropping-particle" : "", "family" : "Beriot-Mathiot", "given" : "A.", "non-dropping-particle" : "", "parse-names" : false, "suffix" : "" } ], "container-title" : "Journal of Hospital Infection", "id" : "ITEM-2", "issue" : "1", "issued" : { "date-parts" : [ [ "2014" ] ] }, "page" : "12-21", "publisher" : "Elsevier Ltd", "title" : "Hospitalization stay and costs attributable to Clostridium difficile infection: A critical review", "type" : "article-journal", "volume" : "88" }, "uris" : [ "http://www.mendeley.com/documents/?uuid=4cff00f0-7c90-4a16-9e07-102871cb16ae" ] }, { "id" : "ITEM-3", "itemData" : { "DOI" : "10.1186/s12879-016-1786-6", "ISSN" : "1471-2334", "abstract" : "Clostridium difficile infection (CDI) is the leading cause of infectious nosocomial diarrhoea but the economic costs of CDI on healthcare systems in the US remain uncertain. We conducted a systematic search for published studies investigating the direct medical cost associated with CDI hospital management in the past 10\u00a0years (2005\u20132015) and included 42 studies to the final data analysis to estimate the financial impact of CDI in the US. We also conducted a meta-analysis of all costs using Monte Carlo simulation. The average cost for CDI case management and average CDI-attributable costs per case were $42,316 (90\u00a0% CI: $39,886, $44,765) and $21,448 (90\u00a0% CI: $21,152, $21,744) in 2015 US dollars. Hospital-onset CDI-attributable cost per case was $34,157 (90\u00a0% CI: $33,134, $35,180), which was 1.5 times the cost of community-onset CDI ($20,095 [90\u00a0% CI: $4991, $35,204]). The average and incremental length of stay (LOS) for CDI inpatient treatment were 11.1 (90\u00a0% CI: 8.7\u201313.6) and 9.7 (90\u00a0% CI: 9.6\u20139.8) days respectively. Total annual CDI-attributable cost in the US is estimated US$6.3 (Range: $1.9\u2013$7.0) billion. Total annual CDI hospital management required nearly 2.4 million days of inpatient stay. This review indicates that CDI places a significant financial burden on the US healthcare system. This review adds strong evidence to aid policy-making on adequate resource allocation to CDI prevention and treatment in the US. Future studies should focus on recurrent CDI, CDI in long-term care facilities and persons with comorbidities and indirect cost from a societal perspective. Health-economic studies for CDI preventive intervention are needed.", "author" : [ { "dropping-particle" : "", "family" : "Zhang", "given" : "Shanshan", "non-dropping-particle" : "", "parse-names" : false, "suffix" : "" }, { "dropping-particle" : "", "family" : "Palazuelos-Munoz", "given" : "Sarah", "non-dropping-particle" : "", "parse-names" : false, "suffix" : "" }, { "dropping-particle" : "", "family" : "Balsells", "given" : "Evelyn M.", "non-dropping-particle" : "", "parse-names" : false, "suffix" : "" }, { "dropping-particle" : "", "family" : "Nair", "given" : "Harish", "non-dropping-particle" : "", "parse-names" : false, "suffix" : "" }, { "dropping-particle" : "", "family" : "Chit", "given" : "Ayman", "non-dropping-particle" : "", "parse-names" : false, "suffix" : "" }, { "dropping-particle" : "", "family" : "Kyaw", "given" : "Moe H.", "non-dropping-particle" : "", "parse-names" : false, "suffix" : "" }, { "dropping-particle" : "", "family" : "Crobach", "given" : "M", "non-dropping-particle" : "", "parse-names" : false, "suffix" : "" }, { "dropping-particle" : "", "family" : "Dekkers", "given" : "O", "non-dropping-particle" : "", "parse-names" : false, "suffix" : "" }, { "dropping-particle" : "", "family" : "Wilcox", "given" : "M", "non-dropping-particle" : "", "parse-names" : false, "suffix" : "" }, { "dropping-particle" : "", "family" : "Kuijper", "given" : "E", "non-dropping-particle" : "", "parse-names" : false, "suffix" : "" }, { "dropping-particle" : "", "family" : "Dubberke", "given" : "ER", "non-dropping-particle" : "", "parse-names" : false, "suffix" : "" }, { "dropping-particle" : "", "family" : "Carling", "given" : "P", "non-dropping-particle" : "", "parse-names" : false, "suffix" : "" }, { "dropping-particle" : "", "family" : "Carrico", "given" : "R", "non-dropping-particle" : "", "parse-names" : false, "suffix" : "" }, { "dropping-particle" : "", "family" : "Mylonakis", "given" : "E", "non-dropping-particle" : "", "parse-names" : false, "suffix" : "" }, { "dropping-particle" : "", "family" : "Ryan", "given" : "E", "non-dropping-particle" : "", "parse-names" : false, "suffix" : "" }, { "dropping-particle" : "", "family" : "Calderwood", "given" : "S", "non-dropping-particle" : "", "parse-names" : false, "suffix" : "" }, { "dropping-particle" : "", "family" : "Rubin", "given" : "M", "non-dropping-particle" : "", "parse-names" : false, "suffix" : "" }, { "dropping-particle" : "", "family" : "Bodenstein", "given" : "L", "non-dropping-particle" : "", "parse-names" : false, "suffix" : "" }, { "dropping-particle" : "", "family" : "Kent", "given" : "K", "non-dropping-particle" : "", "parse-names" : false, "suffix" : "" }, { "dropping-particle" : "", "family" : "Triadafilopoulos", "given" : "G", "non-dropping-particle" : "", "parse-names" : false, "suffix" : "" }, { "dropping-particle" : "", "family" : "Hallstone", "given" : "AE", "non-dropping-particle" : "", "parse-names" : false, "suffix" : "" }, { "dropping-particle" : "", "family" : "Sanchez", "given" : "T", "non-dropping-particle" : "", "parse-names" : false, "suffix" : "" }, { "dropping-particle" : "", "family" : "Brooks", "given" : "J", "non-dropping-particle" : "", "parse-names" : false, "suffix" : "" }, { "dropping-particle" : "", "family" : "Sullivan", "given" : "P", "non-dropping-particle" : "", "parse-names" : false, "suffix" : "" }, { "dropping-particle" : "", "family" : "Bilgrami", "given" : "S", "non-dropping-particle" : "", "parse-names" : false, "suffix" : "" }, { "dropping-particle" : "", "family" : "Feingold", "given" : "J", "non-dropping-particle" : "", "parse-names" : false, "suffix" : "" }, { "dropping-particle" : "", "family" : "Dorsky", "given" : "D", "non-dropping-particle" : "", "parse-names" : false, "suffix" : "" }, { "dropping-particle" : "", "family" : "Barbut", "given" : "F", "non-dropping-particle" : "", "parse-names" : false, "suffix" : "" }, { "dropping-particle" : "", "family" : "Corthier", "given" : "G", "non-dropping-particle" : "", "parse-names" : false, "suffix" : "" }, { "dropping-particle" : "", "family" : "Charpak", "given" : "Y", "non-dropping-particle" : "", "parse-names" : false, "suffix" : "" }, { "dropping-particle" : "", "family" : "Cohen", "given" : "S", "non-dropping-particle" : "", "parse-names" : false, "suffix" : "" }, { "dropping-particle" : "", "family" : "Gerding", "given" : "D", "non-dropping-particle" : "", "parse-names" : false, "suffix" : "" }, { "dropping-particle" : "", "family" : "Johnson", "given" : "S", "non-dropping-particle" : "", "parse-names" : false, "suffix" : "" }, { "dropping-particle" : "", "family" : "Bignardi", "given" : "G", "non-dropping-particle" : "", "parse-names" : false, "suffix" : "" }, { "dropping-particle" : "", "family" : "Aseeri", "given" : "M", "non-dropping-particle" : "", "parse-names" : false, "suffix" : "" }, { "dropping-particle" : "", "family" : "Schroeder", "given" : "T", "non-dropping-particle" : "", "parse-names" : false, "suffix" : "" }, { "dropping-particle" : "", "family" : "Kramer", "given" : "J", "non-dropping-particle" : "", "parse-names" : false, "suffix" : "" }, { "dropping-particle" : "", "family" : "Zackula", "given" : "R", "non-dropping-particle" : "", "parse-names" : false, "suffix" : "" }, { "dropping-particle" : "", "family" : "Bauer", "given" : "M", "non-dropping-particle" : "", "parse-names" : false, "suffix" : "" }, { "dropping-particle" : "", "family" : "Notermans", "given" : "D", "non-dropping-particle" : "", "parse-names" : false, "suffix" : "" }, { "dropping-particle" : "", "family" : "Benthem", "given" : "B", "non-dropping-particle" : "", "parse-names" : false, "suffix" : "" }, { "dropping-particle" : "", "family" : "Dubberke", "given" : "ER", "non-dropping-particle" : "", "parse-names" : false, "suffix" : "" }, { "dropping-particle" : "", "family" : "Wertheimer", "given" : "AI", "non-dropping-particle" : "", "parse-names" : false, "suffix" : "" }, { "dropping-particle" : "", "family" : "Dubberke", "given" : "ER", "non-dropping-particle" : "", "parse-names" : false, "suffix" : "" }, { "dropping-particle" : "", "family" : "Olsen", "given" : "MA", "non-dropping-particle" : "", "parse-names" : false, "suffix" : "" }, { "dropping-particle" : "", "family" : "Gabriel", "given" : "L", "non-dropping-particle" : "", "parse-names" : false, "suffix" : "" }, { "dropping-particle" : "", "family" : "Beriot-Mathiot", "given" : "A", "non-dropping-particle" : "", "parse-names" : false, "suffix" : "" }, { "dropping-particle" : "", "family" : "Ghantoji", "given" : "SS", "non-dropping-particle" : "", "parse-names" : false, "suffix" : "" }, { "dropping-particle" : "", "family" : "Sail", "given" : "K", "non-dropping-particle" : "", "parse-names" : false, "suffix" : "" }, { "dropping-particle" : "", "family" : "Lairson", "given" : "DR", "non-dropping-particle" : "", "parse-names" : false, "suffix" : "" }, { "dropping-particle" : "", "family" : "Dupont", "given" : "HL", "non-dropping-particle" : "", "parse-names" : false, "suffix" : "" }, { "dropping-particle" : "", "family" : "Garey", "given" : "KW", "non-dropping-particle" : "", "parse-names" : false, "suffix" : "" }, { "dropping-particle" : "", "family" : "Zimlichman", "given" : "E", "non-dropping-particle" : "", "parse-names" : false, "suffix" : "" }, { "dropping-particle" : "", "family" : "Henderson", "given" : "D", "non-dropping-particle" : "", "parse-names" : false, "suffix" : "" }, { "dropping-particle" : "", "family" : "Tamir", "given" : "O", "non-dropping-particle" : "", "parse-names" : false, "suffix" : "" }, { "dropping-particle" : "", "family" : "Johnson", "given" : "S", "non-dropping-particle" : "", "parse-names" : false, "suffix" : "" }, { "dropping-particle" : "", "family" : "Mergenhagen", "given" : "KA", "non-dropping-particle" : "", "parse-names" : false, "suffix" : "" }, { "dropping-particle" : "", "family" : "Wojciechowski", "given" : "AL", "non-dropping-particle" : "", "parse-names" : false, "suffix" : "" }, { "dropping-particle" : "", "family" : "Paladino", "given" : "JA", "non-dropping-particle" : "", "parse-names" : false, "suffix" : "" }, { "dropping-particle" : "", "family" : "Wiegand", "given" : "PN", "non-dropping-particle" : "", "parse-names" : false, "suffix" : "" }, { "dropping-particle" : "", "family" : "Nathwani", "given" : "D", "non-dropping-particle" : "", "parse-names" : false, "suffix" : "" }, { "dropping-particle" : "", "family" : "Wilcox", "given" : "MH", "non-dropping-particle" : "", "parse-names" : false, "suffix" : "" }, { "dropping-particle" : "", "family" : "Stephens", "given" : "J", "non-dropping-particle" : "", "parse-names" : false, "suffix" : "" }, { "dropping-particle" : "", "family" : "Shelbaya", "given" : "A", "non-dropping-particle" : "", "parse-names" : false, "suffix" : "" }, { "dropping-particle" : "", "family" : "Haider", "given" : "S", "non-dropping-particle" : "", "parse-names" : false, "suffix" : "" }, { "dropping-particle" : "", "family" : "Bouza", "given" : "E", "non-dropping-particle" : "", "parse-names" : false, "suffix" : "" }, { "dropping-particle" : "", "family" : "Jha", "given" : "A", "non-dropping-particle" : "", "parse-names" : false, "suffix" : "" }, { "dropping-particle" : "", "family" : "Chan", "given" : "D", "non-dropping-particle" : "", "parse-names" : false, "suffix" : "" }, { "dropping-particle" : "", "family" : "Ridgway", "given" : "A", "non-dropping-particle" : "", "parse-names" : false, "suffix" : "" }, { "dropping-particle" : "", "family" : "Franz", "given" : "C", "non-dropping-particle" : "", "parse-names" : false, "suffix" : "" }, { "dropping-particle" : "", "family" : "Bates", "given" : "DW", "non-dropping-particle" : "", "parse-names" : false, "suffix" : "" }, { "dropping-particle" : "", "family" : "Lessa", "given" : "FC", "non-dropping-particle" : "", "parse-names" : false, "suffix" : "" }, { "dropping-particle" : "", "family" : "Winston", "given" : "LG", "non-dropping-particle" : "", "parse-names" : false, "suffix" : "" }, { "dropping-particle" : "", "family" : "McDonald", "given" : "LC", "non-dropping-particle" : "", "parse-names" : false, "suffix" : "" }, { "dropping-particle" : "", "family" : "Nanwa", "given" : "N", "non-dropping-particle" : "", "parse-names" : false, "suffix" : "" }, { "dropping-particle" : "", "family" : "Kendzerska", "given" : "T", "non-dropping-particle" : "", "parse-names" : false, "suffix" : "" }, { "dropping-particle" : "", "family" : "Krahn", "given" : "M", "non-dropping-particle" : "", "parse-names" : false, "suffix" : "" }, { "dropping-particle" : "", "family" : "Ali", "given" : "M", "non-dropping-particle" : "", "parse-names" : false, "suffix" : "" }, { "dropping-particle" : "", "family" : "Ananthakrishnan", "given" : "AN", "non-dropping-particle" : "", "parse-names" : false, "suffix" : "" }, { "dropping-particle" : "", "family" : "Ahmad", "given" : "S", "non-dropping-particle" : "", "parse-names" : false, "suffix" : "" }, { "dropping-particle" : "", "family" : "Kumar", "given" : "N", "non-dropping-particle" : "", "parse-names" : false, "suffix" : "" }, { "dropping-particle" : "", "family" : "Kumar", "given" : "G", "non-dropping-particle" : "", "parse-names" : false, "suffix" : "" }, { "dropping-particle" : "", "family" : "Saeian", "given" : "K", "non-dropping-particle" : "", "parse-names" : false, "suffix" : "" }, { "dropping-particle" : "", "family" : "Ananthakrishnan", "given" : "AN", "non-dropping-particle" : "", "parse-names" : false, "suffix" : "" }, { "dropping-particle" : "", "family" : "Mcginley", "given" : "EL", "non-dropping-particle" : "", "parse-names" : false, "suffix" : "" }, { "dropping-particle" : "", "family" : "Binion", "given" : "DG", "non-dropping-particle" : "", "parse-names" : false, "suffix" : "" }, { "dropping-particle" : "", "family" : "Arora", "given" : "V", "non-dropping-particle" : "", "parse-names" : false, "suffix" : "" }, { "dropping-particle" : "", "family" : "Kachroo", "given" : "S", "non-dropping-particle" : "", "parse-names" : false, "suffix" : "" }, { "dropping-particle" : "", "family" : "Ghantoji", "given" : "SS", "non-dropping-particle" : "", "parse-names" : false, "suffix" : "" }, { "dropping-particle" : "", "family" : "Dupont", "given" : "HL", "non-dropping-particle" : "", "parse-names" : false, "suffix" : "" }, { "dropping-particle" : "", "family" : "Garey", "given" : "KW", "non-dropping-particle" : "", "parse-names" : false, "suffix" : "" }, { "dropping-particle" : "", "family" : "Bajaj", "given" : "JS", "non-dropping-particle" : "", "parse-names" : false, "suffix" : "" }, { "dropping-particle" : "", "family" : "Ananthakrishnan", "given" : "AN", "non-dropping-particle" : "", "parse-names" : false, "suffix" : "" }, { "dropping-particle" : "", "family" : "Hafeezullah", "given" : "M", "non-dropping-particle" : "", "parse-names" : false, "suffix" : "" }, { "dropping-particle" : "", "family" : "Campbell", "given" : "R", "non-dropping-particle" : "", "parse-names" : false, "suffix" : "" }, { "dropping-particle" : "", "family" : "Dean", "given" : "B", "non-dropping-particle" : "", "parse-names" : false, "suffix" : "" }, { "dropping-particle" : "", "family" : "Nathanson", "given" : "B", "non-dropping-particle" : "", "parse-names" : false, "suffix" : "" }, { "dropping-particle" : "", "family" : "Haidar", "given" : "T", "non-dropping-particle" : "", "parse-names" : false, "suffix" : "" }, { "dropping-particle" : "", "family" : "Strauss", "given" : "M", "non-dropping-particle" : "", "parse-names" : false, "suffix" : "" }, { "dropping-particle" : "", "family" : "Thomas", "given" : "S", "non-dropping-particle" : "", "parse-names" : false, "suffix" : "" }, { "dropping-particle" : "", "family" : "Damle", "given" : "RN", "non-dropping-particle" : "", "parse-names" : false, "suffix" : "" }, { "dropping-particle" : "", "family" : "Cherng", "given" : "NB", "non-dropping-particle" : "", "parse-names" : false, "suffix" : "" }, { "dropping-particle" : "", "family" : "Flahive", "given" : "JM", "non-dropping-particle" : "", "parse-names" : false, "suffix" : "" }, { "dropping-particle" : "", "family" : "Dubberke", "given" : "ER", "non-dropping-particle" : "", "parse-names" : false, "suffix" : "" }, { "dropping-particle" : "", "family" : "Reske", "given" : "KA", "non-dropping-particle" : "", "parse-names" : false, "suffix" : "" }, { "dropping-particle" : "", "family" : "Olsen", "given" : "MA", "non-dropping-particle" : "", "parse-names" : false, "suffix" : "" }, { "dropping-particle" : "", "family" : "McDonald", "given" : "LC", "non-dropping-particle" : "", "parse-names" : false, "suffix" : "" }, { "dropping-particle" : "", "family" : "Fraser", "given" : "VJ", "non-dropping-particle" : "", "parse-names" : false, "suffix" : "" }, { "dropping-particle" : "", "family" : "Dubberke", "given" : "ER", "non-dropping-particle" : "", "parse-names" : false, "suffix" : "" }, { "dropping-particle" : "", "family" : "Schaefer", "given" : "E", "non-dropping-particle" : "", "parse-names" : false, "suffix" : "" }, { "dropping-particle" : "", "family" : "Reske", "given" : "KA", "non-dropping-particle" : "", "parse-names" : false, "suffix" : "" }, { "dropping-particle" : "", "family" : "Zilberberg", "given" : "M", "non-dropping-particle" : "", "parse-names" : false, "suffix" : "" }, { "dropping-particle" : "", "family" : "Hollenbeak", "given" : "CS", "non-dropping-particle" : "", "parse-names" : false, "suffix" : "" }, { "dropping-particle" : "", "family" : "Olsen", "given" : "MA", "non-dropping-particle" : "", "parse-names" : false, "suffix" : "" }, { "dropping-particle" : "", "family" : "Egorova", "given" : "NN", "non-dropping-particle" : "", "parse-names" : false, "suffix" : "" }, { "dropping-particle" : "", "family" : "Siracuse", "given" : "JJ", "non-dropping-particle" : "", "parse-names" : false, "suffix" : "" }, { "dropping-particle" : "", "family" : "Mckinsey", "given" : "JF", "non-dropping-particle" : "", "parse-names" : false, "suffix" : "" }, { "dropping-particle" : "", "family" : "Nowygrod", "given" : "R", "non-dropping-particle" : "", "parse-names" : false, "suffix" : "" }, { "dropping-particle" : "", "family" : "Flagg", "given" : "A", "non-dropping-particle" : "", "parse-names" : false, "suffix" : "" }, { "dropping-particle" : "", "family" : "Koch", "given" : "CG", "non-dropping-particle" : "", "parse-names" : false, "suffix" : "" }, { "dropping-particle" : "", "family" : "Schiltz", "given" : "N", "non-dropping-particle" : "", "parse-names" : false, "suffix" : "" }, { "dropping-particle" : "", "family" : "Fuller", "given" : "RL", "non-dropping-particle" : "", "parse-names" : false, "suffix" : "" }, { "dropping-particle" : "", "family" : "McCullough", "given" : "EC", "non-dropping-particle" : "", "parse-names" : false, "suffix" : "" }, { "dropping-particle" : "", "family" : "Bao", "given" : "MZ", "non-dropping-particle" : "", "parse-names" : false, "suffix" : "" }, { "dropping-particle" : "", "family" : "Averill", "given" : "RF", "non-dropping-particle" : "", "parse-names" : false, "suffix" : "" }, { "dropping-particle" : "", "family" : "Glance", "given" : "LG", "non-dropping-particle" : "", "parse-names" : false, "suffix" : "" }, { "dropping-particle" : "", "family" : "Stone", "given" : "PW", "non-dropping-particle" : "", "parse-names" : false, "suffix" : "" }, { "dropping-particle" : "", "family" : "Mukamel", "given" : "DB", "non-dropping-particle" : "", "parse-names" : false, "suffix" : "" }, { "dropping-particle" : "", "family" : "Dick", "given" : "AW", "non-dropping-particle" : "", "parse-names" : false, "suffix" : "" }, { "dropping-particle" : "", "family" : "Jiang", "given" : "Y", "non-dropping-particle" : "", "parse-names" : false, "suffix" : "" }, { "dropping-particle" : "", "family" : "Viner-Brown", "given" : "S", "non-dropping-particle" : "", "parse-names" : false, "suffix" : "" }, { "dropping-particle" : "", "family" : "Baier", "given" : "R", "non-dropping-particle" : "", "parse-names" : false, "suffix" : "" }, { "dropping-particle" : "", "family" : "Kim", "given" : "SP", "non-dropping-particle" : "", "parse-names" : false, "suffix" : "" }, { "dropping-particle" : "", "family" : "Shah", "given" : "ND", "non-dropping-particle" : "", "parse-names" : false, "suffix" : "" }, { "dropping-particle" : "", "family" : "Karnes", "given" : "RJ", "non-dropping-particle" : "", "parse-names" : false, "suffix" : "" }, { "dropping-particle" : "", "family" : "Kuntz", "given" : "JL", "non-dropping-particle" : "", "parse-names" : false, "suffix" : "" }, { "dropping-particle" : "", "family" : "Johnson", "given" : "ES", "non-dropping-particle" : "", "parse-names" : false, "suffix" : "" }, { "dropping-particle" : "", "family" : "Raebel", "given" : "MA", "non-dropping-particle" : "", "parse-names" : false, "suffix" : "" }, { "dropping-particle" : "", "family" : "Lagu", "given" : "T", "non-dropping-particle" : "", "parse-names" : false, "suffix" : "" }, { "dropping-particle" : "", "family" : "Stefan", "given" : "MS", "non-dropping-particle" : "", "parse-names" : false, "suffix" : "" }, { "dropping-particle" : "", "family" : "Haessler", "given" : "S", "non-dropping-particle" : "", "parse-names" : false, "suffix" : "" }, { "dropping-particle" : "", "family" : "Lemaire", "given" : "A", "non-dropping-particle" : "", "parse-names" : false, "suffix" : "" }, { "dropping-particle" : "", "family" : "Dombrovskiy", "given" : "V", "non-dropping-particle" : "", "parse-names" : false, "suffix" : "" }, { "dropping-particle" : "", "family" : "Batsides", "given" : "G", "non-dropping-particle" : "", "parse-names" : false, "suffix" : "" }, { "dropping-particle" : "", "family" : "Lawrence", "given" : "SJ", "non-dropping-particle" : "", "parse-names" : false, "suffix" : "" }, { "dropping-particle" : "", "family" : "Puzniak", "given" : "LA", "non-dropping-particle" : "", "parse-names" : false, "suffix" : "" }, { "dropping-particle" : "", "family" : "Shadel", "given" : "BN", "non-dropping-particle" : "", "parse-names" : false, "suffix" : "" }, { "dropping-particle" : "", "family" : "Gillespie", "given" : "KN", "non-dropping-particle" : "", "parse-names" : false, "suffix" : "" }, { "dropping-particle" : "", "family" : "Kollef", "given" : "MH", "non-dropping-particle" : "", "parse-names" : false, "suffix" : "" }, { "dropping-particle" : "", "family" : "Mundy", "given" : "LM", "non-dropping-particle" : "", "parse-names" : false, "suffix" : "" }, { "dropping-particle" : "", "family" : "Lesperance", "given" : "K", "non-dropping-particle" : "", "parse-names" : false, "suffix" : "" }, { "dropping-particle" : "", "family" : "Causey", "given" : "MW", "non-dropping-particle" : "", "parse-names" : false, "suffix" : "" }, { "dropping-particle" : "", "family" : "Spencer", "given" : "M", "non-dropping-particle" : "", "parse-names" : false, "suffix" : "" }, { "dropping-particle" : "", "family" : "Steele", "given" : "SR", "non-dropping-particle" : "", "parse-names" : false, "suffix" : "" }, { "dropping-particle" : "", "family" : "Lipp", "given" : "MJ", "non-dropping-particle" : "", "parse-names" : false, "suffix" : "" }, { "dropping-particle" : "", "family" : "Nero", "given" : "DC", "non-dropping-particle" : "", "parse-names" : false, "suffix" : "" }, { "dropping-particle" : "", "family" : "Callahan", "given" : "MA", "non-dropping-particle" : "", "parse-names" : false, "suffix" : "" }, { "dropping-particle" : "", "family" : "Maltenfort", "given" : "MG", "non-dropping-particle" : "", "parse-names" : false, "suffix" : "" }, { "dropping-particle" : "", "family" : "Rasouli", "given" : "MR", "non-dropping-particle" : "", "parse-names" : false, "suffix" : "" }, { "dropping-particle" : "", "family" : "Morrison", "given" : "TA", "non-dropping-particle" : "", "parse-names" : false, "suffix" : "" }, { "dropping-particle" : "", "family" : "Parvizi", "given" : "J", "non-dropping-particle" : "", "parse-names" : false, "suffix" : "" }, { "dropping-particle" : "", "family" : "Mcglone", "given" : "SM", "non-dropping-particle" : "", "parse-names" : false, "suffix" : "" }, { "dropping-particle" : "", "family" : "Bailey", "given" : "RR", "non-dropping-particle" : "", "parse-names" : false, "suffix" : "" }, { "dropping-particle" : "", "family" : "Zimmer", "given" : "SM", "non-dropping-particle" : "", "parse-names" : false, "suffix" : "" }, { "dropping-particle" : "", "family" : "Nguyen", "given" : "GC", "non-dropping-particle" : "", "parse-names" : false, "suffix" : "" }, { "dropping-particle" : "", "family" : "Kaplan", "given" : "GG", "non-dropping-particle" : "", "parse-names" : false, "suffix" : "" }, { "dropping-particle" : "", "family" : "Harris", "given" : "ML", "non-dropping-particle" : "", "parse-names" : false, "suffix" : "" }, { "dropping-particle" : "", "family" : "Brant", "given" : "SR", "non-dropping-particle" : "", "parse-names" : false, "suffix" : "" }, { "dropping-particle" : "", "family" : "Nylund", "given" : "CM", "non-dropping-particle" : "", "parse-names" : false, "suffix" : "" }, { "dropping-particle" : "", "family" : "Goudie", "given" : "A", "non-dropping-particle" : "", "parse-names" : false, "suffix" : "" }, { "dropping-particle" : "", "family" : "Garza", "given" : "JM", "non-dropping-particle" : "", "parse-names" : false, "suffix" : "" }, { "dropping-particle" : "", "family" : "Fairbrother", "given" : "G", "non-dropping-particle" : "", "parse-names" : false, "suffix" : "" }, { "dropping-particle" : "", "family" : "Cohen", "given" : "MB", "non-dropping-particle" : "", "parse-names" : false, "suffix" : "" }, { "dropping-particle" : "", "family" : "O\u2019Brien", "given" : "JA", "non-dropping-particle" : "", "parse-names" : false, "suffix" : "" }, { "dropping-particle" : "", "family" : "Lahue", "given" : "BJ", "non-dropping-particle" : "", "parse-names" : false, "suffix" : "" }, { "dropping-particle" : "", "family" : "Caro", "given" : "JJ", "non-dropping-particle" : "", "parse-names" : false, "suffix" : "" }, { "dropping-particle" : "", "family" : "Davidson", "given" : "DM", "non-dropping-particle" : "", "parse-names" : false, "suffix" : "" }, { "dropping-particle" : "", "family" : "Pakyz", "given" : "A", "non-dropping-particle" : "", "parse-names" : false, "suffix" : "" }, { "dropping-particle" : "", "family" : "Carroll", "given" : "NV", "non-dropping-particle" : "", "parse-names" : false, "suffix" : "" }, { "dropping-particle" : "", "family" : "Harpe", "given" : "SE", "non-dropping-particle" : "", "parse-names" : false, "suffix" : "" }, { "dropping-particle" : "", "family" : "Oinonen", "given" : "M", "non-dropping-particle" : "", "parse-names" : false, "suffix" : "" }, { "dropping-particle" : "", "family" : "Polk", "given" : "RE", "non-dropping-particle" : "", "parse-names" : false, "suffix" : "" }, { "dropping-particle" : "", "family" : "Pant", "given" : "C", "non-dropping-particle" : "", "parse-names" : false, "suffix" : "" }, { "dropping-particle" : "", "family" : "Anderson", "given" : "MP", "non-dropping-particle" : "", "parse-names" : false, "suffix" : "" }, { "dropping-particle" : "", "family" : "O\u2019Connor", "given" : "JA", "non-dropping-particle" : "", "parse-names" : false, "suffix" : "" }, { "dropping-particle" : "", "family" : "Marshall", "given" : "CM", "non-dropping-particle" : "", "parse-names" : false, "suffix" : "" }, { "dropping-particle" : "", "family" : "Deshpande", "given" : "A", "non-dropping-particle" : "", "parse-names" : false, "suffix" : "" }, { "dropping-particle" : "", "family" : "Sferra", "given" : "TJ", "non-dropping-particle" : "", "parse-names" : false, "suffix" : "" }, { "dropping-particle" : "", "family" : "Pant", "given" : "C", "non-dropping-particle" : "", "parse-names" : false, "suffix" : "" }, { "dropping-particle" : "", "family" : "Deshpande", "given" : "A", "non-dropping-particle" : "", "parse-names" : false, "suffix" : "" }, { "dropping-particle" : "", "family" : "Anderson", "given" : "MP", "non-dropping-particle" : "", "parse-names" : false, "suffix" : "" }, { "dropping-particle" : "", "family" : "Sferra", "given" : "TJ", "non-dropping-particle" : "", "parse-names" : false, "suffix" : "" }, { "dropping-particle" : "", "family" : "Pant", "given" : "C", "non-dropping-particle" : "", "parse-names" : false, "suffix" : "" }, { "dropping-particle" : "", "family" : "Anderson", "given" : "MP", "non-dropping-particle" : "", "parse-names" : false, "suffix" : "" }, { "dropping-particle" : "", "family" : "Deshpande", "given" : "A", "non-dropping-particle" : "", "parse-names" : false, "suffix" : "" }, { "dropping-particle" : "", "family" : "Peery", "given" : "AF", "non-dropping-particle" : "", "parse-names" : false, "suffix" : "" }, { "dropping-particle" : "", "family" : "Dellon", "given" : "ES", "non-dropping-particle" : "", "parse-names" : false, "suffix" : "" }, { "dropping-particle" : "", "family" : "Lund", "given" : "J", "non-dropping-particle" : "", "parse-names" : false, "suffix" : "" }, { "dropping-particle" : "", "family" : "Quimbo", "given" : "RA", "non-dropping-particle" : "", "parse-names" : false, "suffix" : "" }, { "dropping-particle" : "", "family" : "Palli", "given" : "SR", "non-dropping-particle" : "", "parse-names" : false, "suffix" : "" }, { "dropping-particle" : "", "family" : "Singer", "given" : "J", "non-dropping-particle" : "", "parse-names" : false, "suffix" : "" }, { "dropping-particle" : "", "family" : "Strauss", "given" : "ME", "non-dropping-particle" : "", "parse-names" : false, "suffix" : "" }, { "dropping-particle" : "", "family" : "Thomas", "given" : "SM", "non-dropping-particle" : "", "parse-names" : false, "suffix" : "" }, { "dropping-particle" : "", "family" : "Reed", "given" : "IJF", "non-dropping-particle" : "", "parse-names" : false, "suffix" : "" }, { "dropping-particle" : "", "family" : "Edris", "given" : "BA", "non-dropping-particle" : "", "parse-names" : false, "suffix" : "" }, { "dropping-particle" : "", "family" : "Eid", "given" : "S", "non-dropping-particle" : "", "parse-names" : false, "suffix" : "" }, { "dropping-particle" : "", "family" : "Molitoris", "given" : "A", "non-dropping-particle" : "", "parse-names" : false, "suffix" : "" }, { "dropping-particle" : "", "family" : "Sammons", "given" : "JS", "non-dropping-particle" : "", "parse-names" : false, "suffix" : "" }, { "dropping-particle" : "", "family" : "Localio", "given" : "R", "non-dropping-particle" : "", "parse-names" : false, "suffix" : "" }, { "dropping-particle" : "", "family" : "Xiao", "given" : "R", "non-dropping-particle" : "", "parse-names" : false, "suffix" : "" }, { "dropping-particle" : "", "family" : "Coffin", "given" : "SE", "non-dropping-particle" : "", "parse-names" : false, "suffix" : "" }, { "dropping-particle" : "", "family" : "Zaoutis", "given" : "T", "non-dropping-particle" : "", "parse-names" : false, "suffix" : "" }, { "dropping-particle" : "", "family" : "Singal", "given" : "AK", "non-dropping-particle" : "", "parse-names" : false, "suffix" : "" }, { "dropping-particle" : "", "family" : "Salameh", "given" : "H", "non-dropping-particle" : "", "parse-names" : false, "suffix" : "" }, { "dropping-particle" : "", "family" : "Kamath", "given" : "PS", "non-dropping-particle" : "", "parse-names" : false, "suffix" : "" }, { "dropping-particle" : "", "family" : "Song", "given" : "X", "non-dropping-particle" : "", "parse-names" : false, "suffix" : "" }, { "dropping-particle" : "", "family" : "Bartlett", "given" : "JG", "non-dropping-particle" : "", "parse-names" : false, "suffix" : "" }, { "dropping-particle" : "", "family" : "Speck", "given" : "K", "non-dropping-particle" : "", "parse-names" : false, "suffix" : "" }, { "dropping-particle" : "", "family" : "Naegeli", "given" : "A", "non-dropping-particle" : "", "parse-names" : false, "suffix" : "" }, { "dropping-particle" : "", "family" : "Carroll", "given" : "K", "non-dropping-particle" : "", "parse-names" : false, "suffix" : "" }, { "dropping-particle" : "", "family" : "Perl", "given" : "TM", "non-dropping-particle" : "", "parse-names" : false, "suffix" : "" }, { "dropping-particle" : "", "family" : "Stewart", "given" : "DB", "non-dropping-particle" : "", "parse-names" : false, "suffix" : "" }, { "dropping-particle" : "", "family" : "Hollenbeak", "given" : "CS", "non-dropping-particle" : "", "parse-names" : false, "suffix" : "" }, { "dropping-particle" : "", "family" : "Tabak", "given" : "YP", "non-dropping-particle" : "", "parse-names" : false, "suffix" : "" }, { "dropping-particle" : "", "family" : "Zilberberg", "given" : "MD", "non-dropping-particle" : "", "parse-names" : false, "suffix" : "" }, { "dropping-particle" : "", "family" : "Johannes", "given" : "RS", "non-dropping-particle" : "", "parse-names" : false, "suffix" : "" }, { "dropping-particle" : "", "family" : "Sun", "given" : "X", "non-dropping-particle" : "", "parse-names" : false, "suffix" : "" }, { "dropping-particle" : "", "family" : "McDonald", "given" : "LC", "non-dropping-particle" : "", "parse-names" : false, "suffix" : "" }, { "dropping-particle" : "", "family" : "Verlee", "given" : "KE", "non-dropping-particle" : "", "parse-names" : false, "suffix" : "" }, { "dropping-particle" : "", "family" : "Finks", "given" : "JL", "non-dropping-particle" : "", "parse-names" : false, "suffix" : "" }, { "dropping-particle" : "", "family" : "Wilkins", "given" : "MJ", "non-dropping-particle" : "", "parse-names" : false, "suffix" : "" }, { "dropping-particle" : "", "family" : "Wells", "given" : "EV", "non-dropping-particle" : "", "parse-names" : false, "suffix" : "" }, { "dropping-particle" : "", "family" : "Wang", "given" : "L", "non-dropping-particle" : "", "parse-names" : false, "suffix" : "" }, { "dropping-particle" : "", "family" : "Stewart", "given" : "DB", "non-dropping-particle" : "", "parse-names" : false, "suffix" : "" }, { "dropping-particle" : "", "family" : "Wilson", "given" : "MZ", "non-dropping-particle" : "", "parse-names" : false, "suffix" : "" }, { "dropping-particle" : "", "family" : "Hollenbeak", "given" : "CS", "non-dropping-particle" : "", "parse-names" : false, "suffix" : "" }, { "dropping-particle" : "", "family" : "Stewart", "given" : "DB", "non-dropping-particle" : "", "parse-names" : false, "suffix" : "" }, { "dropping-particle" : "", "family" : "Zerey", "given" : "M", "non-dropping-particle" : "", "parse-names" : false, "suffix" : "" }, { "dropping-particle" : "", "family" : "Paton", "given" : "BL", "non-dropping-particle" : "", "parse-names" : false, "suffix" : "" }, { "dropping-particle" : "", "family" : "Lincourt", "given" : "AE", "non-dropping-particle" : "", "parse-names" : false, "suffix" : "" }, { "dropping-particle" : "", "family" : "Gersin", "given" : "KS", "non-dropping-particle" : "", "parse-names" : false, "suffix" : "" }, { "dropping-particle" : "", "family" : "Kercher", "given" : "KW", "non-dropping-particle" : "", "parse-names" : false, "suffix" : "" }, { "dropping-particle" : "", "family" : "Heniford", "given" : "BT", "non-dropping-particle" : "", "parse-names" : false, "suffix" : "" }, { "dropping-particle" : "", "family" : "Zilberberg", "given" : "MD", "non-dropping-particle" : "", "parse-names" : false, "suffix" : "" }, { "dropping-particle" : "", "family" : "Nathanson", "given" : "BH", "non-dropping-particle" : "", "parse-names" : false, "suffix" : "" }, { "dropping-particle" : "", "family" : "Sadigov", "given" : "S", "non-dropping-particle" : "", "parse-names" : false, "suffix" : "" }, { "dropping-particle" : "", "family" : "Higgins", "given" : "TL", "non-dropping-particle" : "", "parse-names" : false, "suffix" : "" }, { "dropping-particle" : "", "family" : "Kollef", "given" : "MH", "non-dropping-particle" : "", "parse-names" : false, "suffix" : "" }, { "dropping-particle" : "", "family" : "Shorr", "given" : "AF", "non-dropping-particle" : "", "parse-names" : false, "suffix" : "" }, { "dropping-particle" : "", "family" : "Kyne", "given" : "L", "non-dropping-particle" : "", "parse-names" : false, "suffix" : "" }, { "dropping-particle" : "", "family" : "Hamel", "given" : "M", "non-dropping-particle" : "", "parse-names" : false, "suffix" : "" }, { "dropping-particle" : "", "family" : "Polavaram", "given" : "R", "non-dropping-particle" : "", "parse-names" : false, "suffix" : "" }, { "dropping-particle" : "", "family" : "Kelly", "given" : "C", "non-dropping-particle" : "", "parse-names" : false, "suffix" : "" }, { "dropping-particle" : "", "family" : "Angelis", "given" : "G", "non-dropping-particle" : "", "parse-names" : false, "suffix" : "" }, { "dropping-particle" : "", "family" : "Murthy", "given" : "AR", "non-dropping-particle" : "", "parse-names" : false, "suffix" : "" }, { "dropping-particle" : "", "family" : "Beyersmann", "given" : "J", "non-dropping-particle" : "", "parse-names" : false, "suffix" : "" }, { "dropping-particle" : "", "family" : "Harbarth", "given" : "S", "non-dropping-particle" : "", "parse-names" : false, "suffix" : "" }, { "dropping-particle" : "", "family" : "Dubberke", "given" : "E", "non-dropping-particle" : "", "parse-names" : false, "suffix" : "" }, { "dropping-particle" : "", "family" : "Carling", "given" : "P", "non-dropping-particle" : "", "parse-names" : false, "suffix" : "" }, { "dropping-particle" : "", "family" : "Carrico", "given" : "R", "non-dropping-particle" : "", "parse-names" : false, "suffix" : "" }, { "dropping-particle" : "", "family" : "Foglia", "given" : "G", "non-dropping-particle" : "", "parse-names" : false, "suffix" : "" }, { "dropping-particle" : "", "family" : "Shah", "given" : "S", "non-dropping-particle" : "", "parse-names" : false, "suffix" : "" }, { "dropping-particle" : "", "family" : "Luxemburger", "given" : "C", "non-dropping-particle" : "", "parse-names" : false, "suffix" : "" }, { "dropping-particle" : "", "family" : "Pietrobon", "given" : "PJF", "non-dropping-particle" : "", "parse-names" : false, "suffix" : "" } ], "container-title" : "BMC Infectious Diseases", "id" : "ITEM-3", "issue" : "1", "issued" : { "date-parts" : [ [ "2016" ] ] }, "page" : "447", "publisher" : "BMC Infectious Diseases", "title" : "Cost of hospital management of Clostridium difficile infection in United States\u2014a meta-analysis and modelling study", "type" : "article-journal", "volume" : "16" }, "uris" : [ "http://www.mendeley.com/documents/?uuid=5f760f23-4ae0-43ca-8f0b-67c11eed44d4" ] } ], "mendeley" : { "formattedCitation" : "\\autocite{Gabriel2014,Zhang2016,Zimlichman2013}", "plainTextFormattedCitation" : "\\autocite{Gabriel2014,Zhang2016,Zimlichman2013}", "previouslyFormattedCitation" : "&lt;sup&gt;3,5,6&lt;/sup&gt;" }, "properties" : { "noteIndex" : 0 }, "schema" : "https://github.com/citation-style-language/schema/raw/master/csl-citation.json" }</w:instrText>
      </w:r>
      <w:r w:rsidR="009A30F1">
        <w:fldChar w:fldCharType="separate"/>
      </w:r>
      <w:r w:rsidR="00717812" w:rsidRPr="00717812">
        <w:rPr>
          <w:noProof/>
        </w:rPr>
        <w:t>\autocite{Gabriel2014,Zhang2016,Zimlichman2013}</w:t>
      </w:r>
      <w:r w:rsidR="009A30F1">
        <w:fldChar w:fldCharType="end"/>
      </w:r>
      <w:r w:rsidR="002F5D62">
        <w:t xml:space="preserve"> </w:t>
      </w:r>
      <w:r w:rsidR="009A30F1">
        <w:t xml:space="preserve">but </w:t>
      </w:r>
      <w:r w:rsidR="00D82272">
        <w:t>changes in the</w:t>
      </w:r>
      <w:r w:rsidR="002F5D62">
        <w:t xml:space="preserve"> case definition </w:t>
      </w:r>
      <w:r w:rsidR="009A30F1">
        <w:t>resulted in</w:t>
      </w:r>
      <w:r w:rsidR="004938CE">
        <w:t xml:space="preserve"> </w:t>
      </w:r>
      <w:r w:rsidR="00690D23">
        <w:t xml:space="preserve">substantial </w:t>
      </w:r>
      <w:r w:rsidR="004938CE">
        <w:t>changes in</w:t>
      </w:r>
      <w:r w:rsidR="002F5D62">
        <w:t xml:space="preserve"> t</w:t>
      </w:r>
      <w:r w:rsidR="00F86877">
        <w:t xml:space="preserve">he </w:t>
      </w:r>
      <w:r w:rsidR="002F5D62">
        <w:t xml:space="preserve">estimated </w:t>
      </w:r>
      <w:r w:rsidR="006B6A94">
        <w:t>difference</w:t>
      </w:r>
      <w:r w:rsidR="00FC60E4">
        <w:t>s</w:t>
      </w:r>
      <w:r w:rsidR="002F5D62">
        <w:t xml:space="preserve"> </w:t>
      </w:r>
      <w:r w:rsidR="00ED33BA">
        <w:t>in</w:t>
      </w:r>
      <w:r w:rsidR="00F317FE">
        <w:t xml:space="preserve"> LO</w:t>
      </w:r>
      <w:r w:rsidR="002F5D62">
        <w:t>S</w:t>
      </w:r>
      <w:r w:rsidR="009A30F1">
        <w:t>.</w:t>
      </w:r>
      <w:r w:rsidR="00B670E9">
        <w:t xml:space="preserve"> </w:t>
      </w:r>
      <w:r w:rsidR="0069114F">
        <w:t xml:space="preserve">Although </w:t>
      </w:r>
      <w:r w:rsidR="009A30F1">
        <w:t>two</w:t>
      </w:r>
      <w:r w:rsidR="0069114F">
        <w:t xml:space="preserve"> hospital</w:t>
      </w:r>
      <w:r w:rsidR="009A30F1">
        <w:t xml:space="preserve">s </w:t>
      </w:r>
      <w:r w:rsidR="00923F5E">
        <w:t>report</w:t>
      </w:r>
      <w:r w:rsidR="008D718A">
        <w:t>ed</w:t>
      </w:r>
      <w:r w:rsidR="00923F5E">
        <w:t xml:space="preserve"> </w:t>
      </w:r>
      <w:r w:rsidR="0069114F">
        <w:t>good concordance between ICD-9 c</w:t>
      </w:r>
      <w:r w:rsidR="004B383D">
        <w:t>odes and CDI toxin assay results</w:t>
      </w:r>
      <w:r w:rsidR="0069114F">
        <w:t>,</w:t>
      </w:r>
      <w:r w:rsidR="0069114F">
        <w:fldChar w:fldCharType="begin" w:fldLock="1"/>
      </w:r>
      <w:r w:rsidR="00717812">
        <w:instrText>ADDIN CSL_CITATION { "citationItems" : [ { "id" : "ITEM-1", "itemData" : { "DOI" : "10.3201/eid1210.060016", "ISBN" : "1080-6040 (Print)\\r1080-6040 (Linking)", "ISSN" : "10806040", "PMID" : "17176576", "abstract" : "We conducted a retrospective cohort study to compare Clostridium difficile-associated disease rates determined by C. difficile-toxin assays and International Classification of Diseases, 9th Revision (ICD-9) codes. The correlation between toxin assay results and ICD-9 codes was good (K = 0.72, p&lt;0.01). The sensitivity of the ICD-9 codes was 78% and the specificity was 99.7%.", "author" : [ { "dropping-particle" : "", "family" : "Dubberke", "given" : "Erik R.", "non-dropping-particle" : "", "parse-names" : false, "suffix" : "" }, { "dropping-particle" : "", "family" : "Reske", "given" : "Kimberly A.", "non-dropping-particle" : "", "parse-names" : false, "suffix" : "" }, { "dropping-particle" : "", "family" : "McDonald", "given" : "L. Clifford", "non-dropping-particle" : "", "parse-names" : false, "suffix" : "" }, { "dropping-particle" : "", "family" : "Fraser", "given" : "Victoria J.", "non-dropping-particle" : "", "parse-names" : false, "suffix" : "" } ], "container-title" : "Emerging Infectious Diseases", "id" : "ITEM-1", "issue" : "10", "issued" : { "date-parts" : [ [ "2006" ] ] }, "page" : "1576-1579", "title" : "ICD-9 codes and surveillance for Clostridium difficile-associated disease", "type" : "article-journal", "volume" : "12" }, "uris" : [ "http://www.mendeley.com/documents/?uuid=2b0f49b3-6b55-4b03-816c-50b167334e6f" ] }, { "id" : "ITEM-2", "itemData" : { "DOI" : "10.1017/S0950268806007655", "ISBN" : "0950-2688 (Print)\\n0950-2688 (Linking)", "ISSN" : "0950-2688", "PMID" : "17156501", "abstract" : "Clostridium difficile (C. diff) is a major nosocomial problem. Epidemiological surveillance of the disease can be accomplished by microbiological or administrative data. Microbiological tracking is problematic since it does not always translate into clinical disease, and it is not always available. Tracking by administrative data is attractive, but ICD-9 code accuracy for C. diff is unknown. By using a large administrative database of hospitalized patients with C. diff (by ICD-9 code or cytotoxic assay), this study found that the sensitivity, specificity, positive, and negative predictive values of ICD-9 coding were 71%, 99%, 87%, and 96% respectively (using micro data as the gold standard). When only using symptomatic patients the sensitivity increased to 82% and when only using symptomatic patients whose test results were available at discharge, the sensitivity increased to 88%. C. diff ICD-9 codes closely approximate true C. diff infection, especially in symptomatic patients whose test results are available at the time of discharge, and can therefore be used as a reasonable alternative to microbiological data for tracking purposes.", "author" : [ { "dropping-particle" : "", "family" : "Scheurer", "given" : "D B", "non-dropping-particle" : "", "parse-names" : false, "suffix" : "" }, { "dropping-particle" : "", "family" : "Hicks", "given" : "L S", "non-dropping-particle" : "", "parse-names" : false, "suffix" : "" }, { "dropping-particle" : "", "family" : "Cook", "given" : "E F", "non-dropping-particle" : "", "parse-names" : false, "suffix" : "" }, { "dropping-particle" : "", "family" : "Schnipper", "given" : "J L", "non-dropping-particle" : "", "parse-names" : false, "suffix" : "" } ], "container-title" : "Epidemiology and infection", "id" : "ITEM-2", "issue" : "6", "issued" : { "date-parts" : [ [ "2007" ] ] }, "page" : "1010-3", "title" : "Accuracy of ICD-9 coding for Clostridium difficile infections: a retrospective cohort.", "type" : "article-journal", "volume" : "135" }, "uris" : [ "http://www.mendeley.com/documents/?uuid=f9515ad6-3685-448d-b837-4a3a7e5249ab" ] } ], "mendeley" : { "formattedCitation" : "\\autocite{Dubberke2006,Scheurer2007}", "plainTextFormattedCitation" : "\\autocite{Dubberke2006,Scheurer2007}", "previouslyFormattedCitation" : "&lt;sup&gt;32,33&lt;/sup&gt;" }, "properties" : { "noteIndex" : 0 }, "schema" : "https://github.com/citation-style-language/schema/raw/master/csl-citation.json" }</w:instrText>
      </w:r>
      <w:r w:rsidR="0069114F">
        <w:fldChar w:fldCharType="separate"/>
      </w:r>
      <w:r w:rsidR="00717812" w:rsidRPr="00717812">
        <w:rPr>
          <w:noProof/>
        </w:rPr>
        <w:t>\autocite{Dubberke2006,Scheurer2007}</w:t>
      </w:r>
      <w:r w:rsidR="0069114F">
        <w:fldChar w:fldCharType="end"/>
      </w:r>
      <w:r w:rsidR="0069114F">
        <w:t xml:space="preserve"> this </w:t>
      </w:r>
      <w:r w:rsidR="00081718">
        <w:t>is not necessarily</w:t>
      </w:r>
      <w:r w:rsidR="0069114F">
        <w:t xml:space="preserve"> the case </w:t>
      </w:r>
      <w:r w:rsidR="000C451D">
        <w:t xml:space="preserve">for </w:t>
      </w:r>
      <w:r w:rsidR="00C56882">
        <w:t xml:space="preserve">all </w:t>
      </w:r>
      <w:r w:rsidR="002F3EC6">
        <w:t>hospital</w:t>
      </w:r>
      <w:r w:rsidR="002C0E03">
        <w:t>s</w:t>
      </w:r>
      <w:r w:rsidR="002F3EC6">
        <w:t xml:space="preserve">. We found </w:t>
      </w:r>
      <w:r w:rsidR="000F40D1">
        <w:t>that 75% of ICD-9 coded visits involved a</w:t>
      </w:r>
      <w:r w:rsidR="002F3EC6">
        <w:t xml:space="preserve"> </w:t>
      </w:r>
      <w:r w:rsidR="001476A2">
        <w:t xml:space="preserve">positive toxin assay, </w:t>
      </w:r>
      <w:r w:rsidR="00023D94">
        <w:t xml:space="preserve">while </w:t>
      </w:r>
      <w:r w:rsidR="000F40D1">
        <w:t xml:space="preserve">only </w:t>
      </w:r>
      <w:r w:rsidR="00F877DD">
        <w:t>46</w:t>
      </w:r>
      <w:r w:rsidR="001476A2">
        <w:t xml:space="preserve">% of visits with a positive toxin assay had </w:t>
      </w:r>
      <w:r w:rsidR="00C91499">
        <w:t>the</w:t>
      </w:r>
      <w:r w:rsidR="004951F8">
        <w:t xml:space="preserve"> </w:t>
      </w:r>
      <w:r w:rsidR="001476A2">
        <w:t>ICD-9 code</w:t>
      </w:r>
      <w:r w:rsidR="00F20D9C">
        <w:t xml:space="preserve"> (</w:t>
      </w:r>
      <w:r w:rsidR="009A40E7">
        <w:t xml:space="preserve">Figure </w:t>
      </w:r>
      <w:r w:rsidR="00F20D9C">
        <w:t>S</w:t>
      </w:r>
      <w:r w:rsidR="009A40E7">
        <w:t>2)</w:t>
      </w:r>
      <w:r w:rsidR="001476A2">
        <w:t>.</w:t>
      </w:r>
      <w:r w:rsidR="007E78AD">
        <w:t xml:space="preserve"> Changes in LOS were not significantly different between </w:t>
      </w:r>
      <w:r w:rsidR="006B6A94">
        <w:t xml:space="preserve">EIA and PCR toxin assays, although our study was limited by </w:t>
      </w:r>
      <w:r w:rsidR="00023D94">
        <w:t xml:space="preserve">a </w:t>
      </w:r>
      <w:r w:rsidR="006B6A94">
        <w:t xml:space="preserve">smaller sample size for EIA (+) cases. </w:t>
      </w:r>
      <w:r w:rsidR="004B383D">
        <w:t>T</w:t>
      </w:r>
      <w:r w:rsidR="00B743A0">
        <w:t xml:space="preserve">oxin assays </w:t>
      </w:r>
      <w:r w:rsidR="004B383D">
        <w:t xml:space="preserve">are </w:t>
      </w:r>
      <w:r w:rsidR="002B078F">
        <w:t>likely</w:t>
      </w:r>
      <w:r w:rsidR="004B383D">
        <w:t xml:space="preserve"> a</w:t>
      </w:r>
      <w:r w:rsidR="00B743A0">
        <w:t xml:space="preserve"> more reliable CDI </w:t>
      </w:r>
      <w:r w:rsidR="00B743A0">
        <w:lastRenderedPageBreak/>
        <w:t xml:space="preserve">definition given </w:t>
      </w:r>
      <w:r w:rsidR="00E61E73">
        <w:t>their basis in</w:t>
      </w:r>
      <w:r w:rsidR="00B743A0">
        <w:t xml:space="preserve"> clinical symptoms and evidence </w:t>
      </w:r>
      <w:r w:rsidR="009F32FA">
        <w:t>for</w:t>
      </w:r>
      <w:r w:rsidR="00B743A0">
        <w:t xml:space="preserve"> CDI, whereas medical coding </w:t>
      </w:r>
      <w:r w:rsidR="004B383D">
        <w:t>suffers from</w:t>
      </w:r>
      <w:r w:rsidR="00B743A0">
        <w:t xml:space="preserve"> bias</w:t>
      </w:r>
      <w:r w:rsidR="004B383D">
        <w:t>es</w:t>
      </w:r>
      <w:r w:rsidR="00B743A0">
        <w:t xml:space="preserve"> introduced by billing and reimbursement</w:t>
      </w:r>
      <w:r w:rsidR="00D05F29">
        <w:t>.</w:t>
      </w:r>
      <w:r w:rsidR="00447D61">
        <w:fldChar w:fldCharType="begin" w:fldLock="1"/>
      </w:r>
      <w:r w:rsidR="00717812">
        <w:instrText>ADDIN CSL_CITATION { "citationItems" : [ { "id" : "ITEM-1", "itemData" : { "DOI" : "10.1186/s13054-015-1048-9", "ISBN" : "1466-609X (Electronic)\\r1364-8535 (Linking)", "ISSN" : "1364-8535", "PMID" : "26369326", "abstract" : "Claims-based analyses report that the incidence of sepsis-associated organ dysfunction is increasing. We examined whether coding practices for acute organ dysfunction are changing over time and if so, whether this is biasing estimates of rising severe sepsis incidence and severity.", "author" : [ { "dropping-particle" : "", "family" : "Rhee", "given" : "Chanu", "non-dropping-particle" : "", "parse-names" : false, "suffix" : "" }, { "dropping-particle" : "V", "family" : "Murphy", "given" : "Michael", "non-dropping-particle" : "", "parse-names" : false, "suffix" : "" }, { "dropping-particle" : "", "family" : "Li", "given" : "Lingling", "non-dropping-particle" : "", "parse-names" : false, "suffix" : "" }, { "dropping-particle" : "", "family" : "Platt", "given" : "Richard", "non-dropping-particle" : "", "parse-names" : false, "suffix" : "" }, { "dropping-particle" : "", "family" : "Klompas", "given" : "Michael", "non-dropping-particle" : "", "parse-names" : false, "suffix" : "" } ], "container-title" : "Critical Care", "id" : "ITEM-1", "issue" : "1", "issued" : { "date-parts" : [ [ "2015" ] ] }, "page" : "1-11", "publisher" : "Critical Care", "title" : "Improving documentation and coding for acute organ dysfunction biases estimates of changing sepsis severity and burden: a retrospective study", "type" : "article-journal", "volume" : "19" }, "uris" : [ "http://www.mendeley.com/documents/?uuid=55ac76c3-865b-4c5c-9645-a12a1af5b235" ] }, { "id" : "ITEM-2", "itemData" : { "ISSN" : "0025-7079", "PMID" : "8277803", "author" : [ { "dropping-particle" : "", "family" : "Romano", "given" : "P S", "non-dropping-particle" : "", "parse-names" : false, "suffix" : "" }, { "dropping-particle" : "", "family" : "Mark", "given" : "D H", "non-dropping-particle" : "", "parse-names" : false, "suffix" : "" } ], "container-title" : "Medical care", "id" : "ITEM-2", "issue" : "1", "issued" : { "date-parts" : [ [ "1994", "1" ] ] }, "page" : "81-90", "title" : "Bias in the coding of hospital discharge data and its implications for quality assessment.", "type" : "article-journal", "volume" : "32" }, "uris" : [ "http://www.mendeley.com/documents/?uuid=d26e0979-9c6c-4e53-89ee-e4717c87518a" ] } ], "mendeley" : { "formattedCitation" : "\\autocite{Rhee2015,Romano1994}", "plainTextFormattedCitation" : "\\autocite{Rhee2015,Romano1994}", "previouslyFormattedCitation" : "&lt;sup&gt;34,35&lt;/sup&gt;" }, "properties" : { "noteIndex" : 0 }, "schema" : "https://github.com/citation-style-language/schema/raw/master/csl-citation.json" }</w:instrText>
      </w:r>
      <w:r w:rsidR="00447D61">
        <w:fldChar w:fldCharType="separate"/>
      </w:r>
      <w:r w:rsidR="00717812" w:rsidRPr="00717812">
        <w:rPr>
          <w:noProof/>
        </w:rPr>
        <w:t>\autocite{Rhee2015,Romano1994}</w:t>
      </w:r>
      <w:r w:rsidR="00447D61">
        <w:fldChar w:fldCharType="end"/>
      </w:r>
    </w:p>
    <w:p w14:paraId="162F3521" w14:textId="1ED6C894" w:rsidR="000D24C8" w:rsidRDefault="007E78AD" w:rsidP="000D24C8">
      <w:pPr>
        <w:ind w:firstLine="720"/>
      </w:pPr>
      <w:r>
        <w:t>Treating CDI as a baseline condition by ignoring the relationship between pre-infection hospital exposure and CDI risk overestimates associated costs.</w:t>
      </w:r>
      <w:r w:rsidR="00FA72D7">
        <w:fldChar w:fldCharType="begin" w:fldLock="1"/>
      </w:r>
      <w:r w:rsidR="00717812">
        <w:instrText>ADDIN CSL_CITATION { "citationItems" : [ { "id" : "ITEM-1", "itemData" : { "DOI" : "10.1017/ice.2015.132", "ISBN" : "1559-6834", "ISSN" : "1559-6834", "PMID" : "26006153", "abstract" : "BACKGROUND Standard estimates of the impact of Clostridium difficile infections (CDI) on inpatient lengths of stay (LOS) may overstate inpatient care costs attributable to CDI. In this study, we used multistate modeling (MSM) of CDI timing to reduce bias in estimates of excess LOS. METHODS A retrospective cohort study of all hospitalizations at any of 120 acute care facilities within the US Department of Veterans Affairs (VA) between 2005 and 2012 was conducted. We estimated the excess LOS attributable to CDI using an MSM to address time-dependent bias. Bootstrapping was used to generate 95% confidence intervals (CI). These estimates were compared to unadjusted differences in mean LOS for hospitalizations with and without CDI. RESULTS During the study period, there were 3.96 million hospitalizations and 43,540 CDIs. A comparison of unadjusted means suggested an excess LOS of 14.0 days (19.4 vs 5.4 days). In contrast, the MSM estimated an attributable LOS of only 2.27 days (95% CI, 2.14-2.40). The excess LOS for mild-to-moderate CDI was 0.75 days (95% CI, 0.59-0.89), and for severe CDI, it was 4.11 days (95% CI, 3.90-4.32). Substantial variation across the Veteran Integrated Services Networks (VISN) was observed. CONCLUSIONS CDI significantly contributes to LOS, but the magnitude of its estimated impact is smaller when methods are used that account for the time-varying nature of infection. The greatest impact on LOS occurred among patients with severe CDI. Significant geographic variability was observed. MSM is a useful tool for obtaining more accurate estimates of the inpatient care costs of CDI. Infect. Control Hosp. Epidemiol. 2015;00(0):1-7.", "author" : [ { "dropping-particle" : "", "family" : "Stevens", "given" : "Vanessa W", "non-dropping-particle" : "", "parse-names" : false, "suffix" : "" }, { "dropping-particle" : "", "family" : "Khader", "given" : "Karim", "non-dropping-particle" : "", "parse-names" : false, "suffix" : "" }, { "dropping-particle" : "", "family" : "Nelson", "given" : "Richard E", "non-dropping-particle" : "", "parse-names" : false, "suffix" : "" }, { "dropping-particle" : "", "family" : "Jones", "given" : "Makoto", "non-dropping-particle" : "", "parse-names" : false, "suffix" : "" }, { "dropping-particle" : "", "family" : "Rubin", "given" : "Michael a", "non-dropping-particle" : "", "parse-names" : false, "suffix" : "" }, { "dropping-particle" : "", "family" : "Brown", "given" : "Kevin a", "non-dropping-particle" : "", "parse-names" : false, "suffix" : "" }, { "dropping-particle" : "", "family" : "Evans", "given" : "Martin E", "non-dropping-particle" : "", "parse-names" : false, "suffix" : "" }, { "dropping-particle" : "", "family" : "Greene", "given" : "Tom", "non-dropping-particle" : "", "parse-names" : false, "suffix" : "" }, { "dropping-particle" : "", "family" : "Slade", "given" : "Eric", "non-dropping-particle" : "", "parse-names" : false, "suffix" : "" }, { "dropping-particle" : "", "family" : "Samore", "given" : "Matthew H", "non-dropping-particle" : "", "parse-names" : false, "suffix" : "" } ], "container-title" : "Infection control and hospital epidemiology", "id" : "ITEM-1", "issue" : "Cdi", "issued" : { "date-parts" : [ [ "2015" ] ] }, "page" : "1-7", "title" : "Excess Length of Stay Attributable to Clostridium difficile Infection (CDI) in the Acute Care Setting: A Multistate Model.", "type" : "article-journal", "volume" : "36" }, "uris" : [ "http://www.mendeley.com/documents/?uuid=48762d07-8992-4ffd-a6c6-cae69631360e" ] }, { "id" : "ITEM-2", "itemData" : { "DOI" : "10.1016/j.ajic.2013.07.006", "ISBN" : "0196-6553\r1527-3296", "ISSN" : "01966553", "PMID" : "24290226", "abstract" : "Background Clostridium difficile infection (CDI) possibly extends hospital length of stay (LOS); however, the current evidence does not account for the time-dependent bias, ie, when infection is incorrectly analyzed as a baseline covariate. The aim of this study was to determine whether CDI increases LOS after managing this bias. Methods We examined the estimated extra LOS because of CDI using a multistate model. Data from all persons hospitalized &gt;48 hours over 4 years in a tertiary hospital in Australia were analyzed. Persons with health care-associated CDIs were identified. Cox proportional hazards models were applied together with multistate modeling. Results One hundred fifty-eight of 58,942 admissions examined had CDI. The mean extra LOS because of infection was 0.9 days (95% confidence interval: -1.8 to 3.6 days, P =.51) when a multistate model was applied. The hazard of discharge was lower in persons who had CDI (adjusted hazard ratio, 0.42; P &lt;.001) when a Cox proportional hazard model was applied. Conclusion This study is the first to use multistate models to determine the extra LOS because of CDI. Results suggest CDI does not significantly contribute to hospital LOS, contradicting findings published elsewhere. Conversely, when methods prone to result in time-dependent bias were applied to the data, the hazard of discharge significantly increased. These findings contribute to discussion on methods used to evaluate LOS and health care-associated infections.", "author" : [ { "dropping-particle" : "", "family" : "Mitchell", "given" : "Brett G.", "non-dropping-particle" : "", "parse-names" : false, "suffix" : "" }, { "dropping-particle" : "", "family" : "Gardner", "given" : "Anne", "non-dropping-particle" : "", "parse-names" : false, "suffix" : "" }, { "dropping-particle" : "", "family" : "Barnett", "given" : "Adrian G.", "non-dropping-particle" : "", "parse-names" : false, "suffix" : "" }, { "dropping-particle" : "", "family" : "Hiller", "given" : "Janet E.", "non-dropping-particle" : "", "parse-names" : false, "suffix" : "" }, { "dropping-particle" : "", "family" : "Graves", "given" : "Nicholas", "non-dropping-particle" : "", "parse-names" : false, "suffix" : "" } ], "container-title" : "American Journal of Infection Control", "id" : "ITEM-2", "issue" : "2", "issued" : { "date-parts" : [ [ "2014" ] ] }, "page" : "164-167", "publisher" : "Elsevier Inc", "title" : "The prolongation of length of stay because of Clostridium difficile infection", "type" : "article-journal", "volume" : "42" }, "uris" : [ "http://www.mendeley.com/documents/?uuid=a1f2dcd7-ed71-4ff1-9e5a-589fada7571d" ] }, { "id" : "ITEM-3", "itemData" : { "DOI" : "10.1086/651110", "ISBN" : "1537-6591 (Electronic)\r1058-4838 (Linking)", "ISSN" : "1537-6591", "PMID" : "20178419", "abstract" : "Monetary valuations of the economic cost of health care-associated infections (HAIs) are important for decision making and should be estimated accurately. Erroneously high estimates of costs, designed to jolt decision makers into action, may do more harm than good in the struggle to attract funding for infection control. Expectations among policy makers might be raised, and then they are disappointed when the reduction in the number of HAIs does not yield the anticipated cost saving. For this article, we critically review the field and discuss 3 questions. Why measure the cost of an HAI? What outcome should be used to measure the cost of an HAI? What is the best method for making this measurement? The aim is to encourage researchers to collect and then disseminate information that accurately guides decisions about the economic value of expanding or changing current infection control activities.", "author" : [ { "dropping-particle" : "", "family" : "Graves", "given" : "Nicholas", "non-dropping-particle" : "", "parse-names" : false, "suffix" : "" }, { "dropping-particle" : "", "family" : "Harbarth", "given" : "Stephan", "non-dropping-particle" : "", "parse-names" : false, "suffix" : "" }, { "dropping-particle" : "", "family" : "Beyersmann", "given" : "Jan", "non-dropping-particle" : "", "parse-names" : false, "suffix" : "" }, { "dropping-particle" : "", "family" : "Barnett", "given" : "Adrian", "non-dropping-particle" : "", "parse-names" : false, "suffix" : "" }, { "dropping-particle" : "", "family" : "Halton", "given" : "Kate", "non-dropping-particle" : "", "parse-names" : false, "suffix" : "" }, { "dropping-particle" : "", "family" : "Cooper", "given" : "Ben", "non-dropping-particle" : "", "parse-names" : false, "suffix" : "" } ], "container-title" : "Clinical Infectious Diseases", "id" : "ITEM-3", "issue" : "7", "issued" : { "date-parts" : [ [ "2010" ] ] }, "page" : "1017-1021", "title" : "Estimating the cost of health care-associated infections: mind your p's and q's.", "type" : "article-journal", "volume" : "50" }, "uris" : [ "http://www.mendeley.com/documents/?uuid=8ac05954-2070-4894-b8be-845b7e0918c8" ] } ], "mendeley" : { "formattedCitation" : "\\autocite{Graves2010,Mitchell2014,Stevens2015}", "plainTextFormattedCitation" : "\\autocite{Graves2010,Mitchell2014,Stevens2015}", "previouslyFormattedCitation" : "&lt;sup&gt;7,24,36&lt;/sup&gt;" }, "properties" : { "noteIndex" : 0 }, "schema" : "https://github.com/citation-style-language/schema/raw/master/csl-citation.json" }</w:instrText>
      </w:r>
      <w:r w:rsidR="00FA72D7">
        <w:fldChar w:fldCharType="separate"/>
      </w:r>
      <w:r w:rsidR="00717812" w:rsidRPr="00717812">
        <w:rPr>
          <w:noProof/>
        </w:rPr>
        <w:t>\autocite{Graves2010,Mitchell2014,Stevens2015}</w:t>
      </w:r>
      <w:r w:rsidR="00FA72D7">
        <w:fldChar w:fldCharType="end"/>
      </w:r>
      <w:r>
        <w:t xml:space="preserve"> </w:t>
      </w:r>
      <w:proofErr w:type="gramStart"/>
      <w:r w:rsidR="008862D4">
        <w:t>Unlike</w:t>
      </w:r>
      <w:proofErr w:type="gramEnd"/>
      <w:r w:rsidR="008862D4">
        <w:t xml:space="preserve"> </w:t>
      </w:r>
      <w:r w:rsidR="002D1AA5">
        <w:t>visit diagnosis codes</w:t>
      </w:r>
      <w:r w:rsidR="008862D4">
        <w:t xml:space="preserve">, toxin assay results provide </w:t>
      </w:r>
      <w:r w:rsidR="006B4BA6">
        <w:t>a</w:t>
      </w:r>
      <w:r w:rsidR="00FC024E">
        <w:t xml:space="preserve"> </w:t>
      </w:r>
      <w:r w:rsidR="00701FAD">
        <w:t xml:space="preserve">presumptive </w:t>
      </w:r>
      <w:r w:rsidR="00FC024E">
        <w:t>time-to-infection</w:t>
      </w:r>
      <w:r w:rsidR="00D05F29">
        <w:t xml:space="preserve"> that</w:t>
      </w:r>
      <w:r w:rsidR="008862D4">
        <w:t xml:space="preserve"> </w:t>
      </w:r>
      <w:r w:rsidR="000554C3">
        <w:t>w</w:t>
      </w:r>
      <w:r w:rsidR="00512937">
        <w:t xml:space="preserve">e </w:t>
      </w:r>
      <w:r w:rsidR="008862D4">
        <w:t xml:space="preserve">incorporated into </w:t>
      </w:r>
      <w:r w:rsidR="00512937">
        <w:t xml:space="preserve">two </w:t>
      </w:r>
      <w:r w:rsidR="00DC25F6">
        <w:t>different</w:t>
      </w:r>
      <w:r w:rsidR="00512937">
        <w:t xml:space="preserve"> </w:t>
      </w:r>
      <w:r w:rsidR="006B5603">
        <w:t xml:space="preserve">statistical </w:t>
      </w:r>
      <w:r w:rsidR="00A82F0D">
        <w:t>methods</w:t>
      </w:r>
      <w:r w:rsidR="00A57FDA">
        <w:t xml:space="preserve"> </w:t>
      </w:r>
      <w:r w:rsidR="00FF4175">
        <w:t>address</w:t>
      </w:r>
      <w:r w:rsidR="00511164">
        <w:t>ing</w:t>
      </w:r>
      <w:r w:rsidR="008862D4">
        <w:t xml:space="preserve"> time-dependent bias</w:t>
      </w:r>
      <w:r w:rsidR="006B5603">
        <w:t xml:space="preserve">. </w:t>
      </w:r>
      <w:r w:rsidR="00EA5EFE">
        <w:t xml:space="preserve">When using </w:t>
      </w:r>
      <w:r w:rsidR="009E3B82">
        <w:t>a</w:t>
      </w:r>
      <w:r w:rsidR="006C5936">
        <w:t xml:space="preserve"> case definition of either toxin assay being positive</w:t>
      </w:r>
      <w:r w:rsidR="006B5603">
        <w:t xml:space="preserve">, the measured </w:t>
      </w:r>
      <w:r w:rsidR="005C741A">
        <w:t>difference</w:t>
      </w:r>
      <w:r w:rsidR="005F553E">
        <w:t xml:space="preserve"> in</w:t>
      </w:r>
      <w:r w:rsidR="0024267C">
        <w:t xml:space="preserve"> LOS</w:t>
      </w:r>
      <w:r w:rsidR="006B5603">
        <w:t xml:space="preserve"> </w:t>
      </w:r>
      <w:r w:rsidR="0049482B">
        <w:t>in</w:t>
      </w:r>
      <w:r w:rsidR="006B5603">
        <w:t xml:space="preserve"> the multistate model correspond</w:t>
      </w:r>
      <w:r w:rsidR="00E946A8">
        <w:t>ed</w:t>
      </w:r>
      <w:r w:rsidR="006B5603">
        <w:t xml:space="preserve"> closely with the </w:t>
      </w:r>
      <w:r w:rsidR="005C741A">
        <w:t>difference</w:t>
      </w:r>
      <w:r w:rsidR="005140AE">
        <w:t xml:space="preserve"> </w:t>
      </w:r>
      <w:r w:rsidR="00F11CE1">
        <w:t>seen in the</w:t>
      </w:r>
      <w:r w:rsidR="006B5603">
        <w:t xml:space="preserve"> “early HA</w:t>
      </w:r>
      <w:r w:rsidR="00B01F91">
        <w:t>” stratum</w:t>
      </w:r>
      <w:r w:rsidR="005D5D46">
        <w:t xml:space="preserve"> of </w:t>
      </w:r>
      <w:r w:rsidR="001F085D">
        <w:t>a</w:t>
      </w:r>
      <w:r w:rsidR="005D5D46">
        <w:t xml:space="preserve"> time-</w:t>
      </w:r>
      <w:r w:rsidR="00D55BCA">
        <w:t>stratified</w:t>
      </w:r>
      <w:r w:rsidR="005D5D46">
        <w:t xml:space="preserve"> propensity-matched analysis</w:t>
      </w:r>
      <w:r w:rsidR="00DD1FFB">
        <w:t xml:space="preserve"> </w:t>
      </w:r>
      <w:r w:rsidR="00780421">
        <w:t>(3</w:t>
      </w:r>
      <w:r w:rsidR="006E6469">
        <w:t>·</w:t>
      </w:r>
      <w:r w:rsidR="00780421">
        <w:t>3</w:t>
      </w:r>
      <w:r>
        <w:t xml:space="preserve"> vs. 3</w:t>
      </w:r>
      <w:r w:rsidR="006E6469">
        <w:t>·</w:t>
      </w:r>
      <w:r>
        <w:t>1</w:t>
      </w:r>
      <w:r w:rsidR="00780421">
        <w:t xml:space="preserve"> days)</w:t>
      </w:r>
      <w:r w:rsidR="00F06789">
        <w:t xml:space="preserve">. </w:t>
      </w:r>
      <w:r w:rsidR="00064C13">
        <w:t xml:space="preserve">This </w:t>
      </w:r>
      <w:r w:rsidR="00BD1FE0">
        <w:t>suggests</w:t>
      </w:r>
      <w:r w:rsidR="005F1353">
        <w:t xml:space="preserve"> that </w:t>
      </w:r>
      <w:r w:rsidR="00EC0661">
        <w:t>measured difference</w:t>
      </w:r>
      <w:r w:rsidR="00431A7E">
        <w:t>s</w:t>
      </w:r>
      <w:r w:rsidR="004C087C">
        <w:t xml:space="preserve"> in this study</w:t>
      </w:r>
      <w:r w:rsidR="00BD07D1">
        <w:t xml:space="preserve"> </w:t>
      </w:r>
      <w:r w:rsidR="00F662E8">
        <w:t>robustly reflect</w:t>
      </w:r>
      <w:r w:rsidR="007F3609">
        <w:t xml:space="preserve"> </w:t>
      </w:r>
      <w:r w:rsidR="002F062E">
        <w:t>associated</w:t>
      </w:r>
      <w:r w:rsidR="007F3609">
        <w:t xml:space="preserve"> costs </w:t>
      </w:r>
      <w:r w:rsidR="00DE4C75">
        <w:t>of</w:t>
      </w:r>
      <w:r w:rsidR="001144D4">
        <w:t xml:space="preserve"> </w:t>
      </w:r>
      <w:r w:rsidR="006C3AA5">
        <w:t>HA-</w:t>
      </w:r>
      <w:r w:rsidR="00BD07D1">
        <w:t>CDI</w:t>
      </w:r>
      <w:r w:rsidR="004274DD">
        <w:t xml:space="preserve"> in </w:t>
      </w:r>
      <w:r w:rsidR="00260998">
        <w:t>our</w:t>
      </w:r>
      <w:r w:rsidR="004274DD">
        <w:t xml:space="preserve"> patient population</w:t>
      </w:r>
      <w:r w:rsidR="00B9659F">
        <w:t>.</w:t>
      </w:r>
      <w:r w:rsidR="006F4BF4">
        <w:t xml:space="preserve"> </w:t>
      </w:r>
      <w:r w:rsidR="00AF5030">
        <w:t>Since estimates for</w:t>
      </w:r>
      <w:r w:rsidR="00233914">
        <w:t xml:space="preserve"> each</w:t>
      </w:r>
      <w:r w:rsidR="00AF5030">
        <w:t xml:space="preserve"> </w:t>
      </w:r>
      <w:r w:rsidR="00991118">
        <w:t xml:space="preserve">time-to-infection </w:t>
      </w:r>
      <w:r w:rsidR="00A450C9">
        <w:t>stratum</w:t>
      </w:r>
      <w:r w:rsidR="00AF5030">
        <w:t xml:space="preserve"> in</w:t>
      </w:r>
      <w:r w:rsidR="00233914">
        <w:t xml:space="preserve"> </w:t>
      </w:r>
      <w:r w:rsidR="004E18A4">
        <w:t>the matching</w:t>
      </w:r>
      <w:r w:rsidR="00233914">
        <w:t xml:space="preserve"> analysis differ</w:t>
      </w:r>
      <w:r w:rsidR="00A445C4">
        <w:t>ed</w:t>
      </w:r>
      <w:r w:rsidR="00233914">
        <w:t xml:space="preserve"> </w:t>
      </w:r>
      <w:r w:rsidR="004312BB">
        <w:t>greatly</w:t>
      </w:r>
      <w:r w:rsidR="009B495F">
        <w:t xml:space="preserve"> (Figure 3)</w:t>
      </w:r>
      <w:r w:rsidR="00AF5030">
        <w:t xml:space="preserve">, </w:t>
      </w:r>
      <w:r w:rsidR="008B09B3">
        <w:t>time-to-infection</w:t>
      </w:r>
      <w:r w:rsidR="00AF5030">
        <w:t xml:space="preserve"> clearly contribute</w:t>
      </w:r>
      <w:r w:rsidR="0066692A">
        <w:t>d</w:t>
      </w:r>
      <w:r w:rsidR="00AF5030">
        <w:t xml:space="preserve"> bias </w:t>
      </w:r>
      <w:r w:rsidR="00AF5030" w:rsidRPr="00556E30">
        <w:t>to the unstratified analysis</w:t>
      </w:r>
      <w:r w:rsidR="00F5585D">
        <w:t xml:space="preserve"> (Figure 2)</w:t>
      </w:r>
      <w:r w:rsidR="00BC3B4F" w:rsidRPr="00556E30">
        <w:t xml:space="preserve">, </w:t>
      </w:r>
      <w:r w:rsidR="00F652A2">
        <w:t xml:space="preserve">demonstrating </w:t>
      </w:r>
      <w:r w:rsidR="00A0561F">
        <w:t>how</w:t>
      </w:r>
      <w:r w:rsidR="00AF5030" w:rsidRPr="00556E30">
        <w:t xml:space="preserve"> </w:t>
      </w:r>
      <w:r w:rsidR="00D05F29">
        <w:t xml:space="preserve">the many </w:t>
      </w:r>
      <w:r w:rsidR="00CE6576">
        <w:t>studies</w:t>
      </w:r>
      <w:r w:rsidR="004B4B1C">
        <w:t xml:space="preserve"> </w:t>
      </w:r>
      <w:r w:rsidR="00AF5030" w:rsidRPr="00556E30">
        <w:t xml:space="preserve">that </w:t>
      </w:r>
      <w:r w:rsidR="00F60E4C">
        <w:t xml:space="preserve">ignore </w:t>
      </w:r>
      <w:r w:rsidR="00BC640E">
        <w:t>this</w:t>
      </w:r>
      <w:r w:rsidR="00F60E4C">
        <w:t xml:space="preserve"> </w:t>
      </w:r>
      <w:r w:rsidR="00FD12E0">
        <w:t>bias</w:t>
      </w:r>
      <w:r w:rsidR="00190971">
        <w:fldChar w:fldCharType="begin" w:fldLock="1"/>
      </w:r>
      <w:r w:rsidR="00717812">
        <w:instrText>ADDIN CSL_CITATION { "citationItems" : [ { "id" : "ITEM-1", "itemData" : { "DOI" : "10.1001/jamainternmed.2013.9763", "ISBN" : "2168-6114", "ISSN" : "2168-6114", "PMID" : "23999949", "abstract" : "IMPORTANCE: Health care-associated infections (HAIs) account for a large proportion of the harms caused by health care and are associated with high costs. Better evaluation of the costs of these infections could help providers and payers to justify investing in prevention.\\n\\nOBJECTIVE: To estimate costs associated with the most significant and targetable HAIs.\\n\\nDATA SOURCES: For estimation of attributable costs, we conducted a systematic review of the literature using PubMed for the years 1986 through April 2013. For HAI incidence estimates, we used the National Healthcare Safety Network of the Centers for Disease Control and Prevention (CDC).\\n\\nSTUDY SELECTION: Studies performed outside the United States were excluded. Inclusion criteria included a robust method of comparison using a matched control group or an appropriate regression strategy, generalizable populations typical of inpatient wards and critical care units, methodologic consistency with CDC definitions, and soundness of handling economic outcomes.\\n\\nDATA EXTRACTION AND SYNTHESIS: Three review cycles were completed, with the final iteration carried out from July 2011 to April 2013. Selected publications underwent a secondary review by the research team.\\n\\nMAIN OUTCOMES AND MEASURES: Costs, inflated to 2012 US dollars.\\n\\nRESULTS: Using Monte Carlo simulation, we generated point estimates and 95% CIs for attributable costs and length of hospital stay. On a per-case basis, central line-associated bloodstream infections were found to be the most costly HAIs at $45,814 (95% CI, $30,919-$65,245), followed by ventilator-associated pneumonia at $40,144 (95% CI, $36,286-$44,220), surgical site infections at $20,785 (95% CI, $18,902-$22,667), Clostridium difficile infection at $11,285 (95% CI, $9118-$13,574), and catheter-associated urinary tract infections at $896 (95% CI, $603-$1189). The total annual costs for the 5 major infections were $9.8 billion (95% CI, $8.3-$11.5 billion), with surgical site infections contributing the most to overall costs (33.7% of the total), followed by ventilator-associated pneumonia (31.6%), central line-associated bloodstream infections (18.9%), C difficile infections (15.4%), and catheter-associated urinary tract infections (&lt;1%).\\n\\nCONCLUSIONS AND RELEVANCE: While quality improvement initiatives have decreased HAI incidence and costs, much more remains to be done. As hospitals realize savings from prevention of these complications under payment reforms, the\u2026", "author" : [ { "dropping-particle" : "", "family" : "Zimlichman", "given" : "Eyal", "non-dropping-particle" : "", "parse-names" : false, "suffix" : "" }, { "dropping-particle" : "", "family" : "Henderson", "given" : "Daniel", "non-dropping-particle" : "", "parse-names" : false, "suffix" : "" }, { "dropping-particle" : "", "family" : "Tamir", "given" : "Orly", "non-dropping-particle" : "", "parse-names" : false, "suffix" : "" }, { "dropping-particle" : "", "family" : "Franz", "given" : "Calvin", "non-dropping-particle" : "", "parse-names" : false, "suffix" : "" }, { "dropping-particle" : "", "family" : "Song", "given" : "Peter", "non-dropping-particle" : "", "parse-names" : false, "suffix" : "" }, { "dropping-particle" : "", "family" : "Yamin", "given" : "Cyrus K.", "non-dropping-particle" : "", "parse-names" : false, "suffix" : "" }, { "dropping-particle" : "", "family" : "Keohane", "given" : "Carol", "non-dropping-particle" : "", "parse-names" : false, "suffix" : "" }, { "dropping-particle" : "", "family" : "Denham", "given" : "Charles R.", "non-dropping-particle" : "", "parse-names" : false, "suffix" : "" }, { "dropping-particle" : "", "family" : "Bates", "given" : "David W.", "non-dropping-particle" : "", "parse-names" : false, "suffix" : "" } ], "container-title" : "JAMA internal medicine", "id" : "ITEM-1", "issue" : "22", "issued" : { "date-parts" : [ [ "2013" ] ] }, "page" : "2039-46", "title" : "Health care-associated infections: a meta-analysis of costs and financial impact on the US health care system.", "type" : "article-journal", "volume" : "173" }, "uris" : [ "http://www.mendeley.com/documents/?uuid=c3782faa-a896-4aff-bdab-e8997d58b765" ] }, { "id" : "ITEM-2", "itemData" : { "DOI" : "10.1016/j.jhin.2014.04.011", "ISBN" : "1532-2939 (Electronic)\\r0195-6701 (Linking)", "ISSN" : "15322939", "PMID" : "24996516", "abstract" : "In most healthcare systems, third-party payers fund the costs for patients admitted to hospital for Clostridium difficile infection (CDI) whereas, for CDI cases arising as complications of hospitalization, not all related costs are refundable to the hospital. We therefore aimed to critically review and categorize hospital costs and length of hospital stay (LOS) attributable to Clostridium difficile infection and to investigate the economic burden associated with it. A comprehensive literature review selected papers describing the costs and LOS for hospitalized patients as outcomes of CDI, following the use of statisticsto identify costs and LOS solely attributable to CDI. Twenty-four studies were selected. Estimated attributable costs, all ranges expressed in US dollars, were $6,774-$10,212 for CDI requiring admission, $2,992-$29,000 for hospital-acquired CDI, and $2,454-$12,850 where no categorization was made. The ranges for LOS values were 5-13.6, 2.7-21.3, and 2.8-17.9 days, respectively. The categorization of CDI attributable costs allows budget holders to anticipate the cost per CDI case, a perspective that should enrich the design of appropriate incentives for the various budget holders to invest in prevention so that CDI prevention is optimized globally. ?? 2014 The Healthcare Infection Society.", "author" : [ { "dropping-particle" : "", "family" : "Gabriel", "given" : "L.", "non-dropping-particle" : "", "parse-names" : false, "suffix" : "" }, { "dropping-particle" : "", "family" : "Beriot-Mathiot", "given" : "A.", "non-dropping-particle" : "", "parse-names" : false, "suffix" : "" } ], "container-title" : "Journal of Hospital Infection", "id" : "ITEM-2", "issue" : "1", "issued" : { "date-parts" : [ [ "2014" ] ] }, "page" : "12-21", "publisher" : "Elsevier Ltd", "title" : "Hospitalization stay and costs attributable to Clostridium difficile infection: A critical review", "type" : "article-journal", "volume" : "88" }, "uris" : [ "http://www.mendeley.com/documents/?uuid=4cff00f0-7c90-4a16-9e07-102871cb16ae" ] }, { "id" : "ITEM-3", "itemData" : { "DOI" : "10.1186/s12879-016-1786-6", "ISSN" : "1471-2334", "abstract" : "Clostridium difficile infection (CDI) is the leading cause of infectious nosocomial diarrhoea but the economic costs of CDI on healthcare systems in the US remain uncertain. We conducted a systematic search for published studies investigating the direct medical cost associated with CDI hospital management in the past 10\u00a0years (2005\u20132015) and included 42 studies to the final data analysis to estimate the financial impact of CDI in the US. We also conducted a meta-analysis of all costs using Monte Carlo simulation. The average cost for CDI case management and average CDI-attributable costs per case were $42,316 (90\u00a0% CI: $39,886, $44,765) and $21,448 (90\u00a0% CI: $21,152, $21,744) in 2015 US dollars. Hospital-onset CDI-attributable cost per case was $34,157 (90\u00a0% CI: $33,134, $35,180), which was 1.5 times the cost of community-onset CDI ($20,095 [90\u00a0% CI: $4991, $35,204]). The average and incremental length of stay (LOS) for CDI inpatient treatment were 11.1 (90\u00a0% CI: 8.7\u201313.6) and 9.7 (90\u00a0% CI: 9.6\u20139.8) days respectively. Total annual CDI-attributable cost in the US is estimated US$6.3 (Range: $1.9\u2013$7.0) billion. Total annual CDI hospital management required nearly 2.4 million days of inpatient stay. This review indicates that CDI places a significant financial burden on the US healthcare system. This review adds strong evidence to aid policy-making on adequate resource allocation to CDI prevention and treatment in the US. Future studies should focus on recurrent CDI, CDI in long-term care facilities and persons with comorbidities and indirect cost from a societal perspective. Health-economic studies for CDI preventive intervention are needed.", "author" : [ { "dropping-particle" : "", "family" : "Zhang", "given" : "Shanshan", "non-dropping-particle" : "", "parse-names" : false, "suffix" : "" }, { "dropping-particle" : "", "family" : "Palazuelos-Munoz", "given" : "Sarah", "non-dropping-particle" : "", "parse-names" : false, "suffix" : "" }, { "dropping-particle" : "", "family" : "Balsells", "given" : "Evelyn M.", "non-dropping-particle" : "", "parse-names" : false, "suffix" : "" }, { "dropping-particle" : "", "family" : "Nair", "given" : "Harish", "non-dropping-particle" : "", "parse-names" : false, "suffix" : "" }, { "dropping-particle" : "", "family" : "Chit", "given" : "Ayman", "non-dropping-particle" : "", "parse-names" : false, "suffix" : "" }, { "dropping-particle" : "", "family" : "Kyaw", "given" : "Moe H.", "non-dropping-particle" : "", "parse-names" : false, "suffix" : "" }, { "dropping-particle" : "", "family" : "Crobach", "given" : "M", "non-dropping-particle" : "", "parse-names" : false, "suffix" : "" }, { "dropping-particle" : "", "family" : "Dekkers", "given" : "O", "non-dropping-particle" : "", "parse-names" : false, "suffix" : "" }, { "dropping-particle" : "", "family" : "Wilcox", "given" : "M", "non-dropping-particle" : "", "parse-names" : false, "suffix" : "" }, { "dropping-particle" : "", "family" : "Kuijper", "given" : "E", "non-dropping-particle" : "", "parse-names" : false, "suffix" : "" }, { "dropping-particle" : "", "family" : "Dubberke", "given" : "ER", "non-dropping-particle" : "", "parse-names" : false, "suffix" : "" }, { "dropping-particle" : "", "family" : "Carling", "given" : "P", "non-dropping-particle" : "", "parse-names" : false, "suffix" : "" }, { "dropping-particle" : "", "family" : "Carrico", "given" : "R", "non-dropping-particle" : "", "parse-names" : false, "suffix" : "" }, { "dropping-particle" : "", "family" : "Mylonakis", "given" : "E", "non-dropping-particle" : "", "parse-names" : false, "suffix" : "" }, { "dropping-particle" : "", "family" : "Ryan", "given" : "E", "non-dropping-particle" : "", "parse-names" : false, "suffix" : "" }, { "dropping-particle" : "", "family" : "Calderwood", "given" : "S", "non-dropping-particle" : "", "parse-names" : false, "suffix" : "" }, { "dropping-particle" : "", "family" : "Rubin", "given" : "M", "non-dropping-particle" : "", "parse-names" : false, "suffix" : "" }, { "dropping-particle" : "", "family" : "Bodenstein", "given" : "L", "non-dropping-particle" : "", "parse-names" : false, "suffix" : "" }, { "dropping-particle" : "", "family" : "Kent", "given" : "K", "non-dropping-particle" : "", "parse-names" : false, "suffix" : "" }, { "dropping-particle" : "", "family" : "Triadafilopoulos", "given" : "G", "non-dropping-particle" : "", "parse-names" : false, "suffix" : "" }, { "dropping-particle" : "", "family" : "Hallstone", "given" : "AE", "non-dropping-particle" : "", "parse-names" : false, "suffix" : "" }, { "dropping-particle" : "", "family" : "Sanchez", "given" : "T", "non-dropping-particle" : "", "parse-names" : false, "suffix" : "" }, { "dropping-particle" : "", "family" : "Brooks", "given" : "J", "non-dropping-particle" : "", "parse-names" : false, "suffix" : "" }, { "dropping-particle" : "", "family" : "Sullivan", "given" : "P", "non-dropping-particle" : "", "parse-names" : false, "suffix" : "" }, { "dropping-particle" : "", "family" : "Bilgrami", "given" : "S", "non-dropping-particle" : "", "parse-names" : false, "suffix" : "" }, { "dropping-particle" : "", "family" : "Feingold", "given" : "J", "non-dropping-particle" : "", "parse-names" : false, "suffix" : "" }, { "dropping-particle" : "", "family" : "Dorsky", "given" : "D", "non-dropping-particle" : "", "parse-names" : false, "suffix" : "" }, { "dropping-particle" : "", "family" : "Barbut", "given" : "F", "non-dropping-particle" : "", "parse-names" : false, "suffix" : "" }, { "dropping-particle" : "", "family" : "Corthier", "given" : "G", "non-dropping-particle" : "", "parse-names" : false, "suffix" : "" }, { "dropping-particle" : "", "family" : "Charpak", "given" : "Y", "non-dropping-particle" : "", "parse-names" : false, "suffix" : "" }, { "dropping-particle" : "", "family" : "Cohen", "given" : "S", "non-dropping-particle" : "", "parse-names" : false, "suffix" : "" }, { "dropping-particle" : "", "family" : "Gerding", "given" : "D", "non-dropping-particle" : "", "parse-names" : false, "suffix" : "" }, { "dropping-particle" : "", "family" : "Johnson", "given" : "S", "non-dropping-particle" : "", "parse-names" : false, "suffix" : "" }, { "dropping-particle" : "", "family" : "Bignardi", "given" : "G", "non-dropping-particle" : "", "parse-names" : false, "suffix" : "" }, { "dropping-particle" : "", "family" : "Aseeri", "given" : "M", "non-dropping-particle" : "", "parse-names" : false, "suffix" : "" }, { "dropping-particle" : "", "family" : "Schroeder", "given" : "T", "non-dropping-particle" : "", "parse-names" : false, "suffix" : "" }, { "dropping-particle" : "", "family" : "Kramer", "given" : "J", "non-dropping-particle" : "", "parse-names" : false, "suffix" : "" }, { "dropping-particle" : "", "family" : "Zackula", "given" : "R", "non-dropping-particle" : "", "parse-names" : false, "suffix" : "" }, { "dropping-particle" : "", "family" : "Bauer", "given" : "M", "non-dropping-particle" : "", "parse-names" : false, "suffix" : "" }, { "dropping-particle" : "", "family" : "Notermans", "given" : "D", "non-dropping-particle" : "", "parse-names" : false, "suffix" : "" }, { "dropping-particle" : "", "family" : "Benthem", "given" : "B", "non-dropping-particle" : "", "parse-names" : false, "suffix" : "" }, { "dropping-particle" : "", "family" : "Dubberke", "given" : "ER", "non-dropping-particle" : "", "parse-names" : false, "suffix" : "" }, { "dropping-particle" : "", "family" : "Wertheimer", "given" : "AI", "non-dropping-particle" : "", "parse-names" : false, "suffix" : "" }, { "dropping-particle" : "", "family" : "Dubberke", "given" : "ER", "non-dropping-particle" : "", "parse-names" : false, "suffix" : "" }, { "dropping-particle" : "", "family" : "Olsen", "given" : "MA", "non-dropping-particle" : "", "parse-names" : false, "suffix" : "" }, { "dropping-particle" : "", "family" : "Gabriel", "given" : "L", "non-dropping-particle" : "", "parse-names" : false, "suffix" : "" }, { "dropping-particle" : "", "family" : "Beriot-Mathiot", "given" : "A", "non-dropping-particle" : "", "parse-names" : false, "suffix" : "" }, { "dropping-particle" : "", "family" : "Ghantoji", "given" : "SS", "non-dropping-particle" : "", "parse-names" : false, "suffix" : "" }, { "dropping-particle" : "", "family" : "Sail", "given" : "K", "non-dropping-particle" : "", "parse-names" : false, "suffix" : "" }, { "dropping-particle" : "", "family" : "Lairson", "given" : "DR", "non-dropping-particle" : "", "parse-names" : false, "suffix" : "" }, { "dropping-particle" : "", "family" : "Dupont", "given" : "HL", "non-dropping-particle" : "", "parse-names" : false, "suffix" : "" }, { "dropping-particle" : "", "family" : "Garey", "given" : "KW", "non-dropping-particle" : "", "parse-names" : false, "suffix" : "" }, { "dropping-particle" : "", "family" : "Zimlichman", "given" : "E", "non-dropping-particle" : "", "parse-names" : false, "suffix" : "" }, { "dropping-particle" : "", "family" : "Henderson", "given" : "D", "non-dropping-particle" : "", "parse-names" : false, "suffix" : "" }, { "dropping-particle" : "", "family" : "Tamir", "given" : "O", "non-dropping-particle" : "", "parse-names" : false, "suffix" : "" }, { "dropping-particle" : "", "family" : "Johnson", "given" : "S", "non-dropping-particle" : "", "parse-names" : false, "suffix" : "" }, { "dropping-particle" : "", "family" : "Mergenhagen", "given" : "KA", "non-dropping-particle" : "", "parse-names" : false, "suffix" : "" }, { "dropping-particle" : "", "family" : "Wojciechowski", "given" : "AL", "non-dropping-particle" : "", "parse-names" : false, "suffix" : "" }, { "dropping-particle" : "", "family" : "Paladino", "given" : "JA", "non-dropping-particle" : "", "parse-names" : false, "suffix" : "" }, { "dropping-particle" : "", "family" : "Wiegand", "given" : "PN", "non-dropping-particle" : "", "parse-names" : false, "suffix" : "" }, { "dropping-particle" : "", "family" : "Nathwani", "given" : "D", "non-dropping-particle" : "", "parse-names" : false, "suffix" : "" }, { "dropping-particle" : "", "family" : "Wilcox", "given" : "MH", "non-dropping-particle" : "", "parse-names" : false, "suffix" : "" }, { "dropping-particle" : "", "family" : "Stephens", "given" : "J", "non-dropping-particle" : "", "parse-names" : false, "suffix" : "" }, { "dropping-particle" : "", "family" : "Shelbaya", "given" : "A", "non-dropping-particle" : "", "parse-names" : false, "suffix" : "" }, { "dropping-particle" : "", "family" : "Haider", "given" : "S", "non-dropping-particle" : "", "parse-names" : false, "suffix" : "" }, { "dropping-particle" : "", "family" : "Bouza", "given" : "E", "non-dropping-particle" : "", "parse-names" : false, "suffix" : "" }, { "dropping-particle" : "", "family" : "Jha", "given" : "A", "non-dropping-particle" : "", "parse-names" : false, "suffix" : "" }, { "dropping-particle" : "", "family" : "Chan", "given" : "D", "non-dropping-particle" : "", "parse-names" : false, "suffix" : "" }, { "dropping-particle" : "", "family" : "Ridgway", "given" : "A", "non-dropping-particle" : "", "parse-names" : false, "suffix" : "" }, { "dropping-particle" : "", "family" : "Franz", "given" : "C", "non-dropping-particle" : "", "parse-names" : false, "suffix" : "" }, { "dropping-particle" : "", "family" : "Bates", "given" : "DW", "non-dropping-particle" : "", "parse-names" : false, "suffix" : "" }, { "dropping-particle" : "", "family" : "Lessa", "given" : "FC", "non-dropping-particle" : "", "parse-names" : false, "suffix" : "" }, { "dropping-particle" : "", "family" : "Winston", "given" : "LG", "non-dropping-particle" : "", "parse-names" : false, "suffix" : "" }, { "dropping-particle" : "", "family" : "McDonald", "given" : "LC", "non-dropping-particle" : "", "parse-names" : false, "suffix" : "" }, { "dropping-particle" : "", "family" : "Nanwa", "given" : "N", "non-dropping-particle" : "", "parse-names" : false, "suffix" : "" }, { "dropping-particle" : "", "family" : "Kendzerska", "given" : "T", "non-dropping-particle" : "", "parse-names" : false, "suffix" : "" }, { "dropping-particle" : "", "family" : "Krahn", "given" : "M", "non-dropping-particle" : "", "parse-names" : false, "suffix" : "" }, { "dropping-particle" : "", "family" : "Ali", "given" : "M", "non-dropping-particle" : "", "parse-names" : false, "suffix" : "" }, { "dropping-particle" : "", "family" : "Ananthakrishnan", "given" : "AN", "non-dropping-particle" : "", "parse-names" : false, "suffix" : "" }, { "dropping-particle" : "", "family" : "Ahmad", "given" : "S", "non-dropping-particle" : "", "parse-names" : false, "suffix" : "" }, { "dropping-particle" : "", "family" : "Kumar", "given" : "N", "non-dropping-particle" : "", "parse-names" : false, "suffix" : "" }, { "dropping-particle" : "", "family" : "Kumar", "given" : "G", "non-dropping-particle" : "", "parse-names" : false, "suffix" : "" }, { "dropping-particle" : "", "family" : "Saeian", "given" : "K", "non-dropping-particle" : "", "parse-names" : false, "suffix" : "" }, { "dropping-particle" : "", "family" : "Ananthakrishnan", "given" : "AN", "non-dropping-particle" : "", "parse-names" : false, "suffix" : "" }, { "dropping-particle" : "", "family" : "Mcginley", "given" : "EL", "non-dropping-particle" : "", "parse-names" : false, "suffix" : "" }, { "dropping-particle" : "", "family" : "Binion", "given" : "DG", "non-dropping-particle" : "", "parse-names" : false, "suffix" : "" }, { "dropping-particle" : "", "family" : "Arora", "given" : "V", "non-dropping-particle" : "", "parse-names" : false, "suffix" : "" }, { "dropping-particle" : "", "family" : "Kachroo", "given" : "S", "non-dropping-particle" : "", "parse-names" : false, "suffix" : "" }, { "dropping-particle" : "", "family" : "Ghantoji", "given" : "SS", "non-dropping-particle" : "", "parse-names" : false, "suffix" : "" }, { "dropping-particle" : "", "family" : "Dupont", "given" : "HL", "non-dropping-particle" : "", "parse-names" : false, "suffix" : "" }, { "dropping-particle" : "", "family" : "Garey", "given" : "KW", "non-dropping-particle" : "", "parse-names" : false, "suffix" : "" }, { "dropping-particle" : "", "family" : "Bajaj", "given" : "JS", "non-dropping-particle" : "", "parse-names" : false, "suffix" : "" }, { "dropping-particle" : "", "family" : "Ananthakrishnan", "given" : "AN", "non-dropping-particle" : "", "parse-names" : false, "suffix" : "" }, { "dropping-particle" : "", "family" : "Hafeezullah", "given" : "M", "non-dropping-particle" : "", "parse-names" : false, "suffix" : "" }, { "dropping-particle" : "", "family" : "Campbell", "given" : "R", "non-dropping-particle" : "", "parse-names" : false, "suffix" : "" }, { "dropping-particle" : "", "family" : "Dean", "given" : "B", "non-dropping-particle" : "", "parse-names" : false, "suffix" : "" }, { "dropping-particle" : "", "family" : "Nathanson", "given" : "B", "non-dropping-particle" : "", "parse-names" : false, "suffix" : "" }, { "dropping-particle" : "", "family" : "Haidar", "given" : "T", "non-dropping-particle" : "", "parse-names" : false, "suffix" : "" }, { "dropping-particle" : "", "family" : "Strauss", "given" : "M", "non-dropping-particle" : "", "parse-names" : false, "suffix" : "" }, { "dropping-particle" : "", "family" : "Thomas", "given" : "S", "non-dropping-particle" : "", "parse-names" : false, "suffix" : "" }, { "dropping-particle" : "", "family" : "Damle", "given" : "RN", "non-dropping-particle" : "", "parse-names" : false, "suffix" : "" }, { "dropping-particle" : "", "family" : "Cherng", "given" : "NB", "non-dropping-particle" : "", "parse-names" : false, "suffix" : "" }, { "dropping-particle" : "", "family" : "Flahive", "given" : "JM", "non-dropping-particle" : "", "parse-names" : false, "suffix" : "" }, { "dropping-particle" : "", "family" : "Dubberke", "given" : "ER", "non-dropping-particle" : "", "parse-names" : false, "suffix" : "" }, { "dropping-particle" : "", "family" : "Reske", "given" : "KA", "non-dropping-particle" : "", "parse-names" : false, "suffix" : "" }, { "dropping-particle" : "", "family" : "Olsen", "given" : "MA", "non-dropping-particle" : "", "parse-names" : false, "suffix" : "" }, { "dropping-particle" : "", "family" : "McDonald", "given" : "LC", "non-dropping-particle" : "", "parse-names" : false, "suffix" : "" }, { "dropping-particle" : "", "family" : "Fraser", "given" : "VJ", "non-dropping-particle" : "", "parse-names" : false, "suffix" : "" }, { "dropping-particle" : "", "family" : "Dubberke", "given" : "ER", "non-dropping-particle" : "", "parse-names" : false, "suffix" : "" }, { "dropping-particle" : "", "family" : "Schaefer", "given" : "E", "non-dropping-particle" : "", "parse-names" : false, "suffix" : "" }, { "dropping-particle" : "", "family" : "Reske", "given" : "KA", "non-dropping-particle" : "", "parse-names" : false, "suffix" : "" }, { "dropping-particle" : "", "family" : "Zilberberg", "given" : "M", "non-dropping-particle" : "", "parse-names" : false, "suffix" : "" }, { "dropping-particle" : "", "family" : "Hollenbeak", "given" : "CS", "non-dropping-particle" : "", "parse-names" : false, "suffix" : "" }, { "dropping-particle" : "", "family" : "Olsen", "given" : "MA", "non-dropping-particle" : "", "parse-names" : false, "suffix" : "" }, { "dropping-particle" : "", "family" : "Egorova", "given" : "NN", "non-dropping-particle" : "", "parse-names" : false, "suffix" : "" }, { "dropping-particle" : "", "family" : "Siracuse", "given" : "JJ", "non-dropping-particle" : "", "parse-names" : false, "suffix" : "" }, { "dropping-particle" : "", "family" : "Mckinsey", "given" : "JF", "non-dropping-particle" : "", "parse-names" : false, "suffix" : "" }, { "dropping-particle" : "", "family" : "Nowygrod", "given" : "R", "non-dropping-particle" : "", "parse-names" : false, "suffix" : "" }, { "dropping-particle" : "", "family" : "Flagg", "given" : "A", "non-dropping-particle" : "", "parse-names" : false, "suffix" : "" }, { "dropping-particle" : "", "family" : "Koch", "given" : "CG", "non-dropping-particle" : "", "parse-names" : false, "suffix" : "" }, { "dropping-particle" : "", "family" : "Schiltz", "given" : "N", "non-dropping-particle" : "", "parse-names" : false, "suffix" : "" }, { "dropping-particle" : "", "family" : "Fuller", "given" : "RL", "non-dropping-particle" : "", "parse-names" : false, "suffix" : "" }, { "dropping-particle" : "", "family" : "McCullough", "given" : "EC", "non-dropping-particle" : "", "parse-names" : false, "suffix" : "" }, { "dropping-particle" : "", "family" : "Bao", "given" : "MZ", "non-dropping-particle" : "", "parse-names" : false, "suffix" : "" }, { "dropping-particle" : "", "family" : "Averill", "given" : "RF", "non-dropping-particle" : "", "parse-names" : false, "suffix" : "" }, { "dropping-particle" : "", "family" : "Glance", "given" : "LG", "non-dropping-particle" : "", "parse-names" : false, "suffix" : "" }, { "dropping-particle" : "", "family" : "Stone", "given" : "PW", "non-dropping-particle" : "", "parse-names" : false, "suffix" : "" }, { "dropping-particle" : "", "family" : "Mukamel", "given" : "DB", "non-dropping-particle" : "", "parse-names" : false, "suffix" : "" }, { "dropping-particle" : "", "family" : "Dick", "given" : "AW", "non-dropping-particle" : "", "parse-names" : false, "suffix" : "" }, { "dropping-particle" : "", "family" : "Jiang", "given" : "Y", "non-dropping-particle" : "", "parse-names" : false, "suffix" : "" }, { "dropping-particle" : "", "family" : "Viner-Brown", "given" : "S", "non-dropping-particle" : "", "parse-names" : false, "suffix" : "" }, { "dropping-particle" : "", "family" : "Baier", "given" : "R", "non-dropping-particle" : "", "parse-names" : false, "suffix" : "" }, { "dropping-particle" : "", "family" : "Kim", "given" : "SP", "non-dropping-particle" : "", "parse-names" : false, "suffix" : "" }, { "dropping-particle" : "", "family" : "Shah", "given" : "ND", "non-dropping-particle" : "", "parse-names" : false, "suffix" : "" }, { "dropping-particle" : "", "family" : "Karnes", "given" : "RJ", "non-dropping-particle" : "", "parse-names" : false, "suffix" : "" }, { "dropping-particle" : "", "family" : "Kuntz", "given" : "JL", "non-dropping-particle" : "", "parse-names" : false, "suffix" : "" }, { "dropping-particle" : "", "family" : "Johnson", "given" : "ES", "non-dropping-particle" : "", "parse-names" : false, "suffix" : "" }, { "dropping-particle" : "", "family" : "Raebel", "given" : "MA", "non-dropping-particle" : "", "parse-names" : false, "suffix" : "" }, { "dropping-particle" : "", "family" : "Lagu", "given" : "T", "non-dropping-particle" : "", "parse-names" : false, "suffix" : "" }, { "dropping-particle" : "", "family" : "Stefan", "given" : "MS", "non-dropping-particle" : "", "parse-names" : false, "suffix" : "" }, { "dropping-particle" : "", "family" : "Haessler", "given" : "S", "non-dropping-particle" : "", "parse-names" : false, "suffix" : "" }, { "dropping-particle" : "", "family" : "Lemaire", "given" : "A", "non-dropping-particle" : "", "parse-names" : false, "suffix" : "" }, { "dropping-particle" : "", "family" : "Dombrovskiy", "given" : "V", "non-dropping-particle" : "", "parse-names" : false, "suffix" : "" }, { "dropping-particle" : "", "family" : "Batsides", "given" : "G", "non-dropping-particle" : "", "parse-names" : false, "suffix" : "" }, { "dropping-particle" : "", "family" : "Lawrence", "given" : "SJ", "non-dropping-particle" : "", "parse-names" : false, "suffix" : "" }, { "dropping-particle" : "", "family" : "Puzniak", "given" : "LA", "non-dropping-particle" : "", "parse-names" : false, "suffix" : "" }, { "dropping-particle" : "", "family" : "Shadel", "given" : "BN", "non-dropping-particle" : "", "parse-names" : false, "suffix" : "" }, { "dropping-particle" : "", "family" : "Gillespie", "given" : "KN", "non-dropping-particle" : "", "parse-names" : false, "suffix" : "" }, { "dropping-particle" : "", "family" : "Kollef", "given" : "MH", "non-dropping-particle" : "", "parse-names" : false, "suffix" : "" }, { "dropping-particle" : "", "family" : "Mundy", "given" : "LM", "non-dropping-particle" : "", "parse-names" : false, "suffix" : "" }, { "dropping-particle" : "", "family" : "Lesperance", "given" : "K", "non-dropping-particle" : "", "parse-names" : false, "suffix" : "" }, { "dropping-particle" : "", "family" : "Causey", "given" : "MW", "non-dropping-particle" : "", "parse-names" : false, "suffix" : "" }, { "dropping-particle" : "", "family" : "Spencer", "given" : "M", "non-dropping-particle" : "", "parse-names" : false, "suffix" : "" }, { "dropping-particle" : "", "family" : "Steele", "given" : "SR", "non-dropping-particle" : "", "parse-names" : false, "suffix" : "" }, { "dropping-particle" : "", "family" : "Lipp", "given" : "MJ", "non-dropping-particle" : "", "parse-names" : false, "suffix" : "" }, { "dropping-particle" : "", "family" : "Nero", "given" : "DC", "non-dropping-particle" : "", "parse-names" : false, "suffix" : "" }, { "dropping-particle" : "", "family" : "Callahan", "given" : "MA", "non-dropping-particle" : "", "parse-names" : false, "suffix" : "" }, { "dropping-particle" : "", "family" : "Maltenfort", "given" : "MG", "non-dropping-particle" : "", "parse-names" : false, "suffix" : "" }, { "dropping-particle" : "", "family" : "Rasouli", "given" : "MR", "non-dropping-particle" : "", "parse-names" : false, "suffix" : "" }, { "dropping-particle" : "", "family" : "Morrison", "given" : "TA", "non-dropping-particle" : "", "parse-names" : false, "suffix" : "" }, { "dropping-particle" : "", "family" : "Parvizi", "given" : "J", "non-dropping-particle" : "", "parse-names" : false, "suffix" : "" }, { "dropping-particle" : "", "family" : "Mcglone", "given" : "SM", "non-dropping-particle" : "", "parse-names" : false, "suffix" : "" }, { "dropping-particle" : "", "family" : "Bailey", "given" : "RR", "non-dropping-particle" : "", "parse-names" : false, "suffix" : "" }, { "dropping-particle" : "", "family" : "Zimmer", "given" : "SM", "non-dropping-particle" : "", "parse-names" : false, "suffix" : "" }, { "dropping-particle" : "", "family" : "Nguyen", "given" : "GC", "non-dropping-particle" : "", "parse-names" : false, "suffix" : "" }, { "dropping-particle" : "", "family" : "Kaplan", "given" : "GG", "non-dropping-particle" : "", "parse-names" : false, "suffix" : "" }, { "dropping-particle" : "", "family" : "Harris", "given" : "ML", "non-dropping-particle" : "", "parse-names" : false, "suffix" : "" }, { "dropping-particle" : "", "family" : "Brant", "given" : "SR", "non-dropping-particle" : "", "parse-names" : false, "suffix" : "" }, { "dropping-particle" : "", "family" : "Nylund", "given" : "CM", "non-dropping-particle" : "", "parse-names" : false, "suffix" : "" }, { "dropping-particle" : "", "family" : "Goudie", "given" : "A", "non-dropping-particle" : "", "parse-names" : false, "suffix" : "" }, { "dropping-particle" : "", "family" : "Garza", "given" : "JM", "non-dropping-particle" : "", "parse-names" : false, "suffix" : "" }, { "dropping-particle" : "", "family" : "Fairbrother", "given" : "G", "non-dropping-particle" : "", "parse-names" : false, "suffix" : "" }, { "dropping-particle" : "", "family" : "Cohen", "given" : "MB", "non-dropping-particle" : "", "parse-names" : false, "suffix" : "" }, { "dropping-particle" : "", "family" : "O\u2019Brien", "given" : "JA", "non-dropping-particle" : "", "parse-names" : false, "suffix" : "" }, { "dropping-particle" : "", "family" : "Lahue", "given" : "BJ", "non-dropping-particle" : "", "parse-names" : false, "suffix" : "" }, { "dropping-particle" : "", "family" : "Caro", "given" : "JJ", "non-dropping-particle" : "", "parse-names" : false, "suffix" : "" }, { "dropping-particle" : "", "family" : "Davidson", "given" : "DM", "non-dropping-particle" : "", "parse-names" : false, "suffix" : "" }, { "dropping-particle" : "", "family" : "Pakyz", "given" : "A", "non-dropping-particle" : "", "parse-names" : false, "suffix" : "" }, { "dropping-particle" : "", "family" : "Carroll", "given" : "NV", "non-dropping-particle" : "", "parse-names" : false, "suffix" : "" }, { "dropping-particle" : "", "family" : "Harpe", "given" : "SE", "non-dropping-particle" : "", "parse-names" : false, "suffix" : "" }, { "dropping-particle" : "", "family" : "Oinonen", "given" : "M", "non-dropping-particle" : "", "parse-names" : false, "suffix" : "" }, { "dropping-particle" : "", "family" : "Polk", "given" : "RE", "non-dropping-particle" : "", "parse-names" : false, "suffix" : "" }, { "dropping-particle" : "", "family" : "Pant", "given" : "C", "non-dropping-particle" : "", "parse-names" : false, "suffix" : "" }, { "dropping-particle" : "", "family" : "Anderson", "given" : "MP", "non-dropping-particle" : "", "parse-names" : false, "suffix" : "" }, { "dropping-particle" : "", "family" : "O\u2019Connor", "given" : "JA", "non-dropping-particle" : "", "parse-names" : false, "suffix" : "" }, { "dropping-particle" : "", "family" : "Marshall", "given" : "CM", "non-dropping-particle" : "", "parse-names" : false, "suffix" : "" }, { "dropping-particle" : "", "family" : "Deshpande", "given" : "A", "non-dropping-particle" : "", "parse-names" : false, "suffix" : "" }, { "dropping-particle" : "", "family" : "Sferra", "given" : "TJ", "non-dropping-particle" : "", "parse-names" : false, "suffix" : "" }, { "dropping-particle" : "", "family" : "Pant", "given" : "C", "non-dropping-particle" : "", "parse-names" : false, "suffix" : "" }, { "dropping-particle" : "", "family" : "Deshpande", "given" : "A", "non-dropping-particle" : "", "parse-names" : false, "suffix" : "" }, { "dropping-particle" : "", "family" : "Anderson", "given" : "MP", "non-dropping-particle" : "", "parse-names" : false, "suffix" : "" }, { "dropping-particle" : "", "family" : "Sferra", "given" : "TJ", "non-dropping-particle" : "", "parse-names" : false, "suffix" : "" }, { "dropping-particle" : "", "family" : "Pant", "given" : "C", "non-dropping-particle" : "", "parse-names" : false, "suffix" : "" }, { "dropping-particle" : "", "family" : "Anderson", "given" : "MP", "non-dropping-particle" : "", "parse-names" : false, "suffix" : "" }, { "dropping-particle" : "", "family" : "Deshpande", "given" : "A", "non-dropping-particle" : "", "parse-names" : false, "suffix" : "" }, { "dropping-particle" : "", "family" : "Peery", "given" : "AF", "non-dropping-particle" : "", "parse-names" : false, "suffix" : "" }, { "dropping-particle" : "", "family" : "Dellon", "given" : "ES", "non-dropping-particle" : "", "parse-names" : false, "suffix" : "" }, { "dropping-particle" : "", "family" : "Lund", "given" : "J", "non-dropping-particle" : "", "parse-names" : false, "suffix" : "" }, { "dropping-particle" : "", "family" : "Quimbo", "given" : "RA", "non-dropping-particle" : "", "parse-names" : false, "suffix" : "" }, { "dropping-particle" : "", "family" : "Palli", "given" : "SR", "non-dropping-particle" : "", "parse-names" : false, "suffix" : "" }, { "dropping-particle" : "", "family" : "Singer", "given" : "J", "non-dropping-particle" : "", "parse-names" : false, "suffix" : "" }, { "dropping-particle" : "", "family" : "Strauss", "given" : "ME", "non-dropping-particle" : "", "parse-names" : false, "suffix" : "" }, { "dropping-particle" : "", "family" : "Thomas", "given" : "SM", "non-dropping-particle" : "", "parse-names" : false, "suffix" : "" }, { "dropping-particle" : "", "family" : "Reed", "given" : "IJF", "non-dropping-particle" : "", "parse-names" : false, "suffix" : "" }, { "dropping-particle" : "", "family" : "Edris", "given" : "BA", "non-dropping-particle" : "", "parse-names" : false, "suffix" : "" }, { "dropping-particle" : "", "family" : "Eid", "given" : "S", "non-dropping-particle" : "", "parse-names" : false, "suffix" : "" }, { "dropping-particle" : "", "family" : "Molitoris", "given" : "A", "non-dropping-particle" : "", "parse-names" : false, "suffix" : "" }, { "dropping-particle" : "", "family" : "Sammons", "given" : "JS", "non-dropping-particle" : "", "parse-names" : false, "suffix" : "" }, { "dropping-particle" : "", "family" : "Localio", "given" : "R", "non-dropping-particle" : "", "parse-names" : false, "suffix" : "" }, { "dropping-particle" : "", "family" : "Xiao", "given" : "R", "non-dropping-particle" : "", "parse-names" : false, "suffix" : "" }, { "dropping-particle" : "", "family" : "Coffin", "given" : "SE", "non-dropping-particle" : "", "parse-names" : false, "suffix" : "" }, { "dropping-particle" : "", "family" : "Zaoutis", "given" : "T", "non-dropping-particle" : "", "parse-names" : false, "suffix" : "" }, { "dropping-particle" : "", "family" : "Singal", "given" : "AK", "non-dropping-particle" : "", "parse-names" : false, "suffix" : "" }, { "dropping-particle" : "", "family" : "Salameh", "given" : "H", "non-dropping-particle" : "", "parse-names" : false, "suffix" : "" }, { "dropping-particle" : "", "family" : "Kamath", "given" : "PS", "non-dropping-particle" : "", "parse-names" : false, "suffix" : "" }, { "dropping-particle" : "", "family" : "Song", "given" : "X", "non-dropping-particle" : "", "parse-names" : false, "suffix" : "" }, { "dropping-particle" : "", "family" : "Bartlett", "given" : "JG", "non-dropping-particle" : "", "parse-names" : false, "suffix" : "" }, { "dropping-particle" : "", "family" : "Speck", "given" : "K", "non-dropping-particle" : "", "parse-names" : false, "suffix" : "" }, { "dropping-particle" : "", "family" : "Naegeli", "given" : "A", "non-dropping-particle" : "", "parse-names" : false, "suffix" : "" }, { "dropping-particle" : "", "family" : "Carroll", "given" : "K", "non-dropping-particle" : "", "parse-names" : false, "suffix" : "" }, { "dropping-particle" : "", "family" : "Perl", "given" : "TM", "non-dropping-particle" : "", "parse-names" : false, "suffix" : "" }, { "dropping-particle" : "", "family" : "Stewart", "given" : "DB", "non-dropping-particle" : "", "parse-names" : false, "suffix" : "" }, { "dropping-particle" : "", "family" : "Hollenbeak", "given" : "CS", "non-dropping-particle" : "", "parse-names" : false, "suffix" : "" }, { "dropping-particle" : "", "family" : "Tabak", "given" : "YP", "non-dropping-particle" : "", "parse-names" : false, "suffix" : "" }, { "dropping-particle" : "", "family" : "Zilberberg", "given" : "MD", "non-dropping-particle" : "", "parse-names" : false, "suffix" : "" }, { "dropping-particle" : "", "family" : "Johannes", "given" : "RS", "non-dropping-particle" : "", "parse-names" : false, "suffix" : "" }, { "dropping-particle" : "", "family" : "Sun", "given" : "X", "non-dropping-particle" : "", "parse-names" : false, "suffix" : "" }, { "dropping-particle" : "", "family" : "McDonald", "given" : "LC", "non-dropping-particle" : "", "parse-names" : false, "suffix" : "" }, { "dropping-particle" : "", "family" : "Verlee", "given" : "KE", "non-dropping-particle" : "", "parse-names" : false, "suffix" : "" }, { "dropping-particle" : "", "family" : "Finks", "given" : "JL", "non-dropping-particle" : "", "parse-names" : false, "suffix" : "" }, { "dropping-particle" : "", "family" : "Wilkins", "given" : "MJ", "non-dropping-particle" : "", "parse-names" : false, "suffix" : "" }, { "dropping-particle" : "", "family" : "Wells", "given" : "EV", "non-dropping-particle" : "", "parse-names" : false, "suffix" : "" }, { "dropping-particle" : "", "family" : "Wang", "given" : "L", "non-dropping-particle" : "", "parse-names" : false, "suffix" : "" }, { "dropping-particle" : "", "family" : "Stewart", "given" : "DB", "non-dropping-particle" : "", "parse-names" : false, "suffix" : "" }, { "dropping-particle" : "", "family" : "Wilson", "given" : "MZ", "non-dropping-particle" : "", "parse-names" : false, "suffix" : "" }, { "dropping-particle" : "", "family" : "Hollenbeak", "given" : "CS", "non-dropping-particle" : "", "parse-names" : false, "suffix" : "" }, { "dropping-particle" : "", "family" : "Stewart", "given" : "DB", "non-dropping-particle" : "", "parse-names" : false, "suffix" : "" }, { "dropping-particle" : "", "family" : "Zerey", "given" : "M", "non-dropping-particle" : "", "parse-names" : false, "suffix" : "" }, { "dropping-particle" : "", "family" : "Paton", "given" : "BL", "non-dropping-particle" : "", "parse-names" : false, "suffix" : "" }, { "dropping-particle" : "", "family" : "Lincourt", "given" : "AE", "non-dropping-particle" : "", "parse-names" : false, "suffix" : "" }, { "dropping-particle" : "", "family" : "Gersin", "given" : "KS", "non-dropping-particle" : "", "parse-names" : false, "suffix" : "" }, { "dropping-particle" : "", "family" : "Kercher", "given" : "KW", "non-dropping-particle" : "", "parse-names" : false, "suffix" : "" }, { "dropping-particle" : "", "family" : "Heniford", "given" : "BT", "non-dropping-particle" : "", "parse-names" : false, "suffix" : "" }, { "dropping-particle" : "", "family" : "Zilberberg", "given" : "MD", "non-dropping-particle" : "", "parse-names" : false, "suffix" : "" }, { "dropping-particle" : "", "family" : "Nathanson", "given" : "BH", "non-dropping-particle" : "", "parse-names" : false, "suffix" : "" }, { "dropping-particle" : "", "family" : "Sadigov", "given" : "S", "non-dropping-particle" : "", "parse-names" : false, "suffix" : "" }, { "dropping-particle" : "", "family" : "Higgins", "given" : "TL", "non-dropping-particle" : "", "parse-names" : false, "suffix" : "" }, { "dropping-particle" : "", "family" : "Kollef", "given" : "MH", "non-dropping-particle" : "", "parse-names" : false, "suffix" : "" }, { "dropping-particle" : "", "family" : "Shorr", "given" : "AF", "non-dropping-particle" : "", "parse-names" : false, "suffix" : "" }, { "dropping-particle" : "", "family" : "Kyne", "given" : "L", "non-dropping-particle" : "", "parse-names" : false, "suffix" : "" }, { "dropping-particle" : "", "family" : "Hamel", "given" : "M", "non-dropping-particle" : "", "parse-names" : false, "suffix" : "" }, { "dropping-particle" : "", "family" : "Polavaram", "given" : "R", "non-dropping-particle" : "", "parse-names" : false, "suffix" : "" }, { "dropping-particle" : "", "family" : "Kelly", "given" : "C", "non-dropping-particle" : "", "parse-names" : false, "suffix" : "" }, { "dropping-particle" : "", "family" : "Angelis", "given" : "G", "non-dropping-particle" : "", "parse-names" : false, "suffix" : "" }, { "dropping-particle" : "", "family" : "Murthy", "given" : "AR", "non-dropping-particle" : "", "parse-names" : false, "suffix" : "" }, { "dropping-particle" : "", "family" : "Beyersmann", "given" : "J", "non-dropping-particle" : "", "parse-names" : false, "suffix" : "" }, { "dropping-particle" : "", "family" : "Harbarth", "given" : "S", "non-dropping-particle" : "", "parse-names" : false, "suffix" : "" }, { "dropping-particle" : "", "family" : "Dubberke", "given" : "E", "non-dropping-particle" : "", "parse-names" : false, "suffix" : "" }, { "dropping-particle" : "", "family" : "Carling", "given" : "P", "non-dropping-particle" : "", "parse-names" : false, "suffix" : "" }, { "dropping-particle" : "", "family" : "Carrico", "given" : "R", "non-dropping-particle" : "", "parse-names" : false, "suffix" : "" }, { "dropping-particle" : "", "family" : "Foglia", "given" : "G", "non-dropping-particle" : "", "parse-names" : false, "suffix" : "" }, { "dropping-particle" : "", "family" : "Shah", "given" : "S", "non-dropping-particle" : "", "parse-names" : false, "suffix" : "" }, { "dropping-particle" : "", "family" : "Luxemburger", "given" : "C", "non-dropping-particle" : "", "parse-names" : false, "suffix" : "" }, { "dropping-particle" : "", "family" : "Pietrobon", "given" : "PJF", "non-dropping-particle" : "", "parse-names" : false, "suffix" : "" } ], "container-title" : "BMC Infectious Diseases", "id" : "ITEM-3", "issue" : "1", "issued" : { "date-parts" : [ [ "2016" ] ] }, "page" : "447", "publisher" : "BMC Infectious Diseases", "title" : "Cost of hospital management of Clostridium difficile infection in United States\u2014a meta-analysis and modelling study", "type" : "article-journal", "volume" : "16" }, "uris" : [ "http://www.mendeley.com/documents/?uuid=5f760f23-4ae0-43ca-8f0b-67c11eed44d4" ] } ], "mendeley" : { "formattedCitation" : "\\autocite{Gabriel2014,Zhang2016,Zimlichman2013}", "plainTextFormattedCitation" : "\\autocite{Gabriel2014,Zhang2016,Zimlichman2013}", "previouslyFormattedCitation" : "&lt;sup&gt;3,5,6&lt;/sup&gt;" }, "properties" : { "noteIndex" : 0 }, "schema" : "https://github.com/citation-style-language/schema/raw/master/csl-citation.json" }</w:instrText>
      </w:r>
      <w:r w:rsidR="00190971">
        <w:fldChar w:fldCharType="separate"/>
      </w:r>
      <w:r w:rsidR="00717812" w:rsidRPr="00717812">
        <w:rPr>
          <w:noProof/>
        </w:rPr>
        <w:t>\autocite{Gabriel2014,Zhang2016,Zimlichman2013}</w:t>
      </w:r>
      <w:r w:rsidR="00190971">
        <w:fldChar w:fldCharType="end"/>
      </w:r>
      <w:r w:rsidR="004B4B1C">
        <w:t xml:space="preserve"> </w:t>
      </w:r>
      <w:r w:rsidR="00CE6576">
        <w:t>produce inflated estimates</w:t>
      </w:r>
      <w:r w:rsidR="00BC3B4F" w:rsidRPr="00556E30">
        <w:t>.</w:t>
      </w:r>
      <w:r w:rsidR="001C24DB">
        <w:t xml:space="preserve"> </w:t>
      </w:r>
      <w:r w:rsidR="000D24C8">
        <w:t xml:space="preserve">In our dataset, ignoring time-dependent bias would lead to a </w:t>
      </w:r>
      <w:r w:rsidR="00701AEF">
        <w:t xml:space="preserve">more than </w:t>
      </w:r>
      <w:r w:rsidR="000D24C8">
        <w:t xml:space="preserve">two-fold overestimation of CDI-associated LOS.  Given </w:t>
      </w:r>
      <w:r w:rsidR="003429FC">
        <w:t xml:space="preserve">our </w:t>
      </w:r>
      <w:r w:rsidR="00D8594F">
        <w:t>findings</w:t>
      </w:r>
      <w:r w:rsidR="000D24C8">
        <w:t xml:space="preserve">, we cautiously </w:t>
      </w:r>
      <w:r w:rsidR="003429FC">
        <w:t xml:space="preserve">interpret </w:t>
      </w:r>
      <w:r w:rsidR="000D24C8">
        <w:t xml:space="preserve">the </w:t>
      </w:r>
      <w:r w:rsidR="00D8594F">
        <w:t>results</w:t>
      </w:r>
      <w:r w:rsidR="000711D0">
        <w:t xml:space="preserve"> </w:t>
      </w:r>
      <w:r w:rsidR="000D24C8">
        <w:t xml:space="preserve">of meta-analyses that </w:t>
      </w:r>
      <w:r w:rsidR="006D31E8">
        <w:t>conflate</w:t>
      </w:r>
      <w:r w:rsidR="000D24C8">
        <w:t xml:space="preserve"> ICD-9 code and toxin assay case definitions and </w:t>
      </w:r>
      <w:r w:rsidR="006D31E8">
        <w:t xml:space="preserve">often </w:t>
      </w:r>
      <w:r w:rsidR="000D24C8">
        <w:t>ignor</w:t>
      </w:r>
      <w:r w:rsidR="006D31E8">
        <w:t>e</w:t>
      </w:r>
      <w:r w:rsidR="000D24C8">
        <w:t xml:space="preserve"> time-dependent bias</w:t>
      </w:r>
      <w:r w:rsidR="0053344D">
        <w:t>.</w:t>
      </w:r>
      <w:r w:rsidR="000D24C8">
        <w:fldChar w:fldCharType="begin" w:fldLock="1"/>
      </w:r>
      <w:r w:rsidR="00717812">
        <w:instrText>ADDIN CSL_CITATION { "citationItems" : [ { "id" : "ITEM-1", "itemData" : { "DOI" : "10.1016/j.jhin.2009.10.016", "ISBN" : "1532-2939", "ISSN" : "01956701", "PMID" : "20153547", "abstract" : "Clostridium difficile infection (CDI) is the leading cause of infectious diarrhoea in hospitalised patients. CDI increases patient healthcare costs due to extended hospitalisation, re-hospitalisation, laboratory tests and medications. However, the economic costs of CDI on healthcare systems remain uncertain. The purpose of this study was to perform a systematic review to summarise available studies aimed at defining the economic healthcare costs of CDI. We conducted a literature search for peer-reviewed studies that investigated costs associated with CDI (1980 to present). Thirteen studies met inclusion and exclusion criteria. CDI costs in 2008 US dollars were calculated using the consumer price index. The total and incremental costs for primary and recurrent CDI were estimated. Of the 13, 10 were from the USA and one each from Canada, UK, and Ireland. In US-based studies incremental cost estimates ranged from $2,871 to $4,846 per case for primary CDI and from $13,655 to $18,067 per case for recurrent CDI. US-based studies in special populations (subjects with irritable bowel disease, surgical inpatients, and patients treated in the intensive care unit) showed an incremental cost range from $6,242 to $90,664. Non-US-based studies showed an estimated incremental cost of $5,243 to $8,570 per case for primary CDI and $13,655 per case for recurrent CDI. Economic healthcare costs of CDI were high for primary and recurrent cases. The high cost associated with CDI justifies the use of additional resources for CDI prevention and control. ?? 2009 The Hospital Infection Society.", "author" : [ { "dropping-particle" : "", "family" : "Ghantoji", "given" : "S. S.", "non-dropping-particle" : "", "parse-names" : false, "suffix" : "" }, { "dropping-particle" : "", "family" : "Sail", "given" : "K.", "non-dropping-particle" : "", "parse-names" : false, "suffix" : "" }, { "dropping-particle" : "", "family" : "Lairson", "given" : "D. R.", "non-dropping-particle" : "", "parse-names" : false, "suffix" : "" }, { "dropping-particle" : "", "family" : "DuPont", "given" : "H. L.", "non-dropping-particle" : "", "parse-names" : false, "suffix" : "" }, { "dropping-particle" : "", "family" : "Garey", "given" : "K. W.", "non-dropping-particle" : "", "parse-names" : false, "suffix" : "" } ], "container-title" : "Journal of Hospital Infection", "id" : "ITEM-1", "issue" : "4", "issued" : { "date-parts" : [ [ "2010" ] ] }, "page" : "309-318", "publisher" : "Elsevier Ltd", "title" : "Economic healthcare costs of Clostridium difficile infection: A systematic review", "type" : "article-journal", "volume" : "74" }, "uris" : [ "http://www.mendeley.com/documents/?uuid=40e14ad6-7732-4391-b292-c502f7b2747a" ] }, { "id" : "ITEM-2", "itemData" : { "DOI" : "10.1186/s12879-016-1786-6", "ISSN" : "1471-2334", "abstract" : "Clostridium difficile infection (CDI) is the leading cause of infectious nosocomial diarrhoea but the economic costs of CDI on healthcare systems in the US remain uncertain. We conducted a systematic search for published studies investigating the direct medical cost associated with CDI hospital management in the past 10\u00a0years (2005\u20132015) and included 42 studies to the final data analysis to estimate the financial impact of CDI in the US. We also conducted a meta-analysis of all costs using Monte Carlo simulation. The average cost for CDI case management and average CDI-attributable costs per case were $42,316 (90\u00a0% CI: $39,886, $44,765) and $21,448 (90\u00a0% CI: $21,152, $21,744) in 2015 US dollars. Hospital-onset CDI-attributable cost per case was $34,157 (90\u00a0% CI: $33,134, $35,180), which was 1.5 times the cost of community-onset CDI ($20,095 [90\u00a0% CI: $4991, $35,204]). The average and incremental length of stay (LOS) for CDI inpatient treatment were 11.1 (90\u00a0% CI: 8.7\u201313.6) and 9.7 (90\u00a0% CI: 9.6\u20139.8) days respectively. Total annual CDI-attributable cost in the US is estimated US$6.3 (Range: $1.9\u2013$7.0) billion. Total annual CDI hospital management required nearly 2.4 million days of inpatient stay. This review indicates that CDI places a significant financial burden on the US healthcare system. This review adds strong evidence to aid policy-making on adequate resource allocation to CDI prevention and treatment in the US. Future studies should focus on recurrent CDI, CDI in long-term care facilities and persons with comorbidities and indirect cost from a societal perspective. Health-economic studies for CDI preventive intervention are needed.", "author" : [ { "dropping-particle" : "", "family" : "Zhang", "given" : "Shanshan", "non-dropping-particle" : "", "parse-names" : false, "suffix" : "" }, { "dropping-particle" : "", "family" : "Palazuelos-Munoz", "given" : "Sarah", "non-dropping-particle" : "", "parse-names" : false, "suffix" : "" }, { "dropping-particle" : "", "family" : "Balsells", "given" : "Evelyn M.", "non-dropping-particle" : "", "parse-names" : false, "suffix" : "" }, { "dropping-particle" : "", "family" : "Nair", "given" : "Harish", "non-dropping-particle" : "", "parse-names" : false, "suffix" : "" }, { "dropping-particle" : "", "family" : "Chit", "given" : "Ayman", "non-dropping-particle" : "", "parse-names" : false, "suffix" : "" }, { "dropping-particle" : "", "family" : "Kyaw", "given" : "Moe H.", "non-dropping-particle" : "", "parse-names" : false, "suffix" : "" }, { "dropping-particle" : "", "family" : "Crobach", "given" : "M", "non-dropping-particle" : "", "parse-names" : false, "suffix" : "" }, { "dropping-particle" : "", "family" : "Dekkers", "given" : "O", "non-dropping-particle" : "", "parse-names" : false, "suffix" : "" }, { "dropping-particle" : "", "family" : "Wilcox", "given" : "M", "non-dropping-particle" : "", "parse-names" : false, "suffix" : "" }, { "dropping-particle" : "", "family" : "Kuijper", "given" : "E", "non-dropping-particle" : "", "parse-names" : false, "suffix" : "" }, { "dropping-particle" : "", "family" : "Dubberke", "given" : "ER", "non-dropping-particle" : "", "parse-names" : false, "suffix" : "" }, { "dropping-particle" : "", "family" : "Carling", "given" : "P", "non-dropping-particle" : "", "parse-names" : false, "suffix" : "" }, { "dropping-particle" : "", "family" : "Carrico", "given" : "R", "non-dropping-particle" : "", "parse-names" : false, "suffix" : "" }, { "dropping-particle" : "", "family" : "Mylonakis", "given" : "E", "non-dropping-particle" : "", "parse-names" : false, "suffix" : "" }, { "dropping-particle" : "", "family" : "Ryan", "given" : "E", "non-dropping-particle" : "", "parse-names" : false, "suffix" : "" }, { "dropping-particle" : "", "family" : "Calderwood", "given" : "S", "non-dropping-particle" : "", "parse-names" : false, "suffix" : "" }, { "dropping-particle" : "", "family" : "Rubin", "given" : "M", "non-dropping-particle" : "", "parse-names" : false, "suffix" : "" }, { "dropping-particle" : "", "family" : "Bodenstein", "given" : "L", "non-dropping-particle" : "", "parse-names" : false, "suffix" : "" }, { "dropping-particle" : "", "family" : "Kent", "given" : "K", "non-dropping-particle" : "", "parse-names" : false, "suffix" : "" }, { "dropping-particle" : "", "family" : "Triadafilopoulos", "given" : "G", "non-dropping-particle" : "", "parse-names" : false, "suffix" : "" }, { "dropping-particle" : "", "family" : "Hallstone", "given" : "AE", "non-dropping-particle" : "", "parse-names" : false, "suffix" : "" }, { "dropping-particle" : "", "family" : "Sanchez", "given" : "T", "non-dropping-particle" : "", "parse-names" : false, "suffix" : "" }, { "dropping-particle" : "", "family" : "Brooks", "given" : "J", "non-dropping-particle" : "", "parse-names" : false, "suffix" : "" }, { "dropping-particle" : "", "family" : "Sullivan", "given" : "P", "non-dropping-particle" : "", "parse-names" : false, "suffix" : "" }, { "dropping-particle" : "", "family" : "Bilgrami", "given" : "S", "non-dropping-particle" : "", "parse-names" : false, "suffix" : "" }, { "dropping-particle" : "", "family" : "Feingold", "given" : "J", "non-dropping-particle" : "", "parse-names" : false, "suffix" : "" }, { "dropping-particle" : "", "family" : "Dorsky", "given" : "D", "non-dropping-particle" : "", "parse-names" : false, "suffix" : "" }, { "dropping-particle" : "", "family" : "Barbut", "given" : "F", "non-dropping-particle" : "", "parse-names" : false, "suffix" : "" }, { "dropping-particle" : "", "family" : "Corthier", "given" : "G", "non-dropping-particle" : "", "parse-names" : false, "suffix" : "" }, { "dropping-particle" : "", "family" : "Charpak", "given" : "Y", "non-dropping-particle" : "", "parse-names" : false, "suffix" : "" }, { "dropping-particle" : "", "family" : "Cohen", "given" : "S", "non-dropping-particle" : "", "parse-names" : false, "suffix" : "" }, { "dropping-particle" : "", "family" : "Gerding", "given" : "D", "non-dropping-particle" : "", "parse-names" : false, "suffix" : "" }, { "dropping-particle" : "", "family" : "Johnson", "given" : "S", "non-dropping-particle" : "", "parse-names" : false, "suffix" : "" }, { "dropping-particle" : "", "family" : "Bignardi", "given" : "G", "non-dropping-particle" : "", "parse-names" : false, "suffix" : "" }, { "dropping-particle" : "", "family" : "Aseeri", "given" : "M", "non-dropping-particle" : "", "parse-names" : false, "suffix" : "" }, { "dropping-particle" : "", "family" : "Schroeder", "given" : "T", "non-dropping-particle" : "", "parse-names" : false, "suffix" : "" }, { "dropping-particle" : "", "family" : "Kramer", "given" : "J", "non-dropping-particle" : "", "parse-names" : false, "suffix" : "" }, { "dropping-particle" : "", "family" : "Zackula", "given" : "R", "non-dropping-particle" : "", "parse-names" : false, "suffix" : "" }, { "dropping-particle" : "", "family" : "Bauer", "given" : "M", "non-dropping-particle" : "", "parse-names" : false, "suffix" : "" }, { "dropping-particle" : "", "family" : "Notermans", "given" : "D", "non-dropping-particle" : "", "parse-names" : false, "suffix" : "" }, { "dropping-particle" : "", "family" : "Benthem", "given" : "B", "non-dropping-particle" : "", "parse-names" : false, "suffix" : "" }, { "dropping-particle" : "", "family" : "Dubberke", "given" : "ER", "non-dropping-particle" : "", "parse-names" : false, "suffix" : "" }, { "dropping-particle" : "", "family" : "Wertheimer", "given" : "AI", "non-dropping-particle" : "", "parse-names" : false, "suffix" : "" }, { "dropping-particle" : "", "family" : "Dubberke", "given" : "ER", "non-dropping-particle" : "", "parse-names" : false, "suffix" : "" }, { "dropping-particle" : "", "family" : "Olsen", "given" : "MA", "non-dropping-particle" : "", "parse-names" : false, "suffix" : "" }, { "dropping-particle" : "", "family" : "Gabriel", "given" : "L", "non-dropping-particle" : "", "parse-names" : false, "suffix" : "" }, { "dropping-particle" : "", "family" : "Beriot-Mathiot", "given" : "A", "non-dropping-particle" : "", "parse-names" : false, "suffix" : "" }, { "dropping-particle" : "", "family" : "Ghantoji", "given" : "SS", "non-dropping-particle" : "", "parse-names" : false, "suffix" : "" }, { "dropping-particle" : "", "family" : "Sail", "given" : "K", "non-dropping-particle" : "", "parse-names" : false, "suffix" : "" }, { "dropping-particle" : "", "family" : "Lairson", "given" : "DR", "non-dropping-particle" : "", "parse-names" : false, "suffix" : "" }, { "dropping-particle" : "", "family" : "Dupont", "given" : "HL", "non-dropping-particle" : "", "parse-names" : false, "suffix" : "" }, { "dropping-particle" : "", "family" : "Garey", "given" : "KW", "non-dropping-particle" : "", "parse-names" : false, "suffix" : "" }, { "dropping-particle" : "", "family" : "Zimlichman", "given" : "E", "non-dropping-particle" : "", "parse-names" : false, "suffix" : "" }, { "dropping-particle" : "", "family" : "Henderson", "given" : "D", "non-dropping-particle" : "", "parse-names" : false, "suffix" : "" }, { "dropping-particle" : "", "family" : "Tamir", "given" : "O", "non-dropping-particle" : "", "parse-names" : false, "suffix" : "" }, { "dropping-particle" : "", "family" : "Johnson", "given" : "S", "non-dropping-particle" : "", "parse-names" : false, "suffix" : "" }, { "dropping-particle" : "", "family" : "Mergenhagen", "given" : "KA", "non-dropping-particle" : "", "parse-names" : false, "suffix" : "" }, { "dropping-particle" : "", "family" : "Wojciechowski", "given" : "AL", "non-dropping-particle" : "", "parse-names" : false, "suffix" : "" }, { "dropping-particle" : "", "family" : "Paladino", "given" : "JA", "non-dropping-particle" : "", "parse-names" : false, "suffix" : "" }, { "dropping-particle" : "", "family" : "Wiegand", "given" : "PN", "non-dropping-particle" : "", "parse-names" : false, "suffix" : "" }, { "dropping-particle" : "", "family" : "Nathwani", "given" : "D", "non-dropping-particle" : "", "parse-names" : false, "suffix" : "" }, { "dropping-particle" : "", "family" : "Wilcox", "given" : "MH", "non-dropping-particle" : "", "parse-names" : false, "suffix" : "" }, { "dropping-particle" : "", "family" : "Stephens", "given" : "J", "non-dropping-particle" : "", "parse-names" : false, "suffix" : "" }, { "dropping-particle" : "", "family" : "Shelbaya", "given" : "A", "non-dropping-particle" : "", "parse-names" : false, "suffix" : "" }, { "dropping-particle" : "", "family" : "Haider", "given" : "S", "non-dropping-particle" : "", "parse-names" : false, "suffix" : "" }, { "dropping-particle" : "", "family" : "Bouza", "given" : "E", "non-dropping-particle" : "", "parse-names" : false, "suffix" : "" }, { "dropping-particle" : "", "family" : "Jha", "given" : "A", "non-dropping-particle" : "", "parse-names" : false, "suffix" : "" }, { "dropping-particle" : "", "family" : "Chan", "given" : "D", "non-dropping-particle" : "", "parse-names" : false, "suffix" : "" }, { "dropping-particle" : "", "family" : "Ridgway", "given" : "A", "non-dropping-particle" : "", "parse-names" : false, "suffix" : "" }, { "dropping-particle" : "", "family" : "Franz", "given" : "C", "non-dropping-particle" : "", "parse-names" : false, "suffix" : "" }, { "dropping-particle" : "", "family" : "Bates", "given" : "DW", "non-dropping-particle" : "", "parse-names" : false, "suffix" : "" }, { "dropping-particle" : "", "family" : "Lessa", "given" : "FC", "non-dropping-particle" : "", "parse-names" : false, "suffix" : "" }, { "dropping-particle" : "", "family" : "Winston", "given" : "LG", "non-dropping-particle" : "", "parse-names" : false, "suffix" : "" }, { "dropping-particle" : "", "family" : "McDonald", "given" : "LC", "non-dropping-particle" : "", "parse-names" : false, "suffix" : "" }, { "dropping-particle" : "", "family" : "Nanwa", "given" : "N", "non-dropping-particle" : "", "parse-names" : false, "suffix" : "" }, { "dropping-particle" : "", "family" : "Kendzerska", "given" : "T", "non-dropping-particle" : "", "parse-names" : false, "suffix" : "" }, { "dropping-particle" : "", "family" : "Krahn", "given" : "M", "non-dropping-particle" : "", "parse-names" : false, "suffix" : "" }, { "dropping-particle" : "", "family" : "Ali", "given" : "M", "non-dropping-particle" : "", "parse-names" : false, "suffix" : "" }, { "dropping-particle" : "", "family" : "Ananthakrishnan", "given" : "AN", "non-dropping-particle" : "", "parse-names" : false, "suffix" : "" }, { "dropping-particle" : "", "family" : "Ahmad", "given" : "S", "non-dropping-particle" : "", "parse-names" : false, "suffix" : "" }, { "dropping-particle" : "", "family" : "Kumar", "given" : "N", "non-dropping-particle" : "", "parse-names" : false, "suffix" : "" }, { "dropping-particle" : "", "family" : "Kumar", "given" : "G", "non-dropping-particle" : "", "parse-names" : false, "suffix" : "" }, { "dropping-particle" : "", "family" : "Saeian", "given" : "K", "non-dropping-particle" : "", "parse-names" : false, "suffix" : "" }, { "dropping-particle" : "", "family" : "Ananthakrishnan", "given" : "AN", "non-dropping-particle" : "", "parse-names" : false, "suffix" : "" }, { "dropping-particle" : "", "family" : "Mcginley", "given" : "EL", "non-dropping-particle" : "", "parse-names" : false, "suffix" : "" }, { "dropping-particle" : "", "family" : "Binion", "given" : "DG", "non-dropping-particle" : "", "parse-names" : false, "suffix" : "" }, { "dropping-particle" : "", "family" : "Arora", "given" : "V", "non-dropping-particle" : "", "parse-names" : false, "suffix" : "" }, { "dropping-particle" : "", "family" : "Kachroo", "given" : "S", "non-dropping-particle" : "", "parse-names" : false, "suffix" : "" }, { "dropping-particle" : "", "family" : "Ghantoji", "given" : "SS", "non-dropping-particle" : "", "parse-names" : false, "suffix" : "" }, { "dropping-particle" : "", "family" : "Dupont", "given" : "HL", "non-dropping-particle" : "", "parse-names" : false, "suffix" : "" }, { "dropping-particle" : "", "family" : "Garey", "given" : "KW", "non-dropping-particle" : "", "parse-names" : false, "suffix" : "" }, { "dropping-particle" : "", "family" : "Bajaj", "given" : "JS", "non-dropping-particle" : "", "parse-names" : false, "suffix" : "" }, { "dropping-particle" : "", "family" : "Ananthakrishnan", "given" : "AN", "non-dropping-particle" : "", "parse-names" : false, "suffix" : "" }, { "dropping-particle" : "", "family" : "Hafeezullah", "given" : "M", "non-dropping-particle" : "", "parse-names" : false, "suffix" : "" }, { "dropping-particle" : "", "family" : "Campbell", "given" : "R", "non-dropping-particle" : "", "parse-names" : false, "suffix" : "" }, { "dropping-particle" : "", "family" : "Dean", "given" : "B", "non-dropping-particle" : "", "parse-names" : false, "suffix" : "" }, { "dropping-particle" : "", "family" : "Nathanson", "given" : "B", "non-dropping-particle" : "", "parse-names" : false, "suffix" : "" }, { "dropping-particle" : "", "family" : "Haidar", "given" : "T", "non-dropping-particle" : "", "parse-names" : false, "suffix" : "" }, { "dropping-particle" : "", "family" : "Strauss", "given" : "M", "non-dropping-particle" : "", "parse-names" : false, "suffix" : "" }, { "dropping-particle" : "", "family" : "Thomas", "given" : "S", "non-dropping-particle" : "", "parse-names" : false, "suffix" : "" }, { "dropping-particle" : "", "family" : "Damle", "given" : "RN", "non-dropping-particle" : "", "parse-names" : false, "suffix" : "" }, { "dropping-particle" : "", "family" : "Cherng", "given" : "NB", "non-dropping-particle" : "", "parse-names" : false, "suffix" : "" }, { "dropping-particle" : "", "family" : "Flahive", "given" : "JM", "non-dropping-particle" : "", "parse-names" : false, "suffix" : "" }, { "dropping-particle" : "", "family" : "Dubberke", "given" : "ER", "non-dropping-particle" : "", "parse-names" : false, "suffix" : "" }, { "dropping-particle" : "", "family" : "Reske", "given" : "KA", "non-dropping-particle" : "", "parse-names" : false, "suffix" : "" }, { "dropping-particle" : "", "family" : "Olsen", "given" : "MA", "non-dropping-particle" : "", "parse-names" : false, "suffix" : "" }, { "dropping-particle" : "", "family" : "McDonald", "given" : "LC", "non-dropping-particle" : "", "parse-names" : false, "suffix" : "" }, { "dropping-particle" : "", "family" : "Fraser", "given" : "VJ", "non-dropping-particle" : "", "parse-names" : false, "suffix" : "" }, { "dropping-particle" : "", "family" : "Dubberke", "given" : "ER", "non-dropping-particle" : "", "parse-names" : false, "suffix" : "" }, { "dropping-particle" : "", "family" : "Schaefer", "given" : "E", "non-dropping-particle" : "", "parse-names" : false, "suffix" : "" }, { "dropping-particle" : "", "family" : "Reske", "given" : "KA", "non-dropping-particle" : "", "parse-names" : false, "suffix" : "" }, { "dropping-particle" : "", "family" : "Zilberberg", "given" : "M", "non-dropping-particle" : "", "parse-names" : false, "suffix" : "" }, { "dropping-particle" : "", "family" : "Hollenbeak", "given" : "CS", "non-dropping-particle" : "", "parse-names" : false, "suffix" : "" }, { "dropping-particle" : "", "family" : "Olsen", "given" : "MA", "non-dropping-particle" : "", "parse-names" : false, "suffix" : "" }, { "dropping-particle" : "", "family" : "Egorova", "given" : "NN", "non-dropping-particle" : "", "parse-names" : false, "suffix" : "" }, { "dropping-particle" : "", "family" : "Siracuse", "given" : "JJ", "non-dropping-particle" : "", "parse-names" : false, "suffix" : "" }, { "dropping-particle" : "", "family" : "Mckinsey", "given" : "JF", "non-dropping-particle" : "", "parse-names" : false, "suffix" : "" }, { "dropping-particle" : "", "family" : "Nowygrod", "given" : "R", "non-dropping-particle" : "", "parse-names" : false, "suffix" : "" }, { "dropping-particle" : "", "family" : "Flagg", "given" : "A", "non-dropping-particle" : "", "parse-names" : false, "suffix" : "" }, { "dropping-particle" : "", "family" : "Koch", "given" : "CG", "non-dropping-particle" : "", "parse-names" : false, "suffix" : "" }, { "dropping-particle" : "", "family" : "Schiltz", "given" : "N", "non-dropping-particle" : "", "parse-names" : false, "suffix" : "" }, { "dropping-particle" : "", "family" : "Fuller", "given" : "RL", "non-dropping-particle" : "", "parse-names" : false, "suffix" : "" }, { "dropping-particle" : "", "family" : "McCullough", "given" : "EC", "non-dropping-particle" : "", "parse-names" : false, "suffix" : "" }, { "dropping-particle" : "", "family" : "Bao", "given" : "MZ", "non-dropping-particle" : "", "parse-names" : false, "suffix" : "" }, { "dropping-particle" : "", "family" : "Averill", "given" : "RF", "non-dropping-particle" : "", "parse-names" : false, "suffix" : "" }, { "dropping-particle" : "", "family" : "Glance", "given" : "LG", "non-dropping-particle" : "", "parse-names" : false, "suffix" : "" }, { "dropping-particle" : "", "family" : "Stone", "given" : "PW", "non-dropping-particle" : "", "parse-names" : false, "suffix" : "" }, { "dropping-particle" : "", "family" : "Mukamel", "given" : "DB", "non-dropping-particle" : "", "parse-names" : false, "suffix" : "" }, { "dropping-particle" : "", "family" : "Dick", "given" : "AW", "non-dropping-particle" : "", "parse-names" : false, "suffix" : "" }, { "dropping-particle" : "", "family" : "Jiang", "given" : "Y", "non-dropping-particle" : "", "parse-names" : false, "suffix" : "" }, { "dropping-particle" : "", "family" : "Viner-Brown", "given" : "S", "non-dropping-particle" : "", "parse-names" : false, "suffix" : "" }, { "dropping-particle" : "", "family" : "Baier", "given" : "R", "non-dropping-particle" : "", "parse-names" : false, "suffix" : "" }, { "dropping-particle" : "", "family" : "Kim", "given" : "SP", "non-dropping-particle" : "", "parse-names" : false, "suffix" : "" }, { "dropping-particle" : "", "family" : "Shah", "given" : "ND", "non-dropping-particle" : "", "parse-names" : false, "suffix" : "" }, { "dropping-particle" : "", "family" : "Karnes", "given" : "RJ", "non-dropping-particle" : "", "parse-names" : false, "suffix" : "" }, { "dropping-particle" : "", "family" : "Kuntz", "given" : "JL", "non-dropping-particle" : "", "parse-names" : false, "suffix" : "" }, { "dropping-particle" : "", "family" : "Johnson", "given" : "ES", "non-dropping-particle" : "", "parse-names" : false, "suffix" : "" }, { "dropping-particle" : "", "family" : "Raebel", "given" : "MA", "non-dropping-particle" : "", "parse-names" : false, "suffix" : "" }, { "dropping-particle" : "", "family" : "Lagu", "given" : "T", "non-dropping-particle" : "", "parse-names" : false, "suffix" : "" }, { "dropping-particle" : "", "family" : "Stefan", "given" : "MS", "non-dropping-particle" : "", "parse-names" : false, "suffix" : "" }, { "dropping-particle" : "", "family" : "Haessler", "given" : "S", "non-dropping-particle" : "", "parse-names" : false, "suffix" : "" }, { "dropping-particle" : "", "family" : "Lemaire", "given" : "A", "non-dropping-particle" : "", "parse-names" : false, "suffix" : "" }, { "dropping-particle" : "", "family" : "Dombrovskiy", "given" : "V", "non-dropping-particle" : "", "parse-names" : false, "suffix" : "" }, { "dropping-particle" : "", "family" : "Batsides", "given" : "G", "non-dropping-particle" : "", "parse-names" : false, "suffix" : "" }, { "dropping-particle" : "", "family" : "Lawrence", "given" : "SJ", "non-dropping-particle" : "", "parse-names" : false, "suffix" : "" }, { "dropping-particle" : "", "family" : "Puzniak", "given" : "LA", "non-dropping-particle" : "", "parse-names" : false, "suffix" : "" }, { "dropping-particle" : "", "family" : "Shadel", "given" : "BN", "non-dropping-particle" : "", "parse-names" : false, "suffix" : "" }, { "dropping-particle" : "", "family" : "Gillespie", "given" : "KN", "non-dropping-particle" : "", "parse-names" : false, "suffix" : "" }, { "dropping-particle" : "", "family" : "Kollef", "given" : "MH", "non-dropping-particle" : "", "parse-names" : false, "suffix" : "" }, { "dropping-particle" : "", "family" : "Mundy", "given" : "LM", "non-dropping-particle" : "", "parse-names" : false, "suffix" : "" }, { "dropping-particle" : "", "family" : "Lesperance", "given" : "K", "non-dropping-particle" : "", "parse-names" : false, "suffix" : "" }, { "dropping-particle" : "", "family" : "Causey", "given" : "MW", "non-dropping-particle" : "", "parse-names" : false, "suffix" : "" }, { "dropping-particle" : "", "family" : "Spencer", "given" : "M", "non-dropping-particle" : "", "parse-names" : false, "suffix" : "" }, { "dropping-particle" : "", "family" : "Steele", "given" : "SR", "non-dropping-particle" : "", "parse-names" : false, "suffix" : "" }, { "dropping-particle" : "", "family" : "Lipp", "given" : "MJ", "non-dropping-particle" : "", "parse-names" : false, "suffix" : "" }, { "dropping-particle" : "", "family" : "Nero", "given" : "DC", "non-dropping-particle" : "", "parse-names" : false, "suffix" : "" }, { "dropping-particle" : "", "family" : "Callahan", "given" : "MA", "non-dropping-particle" : "", "parse-names" : false, "suffix" : "" }, { "dropping-particle" : "", "family" : "Maltenfort", "given" : "MG", "non-dropping-particle" : "", "parse-names" : false, "suffix" : "" }, { "dropping-particle" : "", "family" : "Rasouli", "given" : "MR", "non-dropping-particle" : "", "parse-names" : false, "suffix" : "" }, { "dropping-particle" : "", "family" : "Morrison", "given" : "TA", "non-dropping-particle" : "", "parse-names" : false, "suffix" : "" }, { "dropping-particle" : "", "family" : "Parvizi", "given" : "J", "non-dropping-particle" : "", "parse-names" : false, "suffix" : "" }, { "dropping-particle" : "", "family" : "Mcglone", "given" : "SM", "non-dropping-particle" : "", "parse-names" : false, "suffix" : "" }, { "dropping-particle" : "", "family" : "Bailey", "given" : "RR", "non-dropping-particle" : "", "parse-names" : false, "suffix" : "" }, { "dropping-particle" : "", "family" : "Zimmer", "given" : "SM", "non-dropping-particle" : "", "parse-names" : false, "suffix" : "" }, { "dropping-particle" : "", "family" : "Nguyen", "given" : "GC", "non-dropping-particle" : "", "parse-names" : false, "suffix" : "" }, { "dropping-particle" : "", "family" : "Kaplan", "given" : "GG", "non-dropping-particle" : "", "parse-names" : false, "suffix" : "" }, { "dropping-particle" : "", "family" : "Harris", "given" : "ML", "non-dropping-particle" : "", "parse-names" : false, "suffix" : "" }, { "dropping-particle" : "", "family" : "Brant", "given" : "SR", "non-dropping-particle" : "", "parse-names" : false, "suffix" : "" }, { "dropping-particle" : "", "family" : "Nylund", "given" : "CM", "non-dropping-particle" : "", "parse-names" : false, "suffix" : "" }, { "dropping-particle" : "", "family" : "Goudie", "given" : "A", "non-dropping-particle" : "", "parse-names" : false, "suffix" : "" }, { "dropping-particle" : "", "family" : "Garza", "given" : "JM", "non-dropping-particle" : "", "parse-names" : false, "suffix" : "" }, { "dropping-particle" : "", "family" : "Fairbrother", "given" : "G", "non-dropping-particle" : "", "parse-names" : false, "suffix" : "" }, { "dropping-particle" : "", "family" : "Cohen", "given" : "MB", "non-dropping-particle" : "", "parse-names" : false, "suffix" : "" }, { "dropping-particle" : "", "family" : "O\u2019Brien", "given" : "JA", "non-dropping-particle" : "", "parse-names" : false, "suffix" : "" }, { "dropping-particle" : "", "family" : "Lahue", "given" : "BJ", "non-dropping-particle" : "", "parse-names" : false, "suffix" : "" }, { "dropping-particle" : "", "family" : "Caro", "given" : "JJ", "non-dropping-particle" : "", "parse-names" : false, "suffix" : "" }, { "dropping-particle" : "", "family" : "Davidson", "given" : "DM", "non-dropping-particle" : "", "parse-names" : false, "suffix" : "" }, { "dropping-particle" : "", "family" : "Pakyz", "given" : "A", "non-dropping-particle" : "", "parse-names" : false, "suffix" : "" }, { "dropping-particle" : "", "family" : "Carroll", "given" : "NV", "non-dropping-particle" : "", "parse-names" : false, "suffix" : "" }, { "dropping-particle" : "", "family" : "Harpe", "given" : "SE", "non-dropping-particle" : "", "parse-names" : false, "suffix" : "" }, { "dropping-particle" : "", "family" : "Oinonen", "given" : "M", "non-dropping-particle" : "", "parse-names" : false, "suffix" : "" }, { "dropping-particle" : "", "family" : "Polk", "given" : "RE", "non-dropping-particle" : "", "parse-names" : false, "suffix" : "" }, { "dropping-particle" : "", "family" : "Pant", "given" : "C", "non-dropping-particle" : "", "parse-names" : false, "suffix" : "" }, { "dropping-particle" : "", "family" : "Anderson", "given" : "MP", "non-dropping-particle" : "", "parse-names" : false, "suffix" : "" }, { "dropping-particle" : "", "family" : "O\u2019Connor", "given" : "JA", "non-dropping-particle" : "", "parse-names" : false, "suffix" : "" }, { "dropping-particle" : "", "family" : "Marshall", "given" : "CM", "non-dropping-particle" : "", "parse-names" : false, "suffix" : "" }, { "dropping-particle" : "", "family" : "Deshpande", "given" : "A", "non-dropping-particle" : "", "parse-names" : false, "suffix" : "" }, { "dropping-particle" : "", "family" : "Sferra", "given" : "TJ", "non-dropping-particle" : "", "parse-names" : false, "suffix" : "" }, { "dropping-particle" : "", "family" : "Pant", "given" : "C", "non-dropping-particle" : "", "parse-names" : false, "suffix" : "" }, { "dropping-particle" : "", "family" : "Deshpande", "given" : "A", "non-dropping-particle" : "", "parse-names" : false, "suffix" : "" }, { "dropping-particle" : "", "family" : "Anderson", "given" : "MP", "non-dropping-particle" : "", "parse-names" : false, "suffix" : "" }, { "dropping-particle" : "", "family" : "Sferra", "given" : "TJ", "non-dropping-particle" : "", "parse-names" : false, "suffix" : "" }, { "dropping-particle" : "", "family" : "Pant", "given" : "C", "non-dropping-particle" : "", "parse-names" : false, "suffix" : "" }, { "dropping-particle" : "", "family" : "Anderson", "given" : "MP", "non-dropping-particle" : "", "parse-names" : false, "suffix" : "" }, { "dropping-particle" : "", "family" : "Deshpande", "given" : "A", "non-dropping-particle" : "", "parse-names" : false, "suffix" : "" }, { "dropping-particle" : "", "family" : "Peery", "given" : "AF", "non-dropping-particle" : "", "parse-names" : false, "suffix" : "" }, { "dropping-particle" : "", "family" : "Dellon", "given" : "ES", "non-dropping-particle" : "", "parse-names" : false, "suffix" : "" }, { "dropping-particle" : "", "family" : "Lund", "given" : "J", "non-dropping-particle" : "", "parse-names" : false, "suffix" : "" }, { "dropping-particle" : "", "family" : "Quimbo", "given" : "RA", "non-dropping-particle" : "", "parse-names" : false, "suffix" : "" }, { "dropping-particle" : "", "family" : "Palli", "given" : "SR", "non-dropping-particle" : "", "parse-names" : false, "suffix" : "" }, { "dropping-particle" : "", "family" : "Singer", "given" : "J", "non-dropping-particle" : "", "parse-names" : false, "suffix" : "" }, { "dropping-particle" : "", "family" : "Strauss", "given" : "ME", "non-dropping-particle" : "", "parse-names" : false, "suffix" : "" }, { "dropping-particle" : "", "family" : "Thomas", "given" : "SM", "non-dropping-particle" : "", "parse-names" : false, "suffix" : "" }, { "dropping-particle" : "", "family" : "Reed", "given" : "IJF", "non-dropping-particle" : "", "parse-names" : false, "suffix" : "" }, { "dropping-particle" : "", "family" : "Edris", "given" : "BA", "non-dropping-particle" : "", "parse-names" : false, "suffix" : "" }, { "dropping-particle" : "", "family" : "Eid", "given" : "S", "non-dropping-particle" : "", "parse-names" : false, "suffix" : "" }, { "dropping-particle" : "", "family" : "Molitoris", "given" : "A", "non-dropping-particle" : "", "parse-names" : false, "suffix" : "" }, { "dropping-particle" : "", "family" : "Sammons", "given" : "JS", "non-dropping-particle" : "", "parse-names" : false, "suffix" : "" }, { "dropping-particle" : "", "family" : "Localio", "given" : "R", "non-dropping-particle" : "", "parse-names" : false, "suffix" : "" }, { "dropping-particle" : "", "family" : "Xiao", "given" : "R", "non-dropping-particle" : "", "parse-names" : false, "suffix" : "" }, { "dropping-particle" : "", "family" : "Coffin", "given" : "SE", "non-dropping-particle" : "", "parse-names" : false, "suffix" : "" }, { "dropping-particle" : "", "family" : "Zaoutis", "given" : "T", "non-dropping-particle" : "", "parse-names" : false, "suffix" : "" }, { "dropping-particle" : "", "family" : "Singal", "given" : "AK", "non-dropping-particle" : "", "parse-names" : false, "suffix" : "" }, { "dropping-particle" : "", "family" : "Salameh", "given" : "H", "non-dropping-particle" : "", "parse-names" : false, "suffix" : "" }, { "dropping-particle" : "", "family" : "Kamath", "given" : "PS", "non-dropping-particle" : "", "parse-names" : false, "suffix" : "" }, { "dropping-particle" : "", "family" : "Song", "given" : "X", "non-dropping-particle" : "", "parse-names" : false, "suffix" : "" }, { "dropping-particle" : "", "family" : "Bartlett", "given" : "JG", "non-dropping-particle" : "", "parse-names" : false, "suffix" : "" }, { "dropping-particle" : "", "family" : "Speck", "given" : "K", "non-dropping-particle" : "", "parse-names" : false, "suffix" : "" }, { "dropping-particle" : "", "family" : "Naegeli", "given" : "A", "non-dropping-particle" : "", "parse-names" : false, "suffix" : "" }, { "dropping-particle" : "", "family" : "Carroll", "given" : "K", "non-dropping-particle" : "", "parse-names" : false, "suffix" : "" }, { "dropping-particle" : "", "family" : "Perl", "given" : "TM", "non-dropping-particle" : "", "parse-names" : false, "suffix" : "" }, { "dropping-particle" : "", "family" : "Stewart", "given" : "DB", "non-dropping-particle" : "", "parse-names" : false, "suffix" : "" }, { "dropping-particle" : "", "family" : "Hollenbeak", "given" : "CS", "non-dropping-particle" : "", "parse-names" : false, "suffix" : "" }, { "dropping-particle" : "", "family" : "Tabak", "given" : "YP", "non-dropping-particle" : "", "parse-names" : false, "suffix" : "" }, { "dropping-particle" : "", "family" : "Zilberberg", "given" : "MD", "non-dropping-particle" : "", "parse-names" : false, "suffix" : "" }, { "dropping-particle" : "", "family" : "Johannes", "given" : "RS", "non-dropping-particle" : "", "parse-names" : false, "suffix" : "" }, { "dropping-particle" : "", "family" : "Sun", "given" : "X", "non-dropping-particle" : "", "parse-names" : false, "suffix" : "" }, { "dropping-particle" : "", "family" : "McDonald", "given" : "LC", "non-dropping-particle" : "", "parse-names" : false, "suffix" : "" }, { "dropping-particle" : "", "family" : "Verlee", "given" : "KE", "non-dropping-particle" : "", "parse-names" : false, "suffix" : "" }, { "dropping-particle" : "", "family" : "Finks", "given" : "JL", "non-dropping-particle" : "", "parse-names" : false, "suffix" : "" }, { "dropping-particle" : "", "family" : "Wilkins", "given" : "MJ", "non-dropping-particle" : "", "parse-names" : false, "suffix" : "" }, { "dropping-particle" : "", "family" : "Wells", "given" : "EV", "non-dropping-particle" : "", "parse-names" : false, "suffix" : "" }, { "dropping-particle" : "", "family" : "Wang", "given" : "L", "non-dropping-particle" : "", "parse-names" : false, "suffix" : "" }, { "dropping-particle" : "", "family" : "Stewart", "given" : "DB", "non-dropping-particle" : "", "parse-names" : false, "suffix" : "" }, { "dropping-particle" : "", "family" : "Wilson", "given" : "MZ", "non-dropping-particle" : "", "parse-names" : false, "suffix" : "" }, { "dropping-particle" : "", "family" : "Hollenbeak", "given" : "CS", "non-dropping-particle" : "", "parse-names" : false, "suffix" : "" }, { "dropping-particle" : "", "family" : "Stewart", "given" : "DB", "non-dropping-particle" : "", "parse-names" : false, "suffix" : "" }, { "dropping-particle" : "", "family" : "Zerey", "given" : "M", "non-dropping-particle" : "", "parse-names" : false, "suffix" : "" }, { "dropping-particle" : "", "family" : "Paton", "given" : "BL", "non-dropping-particle" : "", "parse-names" : false, "suffix" : "" }, { "dropping-particle" : "", "family" : "Lincourt", "given" : "AE", "non-dropping-particle" : "", "parse-names" : false, "suffix" : "" }, { "dropping-particle" : "", "family" : "Gersin", "given" : "KS", "non-dropping-particle" : "", "parse-names" : false, "suffix" : "" }, { "dropping-particle" : "", "family" : "Kercher", "given" : "KW", "non-dropping-particle" : "", "parse-names" : false, "suffix" : "" }, { "dropping-particle" : "", "family" : "Heniford", "given" : "BT", "non-dropping-particle" : "", "parse-names" : false, "suffix" : "" }, { "dropping-particle" : "", "family" : "Zilberberg", "given" : "MD", "non-dropping-particle" : "", "parse-names" : false, "suffix" : "" }, { "dropping-particle" : "", "family" : "Nathanson", "given" : "BH", "non-dropping-particle" : "", "parse-names" : false, "suffix" : "" }, { "dropping-particle" : "", "family" : "Sadigov", "given" : "S", "non-dropping-particle" : "", "parse-names" : false, "suffix" : "" }, { "dropping-particle" : "", "family" : "Higgins", "given" : "TL", "non-dropping-particle" : "", "parse-names" : false, "suffix" : "" }, { "dropping-particle" : "", "family" : "Kollef", "given" : "MH", "non-dropping-particle" : "", "parse-names" : false, "suffix" : "" }, { "dropping-particle" : "", "family" : "Shorr", "given" : "AF", "non-dropping-particle" : "", "parse-names" : false, "suffix" : "" }, { "dropping-particle" : "", "family" : "Kyne", "given" : "L", "non-dropping-particle" : "", "parse-names" : false, "suffix" : "" }, { "dropping-particle" : "", "family" : "Hamel", "given" : "M", "non-dropping-particle" : "", "parse-names" : false, "suffix" : "" }, { "dropping-particle" : "", "family" : "Polavaram", "given" : "R", "non-dropping-particle" : "", "parse-names" : false, "suffix" : "" }, { "dropping-particle" : "", "family" : "Kelly", "given" : "C", "non-dropping-particle" : "", "parse-names" : false, "suffix" : "" }, { "dropping-particle" : "", "family" : "Angelis", "given" : "G", "non-dropping-particle" : "", "parse-names" : false, "suffix" : "" }, { "dropping-particle" : "", "family" : "Murthy", "given" : "AR", "non-dropping-particle" : "", "parse-names" : false, "suffix" : "" }, { "dropping-particle" : "", "family" : "Beyersmann", "given" : "J", "non-dropping-particle" : "", "parse-names" : false, "suffix" : "" }, { "dropping-particle" : "", "family" : "Harbarth", "given" : "S", "non-dropping-particle" : "", "parse-names" : false, "suffix" : "" }, { "dropping-particle" : "", "family" : "Dubberke", "given" : "E", "non-dropping-particle" : "", "parse-names" : false, "suffix" : "" }, { "dropping-particle" : "", "family" : "Carling", "given" : "P", "non-dropping-particle" : "", "parse-names" : false, "suffix" : "" }, { "dropping-particle" : "", "family" : "Carrico", "given" : "R", "non-dropping-particle" : "", "parse-names" : false, "suffix" : "" }, { "dropping-particle" : "", "family" : "Foglia", "given" : "G", "non-dropping-particle" : "", "parse-names" : false, "suffix" : "" }, { "dropping-particle" : "", "family" : "Shah", "given" : "S", "non-dropping-particle" : "", "parse-names" : false, "suffix" : "" }, { "dropping-particle" : "", "family" : "Luxemburger", "given" : "C", "non-dropping-particle" : "", "parse-names" : false, "suffix" : "" }, { "dropping-particle" : "", "family" : "Pietrobon", "given" : "PJF", "non-dropping-particle" : "", "parse-names" : false, "suffix" : "" } ], "container-title" : "BMC Infectious Diseases", "id" : "ITEM-2", "issue" : "1", "issued" : { "date-parts" : [ [ "2016" ] ] }, "page" : "447", "publisher" : "BMC Infectious Diseases", "title" : "Cost of hospital management of Clostridium difficile infection in United States\u2014a meta-analysis and modelling study", "type" : "article-journal", "volume" : "16" }, "uris" : [ "http://www.mendeley.com/documents/?uuid=5f760f23-4ae0-43ca-8f0b-67c11eed44d4" ] }, { "id" : "ITEM-3", "itemData" : { "DOI" : "10.1016/j.jhin.2014.04.011", "ISBN" : "1532-2939 (Electronic)\\r0195-6701 (Linking)", "ISSN" : "15322939", "PMID" : "24996516", "abstract" : "In most healthcare systems, third-party payers fund the costs for patients admitted to hospital for Clostridium difficile infection (CDI) whereas, for CDI cases arising as complications of hospitalization, not all related costs are refundable to the hospital. We therefore aimed to critically review and categorize hospital costs and length of hospital stay (LOS) attributable to Clostridium difficile infection and to investigate the economic burden associated with it. A comprehensive literature review selected papers describing the costs and LOS for hospitalized patients as outcomes of CDI, following the use of statisticsto identify costs and LOS solely attributable to CDI. Twenty-four studies were selected. Estimated attributable costs, all ranges expressed in US dollars, were $6,774-$10,212 for CDI requiring admission, $2,992-$29,000 for hospital-acquired CDI, and $2,454-$12,850 where no categorization was made. The ranges for LOS values were 5-13.6, 2.7-21.3, and 2.8-17.9 days, respectively. The categorization of CDI attributable costs allows budget holders to anticipate the cost per CDI case, a perspective that should enrich the design of appropriate incentives for the various budget holders to invest in prevention so that CDI prevention is optimized globally. ?? 2014 The Healthcare Infection Society.", "author" : [ { "dropping-particle" : "", "family" : "Gabriel", "given" : "L.", "non-dropping-particle" : "", "parse-names" : false, "suffix" : "" }, { "dropping-particle" : "", "family" : "Beriot-Mathiot", "given" : "A.", "non-dropping-particle" : "", "parse-names" : false, "suffix" : "" } ], "container-title" : "Journal of Hospital Infection", "id" : "ITEM-3", "issue" : "1", "issued" : { "date-parts" : [ [ "2014" ] ] }, "page" : "12-21", "publisher" : "Elsevier Ltd", "title" : "Hospitalization stay and costs attributable to Clostridium difficile infection: A critical review", "type" : "article-journal", "volume" : "88" }, "uris" : [ "http://www.mendeley.com/documents/?uuid=4cff00f0-7c90-4a16-9e07-102871cb16ae" ] } ], "mendeley" : { "formattedCitation" : "\\autocite{Gabriel2014,Ghantoji2010,Zhang2016}", "plainTextFormattedCitation" : "\\autocite{Gabriel2014,Ghantoji2010,Zhang2016}", "previouslyFormattedCitation" : "&lt;sup&gt;4\u20136&lt;/sup&gt;" }, "properties" : { "noteIndex" : 0 }, "schema" : "https://github.com/citation-style-language/schema/raw/master/csl-citation.json" }</w:instrText>
      </w:r>
      <w:r w:rsidR="000D24C8">
        <w:fldChar w:fldCharType="separate"/>
      </w:r>
      <w:r w:rsidR="00717812" w:rsidRPr="00717812">
        <w:rPr>
          <w:noProof/>
        </w:rPr>
        <w:t>\autocite{Gabriel2014,Ghantoji2010,Zhang2016}</w:t>
      </w:r>
      <w:r w:rsidR="000D24C8">
        <w:fldChar w:fldCharType="end"/>
      </w:r>
      <w:r w:rsidR="000D24C8">
        <w:t xml:space="preserve">  </w:t>
      </w:r>
    </w:p>
    <w:p w14:paraId="2C15FA9F" w14:textId="5895A6F9" w:rsidR="00336D49" w:rsidRDefault="00C16B2C" w:rsidP="00556E30">
      <w:pPr>
        <w:ind w:firstLine="720"/>
      </w:pPr>
      <w:r>
        <w:t>To our knowledge, this is the first study th</w:t>
      </w:r>
      <w:r w:rsidR="00747511">
        <w:t xml:space="preserve">at </w:t>
      </w:r>
      <w:r w:rsidR="00A54CB3">
        <w:t xml:space="preserve">uses </w:t>
      </w:r>
      <w:r>
        <w:t xml:space="preserve">machine learning </w:t>
      </w:r>
      <w:r w:rsidR="0039653E">
        <w:t>on uncurated EMR data</w:t>
      </w:r>
      <w:r>
        <w:t xml:space="preserve"> to estimate </w:t>
      </w:r>
      <w:r w:rsidR="009916F1">
        <w:t>the</w:t>
      </w:r>
      <w:r w:rsidR="003647AF">
        <w:t xml:space="preserve"> local</w:t>
      </w:r>
      <w:r w:rsidR="000C7B47">
        <w:t xml:space="preserve"> </w:t>
      </w:r>
      <w:r w:rsidR="008A6540">
        <w:t>cost</w:t>
      </w:r>
      <w:r w:rsidR="00DB60E6">
        <w:t xml:space="preserve"> </w:t>
      </w:r>
      <w:r>
        <w:t>of CDI</w:t>
      </w:r>
      <w:r w:rsidR="00AC705C">
        <w:t>.</w:t>
      </w:r>
      <w:r w:rsidR="00A258FB">
        <w:t xml:space="preserve"> Our models of </w:t>
      </w:r>
      <w:r w:rsidR="00955BF3">
        <w:t xml:space="preserve">CDI </w:t>
      </w:r>
      <w:r w:rsidR="00A258FB">
        <w:t xml:space="preserve">risk </w:t>
      </w:r>
      <w:r w:rsidR="00B32493">
        <w:t>performed</w:t>
      </w:r>
      <w:r w:rsidR="00A258FB">
        <w:t xml:space="preserve"> </w:t>
      </w:r>
      <w:r w:rsidR="002A5C37">
        <w:t>on par with</w:t>
      </w:r>
      <w:r w:rsidR="00BD6CF5">
        <w:t xml:space="preserve"> </w:t>
      </w:r>
      <w:r w:rsidR="00A258FB">
        <w:t xml:space="preserve">prior </w:t>
      </w:r>
      <w:r w:rsidR="00143080">
        <w:t>models</w:t>
      </w:r>
      <w:r w:rsidR="000739FA">
        <w:t xml:space="preserve"> </w:t>
      </w:r>
      <w:r w:rsidR="00A67B19">
        <w:t>fitted to</w:t>
      </w:r>
      <w:r w:rsidR="000739FA">
        <w:t xml:space="preserve"> </w:t>
      </w:r>
      <w:r w:rsidR="00361F16">
        <w:t xml:space="preserve">lower-dimensional </w:t>
      </w:r>
      <w:r w:rsidR="00A67B19">
        <w:t>data</w:t>
      </w:r>
      <w:r w:rsidR="00A258FB">
        <w:t>.</w:t>
      </w:r>
      <w:r w:rsidR="00A258FB">
        <w:fldChar w:fldCharType="begin" w:fldLock="1"/>
      </w:r>
      <w:r w:rsidR="00717812">
        <w:instrText>ADDIN CSL_CITATION { "citationItems" : [ { "id" : "ITEM-1", "itemData" : { "DOI" : "10.1093/ofid/ofu045", "author" : [ { "dropping-particle" : "", "family" : "Wiens", "given" : "Jenna", "non-dropping-particle" : "", "parse-names" : false, "suffix" : "" }, { "dropping-particle" : "", "family" : "Campbell", "given" : "WN", "non-dropping-particle" : "", "parse-names" : false, "suffix" : "" } ], "container-title" : "Open Forum Infectious Diseases", "id" : "ITEM-1", "issue" : "2", "issued" : { "date-parts" : [ [ "2014" ] ] }, "page" : "1-9", "title" : "Learning Data-Driven Patient Risk Stratification Models for Clostridium difficile", "type" : "article-journal", "volume" : "1" }, "uris" : [ "http://www.mendeley.com/documents/?uuid=1be90483-7594-4ef3-a0a1-92457eeca6f0" ] }, { "id" : "ITEM-2", "itemData" : { "DOI" : "10.1086/658944", "ISSN" : "1559-6834", "PMID" : "21460487", "abstract" : "OBJECTIVE: To develop and validate a risk prediction model that could identify patients at high risk for Clostridium difficile infection (CDI) before they develop disease.\\n\\nDESIGN AND SETTING: Retrospective cohort study in a tertiary care medical center.\\n\\nPATIENTS: Patients admitted to the hospital for at least 48 hours during the calendar year 2003.\\n\\nMETHODS: Data were collected electronically from the hospital's Medical Informatics database and analyzed with logistic regression to determine variables that best predicted patients' risk for development of CDI. Model discrimination and calibration were calculated. The model was bootstrapped 500 times to validate the predictive accuracy. A receiver operating characteristic curve was calculated to evaluate potential risk cutoffs.\\n\\nRESULTS: A total of 35,350 admitted patients, including 329 with CDI, were studied. Variables in the risk prediction model were age, CDI pressure, times admitted to hospital in the previous 60 days, modified Acute Physiology Score, days of treatment with high-risk antibiotics, whether albumin level was low, admission to an intensive care unit, and receipt of laxatives, gastric acid suppressors, or antimotility drugs. The calibration and discrimination of the model were very good to excellent (C index, 0.88; Brier score, 0.009).\\n\\nCONCLUSIONS: The CDI risk prediction model performed well. Further study is needed to determine whether it could be used in a clinical setting to prevent CDI-associated outcomes and reduce costs.", "author" : [ { "dropping-particle" : "", "family" : "Dubberke", "given" : "Erik R", "non-dropping-particle" : "", "parse-names" : false, "suffix" : "" }, { "dropping-particle" : "", "family" : "Yan", "given" : "Yan", "non-dropping-particle" : "", "parse-names" : false, "suffix" : "" }, { "dropping-particle" : "", "family" : "Reske", "given" : "Kimberly A", "non-dropping-particle" : "", "parse-names" : false, "suffix" : "" }, { "dropping-particle" : "", "family" : "Butler", "given" : "Anne M", "non-dropping-particle" : "", "parse-names" : false, "suffix" : "" }, { "dropping-particle" : "", "family" : "Doherty", "given" : "Joshua", "non-dropping-particle" : "", "parse-names" : false, "suffix" : "" }, { "dropping-particle" : "", "family" : "Pham", "given" : "Victor", "non-dropping-particle" : "", "parse-names" : false, "suffix" : "" }, { "dropping-particle" : "", "family" : "Fraser", "given" : "Victoria J", "non-dropping-particle" : "", "parse-names" : false, "suffix" : "" } ], "container-title" : "Infection control and hospital epidemiology", "id" : "ITEM-2", "issue" : "4", "issued" : { "date-parts" : [ [ "2011" ] ] }, "page" : "360-6", "title" : "Development and validation of a Clostridium difficile infection risk prediction model.", "type" : "article-journal", "volume" : "32" }, "uris" : [ "http://www.mendeley.com/documents/?uuid=020e337c-01f5-4ba5-80e1-2273f899898f" ] }, { "id" : "ITEM-3", "itemData" : { "DOI" : "10.1016/j.jhin.2008.11.017", "ISBN" : "0195-6701 (Print)\\r0195-6701 (Linking)", "ISSN" : "01956701", "PMID" : "19162374", "abstract" : "This study describes the development and testing of an assessment tool to predict the risk of patients developing Clostridium difficile-associated disease (CDAD). The three phases of the study include the development of the tool, prospective testing of the validity of the tool using 1468 patients in a medical assessment unit and external retrospective testing using data from 29 425 patients. In the first phase of the study, receiver operating characteristic (ROC) analysis identified the Waterlow assessment score as having the ability to predict CDAD (area under the curve: 0.827). The Waterlow tool was then tested prospectively with 1468 patients admitted to a medical assessment unit. A total of 1385 patients (94%) had a Waterlow score &lt;20 and 83 patients (6%) had a Waterlow score of \u226520. After a three-month follow-up, six patients in the low Waterlow score group developed CDAD (0.4%) and 14 patients in the high score group developed CDAD (17%). The sensitivity and specificity of the Waterlow score to predict the risk of developing CDAD were 70% and 95%, respectively. Similar results were obtained when the tool was tested retrospectively on a large external patient data set. The Waterlow score appears to predict patients' risk of developing CDAD and although it did not identify all cases, it highlighted a small group of patients who had a disproportionately large number of CDAD cases. The Waterlow score can be used to target patients most at risk of developing CDAD. \u00a9 2008 The Hospital Infection Society.", "author" : [ { "dropping-particle" : "", "family" : "Tanner", "given" : "J.", "non-dropping-particle" : "", "parse-names" : false, "suffix" : "" }, { "dropping-particle" : "", "family" : "Khan", "given" : "D.", "non-dropping-particle" : "", "parse-names" : false, "suffix" : "" }, { "dropping-particle" : "", "family" : "Anthony", "given" : "D.", "non-dropping-particle" : "", "parse-names" : false, "suffix" : "" }, { "dropping-particle" : "", "family" : "Paton", "given" : "J.", "non-dropping-particle" : "", "parse-names" : false, "suffix" : "" } ], "container-title" : "Journal of Hospital Infection", "id" : "ITEM-3", "issue" : "3", "issued" : { "date-parts" : [ [ "2009" ] ] }, "page" : "239-244", "publisher" : "Elsevier Ltd", "title" : "Waterlow score to predict patients at risk of developing Clostridium difficile-associated disease", "type" : "article-journal", "volume" : "71" }, "uris" : [ "http://www.mendeley.com/documents/?uuid=cc6fad91-3f28-4a03-b332-dd3e90b36fc4" ] } ], "mendeley" : { "formattedCitation" : "\\autocite{Dubberke2011,Tanner2009,Wiens2014}", "plainTextFormattedCitation" : "\\autocite{Dubberke2011,Tanner2009,Wiens2014}", "previouslyFormattedCitation" : "&lt;sup&gt;23,37,38&lt;/sup&gt;" }, "properties" : { "noteIndex" : 0 }, "schema" : "https://github.com/citation-style-language/schema/raw/master/csl-citation.json" }</w:instrText>
      </w:r>
      <w:r w:rsidR="00A258FB">
        <w:fldChar w:fldCharType="separate"/>
      </w:r>
      <w:r w:rsidR="00717812" w:rsidRPr="00717812">
        <w:rPr>
          <w:noProof/>
        </w:rPr>
        <w:t>\autocite{Dubberke2011,Tanner2009,Wiens2014}</w:t>
      </w:r>
      <w:r w:rsidR="00A258FB">
        <w:fldChar w:fldCharType="end"/>
      </w:r>
      <w:r w:rsidR="004379E9">
        <w:t xml:space="preserve"> Since </w:t>
      </w:r>
      <w:r w:rsidR="002A4B7D">
        <w:t>our</w:t>
      </w:r>
      <w:r w:rsidR="00964C52">
        <w:t xml:space="preserve"> model</w:t>
      </w:r>
      <w:r w:rsidR="000D24C8">
        <w:t>s</w:t>
      </w:r>
      <w:r w:rsidR="00F53992">
        <w:t xml:space="preserve"> </w:t>
      </w:r>
      <w:r w:rsidR="000D24C8">
        <w:t>are</w:t>
      </w:r>
      <w:r w:rsidR="007065E1">
        <w:t xml:space="preserve"> based </w:t>
      </w:r>
      <w:r w:rsidR="00966798">
        <w:t xml:space="preserve">on </w:t>
      </w:r>
      <w:r w:rsidR="003421A3">
        <w:t xml:space="preserve">tens of </w:t>
      </w:r>
      <w:r w:rsidR="009A00B5">
        <w:t>thousands of</w:t>
      </w:r>
      <w:r w:rsidR="00362AA8">
        <w:t xml:space="preserve"> </w:t>
      </w:r>
      <w:r w:rsidR="007065E1">
        <w:t xml:space="preserve">structured </w:t>
      </w:r>
      <w:r w:rsidR="00184FD7">
        <w:t>fields</w:t>
      </w:r>
      <w:r w:rsidR="007065E1">
        <w:t xml:space="preserve"> in </w:t>
      </w:r>
      <w:r w:rsidR="00CF4CA7">
        <w:t>the EMR</w:t>
      </w:r>
      <w:r w:rsidR="000D24C8">
        <w:t xml:space="preserve"> that require</w:t>
      </w:r>
      <w:r w:rsidR="00CF4CA7">
        <w:t xml:space="preserve"> </w:t>
      </w:r>
      <w:r w:rsidR="00222901">
        <w:t>n</w:t>
      </w:r>
      <w:r w:rsidR="000D24C8">
        <w:t>either</w:t>
      </w:r>
      <w:r w:rsidR="00222901">
        <w:t xml:space="preserve"> </w:t>
      </w:r>
      <w:r w:rsidR="004C748A">
        <w:t xml:space="preserve">chart review </w:t>
      </w:r>
      <w:r w:rsidR="000D24C8">
        <w:t>n</w:t>
      </w:r>
      <w:r w:rsidR="004C748A">
        <w:t>or</w:t>
      </w:r>
      <w:r w:rsidR="006B7A87">
        <w:t xml:space="preserve"> manual</w:t>
      </w:r>
      <w:r w:rsidR="004C748A">
        <w:t xml:space="preserve"> </w:t>
      </w:r>
      <w:r w:rsidR="00222901">
        <w:t xml:space="preserve">curation </w:t>
      </w:r>
      <w:r w:rsidR="00234189">
        <w:t>beyond</w:t>
      </w:r>
      <w:r w:rsidR="00176CE8">
        <w:t xml:space="preserve"> masking </w:t>
      </w:r>
      <w:r w:rsidR="00FD5D5A">
        <w:t>known</w:t>
      </w:r>
      <w:r w:rsidR="004752EE">
        <w:t xml:space="preserve"> </w:t>
      </w:r>
      <w:r w:rsidR="00312874">
        <w:t xml:space="preserve">CDI-related </w:t>
      </w:r>
      <w:r w:rsidR="0064145A">
        <w:t>effects</w:t>
      </w:r>
      <w:r w:rsidR="002E3748">
        <w:t xml:space="preserve">, </w:t>
      </w:r>
      <w:r w:rsidR="002C0D06">
        <w:t>re-analysis of</w:t>
      </w:r>
      <w:r w:rsidR="00E26853">
        <w:t xml:space="preserve"> </w:t>
      </w:r>
      <w:r w:rsidR="001505AF">
        <w:t>future</w:t>
      </w:r>
      <w:r w:rsidR="00222901">
        <w:t xml:space="preserve"> data</w:t>
      </w:r>
      <w:r w:rsidR="00AA3C0D">
        <w:t xml:space="preserve"> </w:t>
      </w:r>
      <w:r w:rsidR="00970AE2">
        <w:t xml:space="preserve">is </w:t>
      </w:r>
      <w:r w:rsidR="00B22905">
        <w:t>inexpensive</w:t>
      </w:r>
      <w:r w:rsidR="008B3838">
        <w:t>. S</w:t>
      </w:r>
      <w:r w:rsidR="00EC4099">
        <w:t xml:space="preserve">tarting from exported </w:t>
      </w:r>
      <w:r w:rsidR="005A2562">
        <w:t>visit data</w:t>
      </w:r>
      <w:r w:rsidR="00EC4099">
        <w:t xml:space="preserve">, </w:t>
      </w:r>
      <w:r w:rsidR="00E76DB9">
        <w:t xml:space="preserve">the entire analysis runs in </w:t>
      </w:r>
      <w:r w:rsidR="00B44261">
        <w:t xml:space="preserve">several </w:t>
      </w:r>
      <w:r w:rsidR="001505AF">
        <w:t xml:space="preserve">hours on </w:t>
      </w:r>
      <w:r w:rsidR="007E0B9E">
        <w:t xml:space="preserve">standard desktop </w:t>
      </w:r>
      <w:r w:rsidR="001505AF">
        <w:t>computers</w:t>
      </w:r>
      <w:r w:rsidR="007E0B9E">
        <w:t>.</w:t>
      </w:r>
      <w:r w:rsidR="00AA20AC">
        <w:t xml:space="preserve"> </w:t>
      </w:r>
      <w:r w:rsidR="00BA603A">
        <w:t>Therefore,</w:t>
      </w:r>
      <w:r w:rsidR="00AA20AC">
        <w:t xml:space="preserve"> the effect</w:t>
      </w:r>
      <w:r w:rsidR="00941EED">
        <w:t>s</w:t>
      </w:r>
      <w:r w:rsidR="00AA20AC">
        <w:t xml:space="preserve"> </w:t>
      </w:r>
      <w:r w:rsidR="00505D16">
        <w:t xml:space="preserve">of new </w:t>
      </w:r>
      <w:r w:rsidR="00867089">
        <w:t>intervention</w:t>
      </w:r>
      <w:r w:rsidR="00505D16">
        <w:t>s</w:t>
      </w:r>
      <w:r w:rsidR="00AA20AC">
        <w:t xml:space="preserve"> against CDI</w:t>
      </w:r>
      <w:r w:rsidR="0046392E">
        <w:t xml:space="preserve"> can be </w:t>
      </w:r>
      <w:r w:rsidR="00832A97">
        <w:t>efficiently</w:t>
      </w:r>
      <w:r w:rsidR="002638BB">
        <w:t xml:space="preserve"> </w:t>
      </w:r>
      <w:r w:rsidR="00AA69C6">
        <w:t>monitored</w:t>
      </w:r>
      <w:r w:rsidR="00B62DF5">
        <w:t xml:space="preserve"> over time</w:t>
      </w:r>
      <w:r w:rsidR="00F16567">
        <w:t xml:space="preserve">, e.g., </w:t>
      </w:r>
      <w:r w:rsidR="00BD7AD8">
        <w:t xml:space="preserve">continually </w:t>
      </w:r>
      <w:r w:rsidR="00234189">
        <w:t>test</w:t>
      </w:r>
      <w:r w:rsidR="00F16567">
        <w:t>ing</w:t>
      </w:r>
      <w:r w:rsidR="00234189">
        <w:t xml:space="preserve"> </w:t>
      </w:r>
      <w:r w:rsidR="00A77081">
        <w:t>whether</w:t>
      </w:r>
      <w:r w:rsidR="0046392E">
        <w:t xml:space="preserve"> </w:t>
      </w:r>
      <w:r w:rsidR="00BC2E69">
        <w:t>new</w:t>
      </w:r>
      <w:r w:rsidR="00A77081">
        <w:t xml:space="preserve"> </w:t>
      </w:r>
      <w:r w:rsidR="00BC2E69">
        <w:t>treatment</w:t>
      </w:r>
      <w:r w:rsidR="004912C8">
        <w:t>s</w:t>
      </w:r>
      <w:r w:rsidR="00BC2E69">
        <w:t xml:space="preserve"> </w:t>
      </w:r>
      <w:r w:rsidR="0046392E">
        <w:t>actual</w:t>
      </w:r>
      <w:r w:rsidR="00336D49">
        <w:t xml:space="preserve">ly lower the </w:t>
      </w:r>
      <w:r w:rsidR="00234189">
        <w:t xml:space="preserve">CDI-associated </w:t>
      </w:r>
      <w:r w:rsidR="00336D49">
        <w:t>LOS</w:t>
      </w:r>
      <w:r w:rsidR="00F258E9">
        <w:t xml:space="preserve"> </w:t>
      </w:r>
      <w:r w:rsidR="00336D49">
        <w:t>or</w:t>
      </w:r>
      <w:r w:rsidR="008220F6">
        <w:t xml:space="preserve"> </w:t>
      </w:r>
      <w:r w:rsidR="00F1722E">
        <w:t>quantify</w:t>
      </w:r>
      <w:r w:rsidR="00F16567">
        <w:t>ing</w:t>
      </w:r>
      <w:r w:rsidR="00107DA1">
        <w:t xml:space="preserve"> </w:t>
      </w:r>
      <w:r w:rsidR="00387444">
        <w:t>cost</w:t>
      </w:r>
      <w:r w:rsidR="00336D49">
        <w:t xml:space="preserve"> savings</w:t>
      </w:r>
      <w:r w:rsidR="00CA7F16">
        <w:t xml:space="preserve"> </w:t>
      </w:r>
      <w:r w:rsidR="00234189">
        <w:t xml:space="preserve">of new preventive strategies that </w:t>
      </w:r>
      <w:r w:rsidR="001362D9">
        <w:t>decrease</w:t>
      </w:r>
      <w:r w:rsidR="00153D6D">
        <w:t xml:space="preserve"> CDI </w:t>
      </w:r>
      <w:r w:rsidR="00234189">
        <w:t>incidence</w:t>
      </w:r>
      <w:r w:rsidR="00336D49">
        <w:t xml:space="preserve">. </w:t>
      </w:r>
      <w:r w:rsidR="009F03BF">
        <w:t>C</w:t>
      </w:r>
      <w:r w:rsidR="00336D49">
        <w:t xml:space="preserve">hanges in LOS can be extrapolated to </w:t>
      </w:r>
      <w:r w:rsidR="006D31E8">
        <w:t>approximate</w:t>
      </w:r>
      <w:r w:rsidR="00336D49">
        <w:t xml:space="preserve"> economic costs by multiplying by the </w:t>
      </w:r>
      <w:r w:rsidR="00BE011E">
        <w:t>average</w:t>
      </w:r>
      <w:r w:rsidR="00336D49">
        <w:t xml:space="preserve"> cost of </w:t>
      </w:r>
      <w:r w:rsidR="008F66F4">
        <w:lastRenderedPageBreak/>
        <w:t xml:space="preserve">extra </w:t>
      </w:r>
      <w:r w:rsidR="0084770B">
        <w:t>inpatient-</w:t>
      </w:r>
      <w:r w:rsidR="00336D49">
        <w:t>day</w:t>
      </w:r>
      <w:r w:rsidR="005A23A3">
        <w:t>s</w:t>
      </w:r>
      <w:r w:rsidR="00234189">
        <w:t xml:space="preserve"> </w:t>
      </w:r>
      <w:r w:rsidR="008E5335">
        <w:t xml:space="preserve">as </w:t>
      </w:r>
      <w:r w:rsidR="00336D49">
        <w:t xml:space="preserve">LOS is the </w:t>
      </w:r>
      <w:r w:rsidR="00371BFB">
        <w:t xml:space="preserve">main </w:t>
      </w:r>
      <w:r w:rsidR="009B37B9">
        <w:t xml:space="preserve">contributor </w:t>
      </w:r>
      <w:r w:rsidR="008847C3">
        <w:t xml:space="preserve">to </w:t>
      </w:r>
      <w:r w:rsidR="00344DA1">
        <w:t>CDI’s cost</w:t>
      </w:r>
      <w:r w:rsidR="00660C8E">
        <w:t>.</w:t>
      </w:r>
      <w:r w:rsidR="009734CE">
        <w:fldChar w:fldCharType="begin" w:fldLock="1"/>
      </w:r>
      <w:r w:rsidR="00717812">
        <w:instrText>ADDIN CSL_CITATION { "citationItems" : [ { "id" : "ITEM-1", "itemData" : { "DOI" : "10.1001/jamainternmed.2013.9763", "ISBN" : "2168-6114", "ISSN" : "2168-6114", "PMID" : "23999949", "abstract" : "IMPORTANCE: Health care-associated infections (HAIs) account for a large proportion of the harms caused by health care and are associated with high costs. Better evaluation of the costs of these infections could help providers and payers to justify investing in prevention.\\n\\nOBJECTIVE: To estimate costs associated with the most significant and targetable HAIs.\\n\\nDATA SOURCES: For estimation of attributable costs, we conducted a systematic review of the literature using PubMed for the years 1986 through April 2013. For HAI incidence estimates, we used the National Healthcare Safety Network of the Centers for Disease Control and Prevention (CDC).\\n\\nSTUDY SELECTION: Studies performed outside the United States were excluded. Inclusion criteria included a robust method of comparison using a matched control group or an appropriate regression strategy, generalizable populations typical of inpatient wards and critical care units, methodologic consistency with CDC definitions, and soundness of handling economic outcomes.\\n\\nDATA EXTRACTION AND SYNTHESIS: Three review cycles were completed, with the final iteration carried out from July 2011 to April 2013. Selected publications underwent a secondary review by the research team.\\n\\nMAIN OUTCOMES AND MEASURES: Costs, inflated to 2012 US dollars.\\n\\nRESULTS: Using Monte Carlo simulation, we generated point estimates and 95% CIs for attributable costs and length of hospital stay. On a per-case basis, central line-associated bloodstream infections were found to be the most costly HAIs at $45,814 (95% CI, $30,919-$65,245), followed by ventilator-associated pneumonia at $40,144 (95% CI, $36,286-$44,220), surgical site infections at $20,785 (95% CI, $18,902-$22,667), Clostridium difficile infection at $11,285 (95% CI, $9118-$13,574), and catheter-associated urinary tract infections at $896 (95% CI, $603-$1189). The total annual costs for the 5 major infections were $9.8 billion (95% CI, $8.3-$11.5 billion), with surgical site infections contributing the most to overall costs (33.7% of the total), followed by ventilator-associated pneumonia (31.6%), central line-associated bloodstream infections (18.9%), C difficile infections (15.4%), and catheter-associated urinary tract infections (&lt;1%).\\n\\nCONCLUSIONS AND RELEVANCE: While quality improvement initiatives have decreased HAI incidence and costs, much more remains to be done. As hospitals realize savings from prevention of these complications under payment reforms, the\u2026", "author" : [ { "dropping-particle" : "", "family" : "Zimlichman", "given" : "Eyal", "non-dropping-particle" : "", "parse-names" : false, "suffix" : "" }, { "dropping-particle" : "", "family" : "Henderson", "given" : "Daniel", "non-dropping-particle" : "", "parse-names" : false, "suffix" : "" }, { "dropping-particle" : "", "family" : "Tamir", "given" : "Orly", "non-dropping-particle" : "", "parse-names" : false, "suffix" : "" }, { "dropping-particle" : "", "family" : "Franz", "given" : "Calvin", "non-dropping-particle" : "", "parse-names" : false, "suffix" : "" }, { "dropping-particle" : "", "family" : "Song", "given" : "Peter", "non-dropping-particle" : "", "parse-names" : false, "suffix" : "" }, { "dropping-particle" : "", "family" : "Yamin", "given" : "Cyrus K.", "non-dropping-particle" : "", "parse-names" : false, "suffix" : "" }, { "dropping-particle" : "", "family" : "Keohane", "given" : "Carol", "non-dropping-particle" : "", "parse-names" : false, "suffix" : "" }, { "dropping-particle" : "", "family" : "Denham", "given" : "Charles R.", "non-dropping-particle" : "", "parse-names" : false, "suffix" : "" }, { "dropping-particle" : "", "family" : "Bates", "given" : "David W.", "non-dropping-particle" : "", "parse-names" : false, "suffix" : "" } ], "container-title" : "JAMA internal medicine", "id" : "ITEM-1", "issue" : "22", "issued" : { "date-parts" : [ [ "2013" ] ] }, "page" : "2039-46", "title" : "Health care-associated infections: a meta-analysis of costs and financial impact on the US health care system.", "type" : "article-journal", "volume" : "173" }, "uris" : [ "http://www.mendeley.com/documents/?uuid=c3782faa-a896-4aff-bdab-e8997d58b765" ] }, { "id" : "ITEM-2", "itemData" : { "DOI" : "10.1016/S0195-6701(96)90122-X", "ISBN" : "0195-6701", "ISSN" : "0195-6701", "PMID" : "8880547", "abstract" : "Clostridium difficile infection has become endemic in many hospitals and yet few data on the associated costs of such cases are available. We prospectively followed 50 consecutive cases of C. difficile infection and 92 control patients, who were admitted to the same geriatric wards within 72 h of the cases. Cases and controls had similar age, sex and major diagnosis distributions. Cases stayed significantly longer (mean 21.3 days, median 20.5 days; P &lt; 0.001) in hospital than controls, including an average 14 days in a side room. Diarrhoea developed in cases on average 10.8 days after admission, which, when compared with a mean duration of stay for controls of 25.2 days, implies that C. difficile infection caused an increased duration of stay, as opposed to infection occurring because of longer residence. There was a significantly higher death rate in cases compared with controls (P &lt; 0.01). Antibiotic treatment of C. difficile infection cost an average of Pounds 47 per case. The average number of laboratory investigations per day was similar for cases and controls, but the increased length of stay meant an extra cost for tests of approximately Pounds 210 per case. Assuming hotel costs of Pounds 150 (Pounds 200) per day stay (in a side room), 94% of the additional costs associated with C. difficile infection were due to increased duration of stay (Pounds 3850). The total identifiable increased cost of C. difficile infection was, therefore, in excess of Pounds 4000 per case. Such high costs can be used to justify expenditure on personnel and/or other control measures to reduce the incidence of this hospital-acquired infection.", "author" : [ { "dropping-particle" : "", "family" : "Wilcox", "given" : "M H", "non-dropping-particle" : "", "parse-names" : false, "suffix" : "" }, { "dropping-particle" : "", "family" : "Cunniffe", "given" : "J G", "non-dropping-particle" : "", "parse-names" : false, "suffix" : "" }, { "dropping-particle" : "", "family" : "Trundle", "given" : "C", "non-dropping-particle" : "", "parse-names" : false, "suffix" : "" }, { "dropping-particle" : "", "family" : "Redpath", "given" : "C", "non-dropping-particle" : "", "parse-names" : false, "suffix" : "" } ], "container-title" : "The Journal of hospital infection", "id" : "ITEM-2", "issue" : "1", "issued" : { "date-parts" : [ [ "1996" ] ] }, "page" : "23-30", "title" : "Financial burden of hospital-acquired Clostridium difficile infection.", "type" : "article-journal", "volume" : "34" }, "uris" : [ "http://www.mendeley.com/documents/?uuid=fb4c33e6-57cb-4561-89ce-59c9637c9e2b" ] }, { "id" : "ITEM-3", "itemData" : { "DOI" : "10.1111/j.1469-0691.2011.03571.x", "ISBN" : "1469-0691 (Electronic)\\r1198-743X (Linking)", "ISSN" : "1198743X", "PMID" : "21668576", "abstract" : "Although Clostridium difficile (C. difficile) is the leading cause of infectious diarrhoea in hospitalized patients, the economic burden of this major nosocomial pathogen for hospitals, third-party payers and society remains unclear. We developed an economic computer simulation model to determine the costs attributable to healthcare-acquired C. difficile infection (CDI) from the hospital, third-party payer and societal perspectives. Sensitivity analyses explored the effects of varying the cost of hospitalization, C. difficile-attributable length of stay, and the probability of initial and secondary recurrences. The median cost of a case ranged from $9179 to $11 456 from the hospital perspective, $8932 to $11 679 from the third-party payor perspective, and $13 310 to $16 464 from the societal perspective. Most of the costs incurred were accrued during a patient's primary CDI episode. Hospitals with an incidence of 4.1 CDI cases per 100 000 discharges would incur costs &gt;/=$3.2 million (hospital perspective); an incidence of 10.5 would lead to costs &gt;/=$30.6 million. Our model suggests that the annual US economic burden of CDI would be &gt;/=$496 million (hospital perspective), &gt;/=$547 million (third-party payer perspective) and &gt;/=$796 million (societal perspective). Our results show that C. difficile infection is indeed costly, not only to third-party payers and the hospital, but to society as well. These results are consistent with current literature citing C. difficile as a costly disease.", "author" : [ { "dropping-particle" : "", "family" : "McGlone", "given" : "S. M.", "non-dropping-particle" : "", "parse-names" : false, "suffix" : "" }, { "dropping-particle" : "", "family" : "Bailey", "given" : "R. R.", "non-dropping-particle" : "", "parse-names" : false, "suffix" : "" }, { "dropping-particle" : "", "family" : "Zimmer", "given" : "S. M.", "non-dropping-particle" : "", "parse-names" : false, "suffix" : "" }, { "dropping-particle" : "", "family" : "Popovich", "given" : "M. J.", "non-dropping-particle" : "", "parse-names" : false, "suffix" : "" }, { "dropping-particle" : "", "family" : "Tian", "given" : "Y.", "non-dropping-particle" : "", "parse-names" : false, "suffix" : "" }, { "dropping-particle" : "", "family" : "Ufberg", "given" : "P.", "non-dropping-particle" : "", "parse-names" : false, "suffix" : "" }, { "dropping-particle" : "", "family" : "Muder", "given" : "R. R.", "non-dropping-particle" : "", "parse-names" : false, "suffix" : "" }, { "dropping-particle" : "", "family" : "Lee", "given" : "B. Y.", "non-dropping-particle" : "", "parse-names" : false, "suffix" : "" } ], "container-title" : "Clinical Microbiology and Infection", "id" : "ITEM-3", "issue" : "3", "issued" : { "date-parts" : [ [ "2012" ] ] }, "page" : "282-289", "publisher" : "European Society of Clinical Infectious Diseases", "title" : "The economic burden of Clostridium difficile", "type" : "article-journal", "volume" : "18" }, "uris" : [ "http://www.mendeley.com/documents/?uuid=9da019eb-34a9-4776-a37b-9b8820273ef3" ] }, { "id" : "ITEM-4", "itemData" : { "DOI" : "10.1086/651110", "ISBN" : "1537-6591 (Electronic)\r1058-4838 (Linking)", "ISSN" : "1537-6591", "PMID" : "20178419", "abstract" : "Monetary valuations of the economic cost of health care-associated infections (HAIs) are important for decision making and should be estimated accurately. Erroneously high estimates of costs, designed to jolt decision makers into action, may do more harm than good in the struggle to attract funding for infection control. Expectations among policy makers might be raised, and then they are disappointed when the reduction in the number of HAIs does not yield the anticipated cost saving. For this article, we critically review the field and discuss 3 questions. Why measure the cost of an HAI? What outcome should be used to measure the cost of an HAI? What is the best method for making this measurement? The aim is to encourage researchers to collect and then disseminate information that accurately guides decisions about the economic value of expanding or changing current infection control activities.", "author" : [ { "dropping-particle" : "", "family" : "Graves", "given" : "Nicholas", "non-dropping-particle" : "", "parse-names" : false, "suffix" : "" }, { "dropping-particle" : "", "family" : "Harbarth", "given" : "Stephan", "non-dropping-particle" : "", "parse-names" : false, "suffix" : "" }, { "dropping-particle" : "", "family" : "Beyersmann", "given" : "Jan", "non-dropping-particle" : "", "parse-names" : false, "suffix" : "" }, { "dropping-particle" : "", "family" : "Barnett", "given" : "Adrian", "non-dropping-particle" : "", "parse-names" : false, "suffix" : "" }, { "dropping-particle" : "", "family" : "Halton", "given" : "Kate", "non-dropping-particle" : "", "parse-names" : false, "suffix" : "" }, { "dropping-particle" : "", "family" : "Cooper", "given" : "Ben", "non-dropping-particle" : "", "parse-names" : false, "suffix" : "" } ], "container-title" : "Clinical Infectious Diseases", "id" : "ITEM-4", "issue" : "7", "issued" : { "date-parts" : [ [ "2010" ] ] }, "page" : "1017-1021", "title" : "Estimating the cost of health care-associated infections: mind your p's and q's.", "type" : "article-journal", "volume" : "50" }, "uris" : [ "http://www.mendeley.com/documents/?uuid=8ac05954-2070-4894-b8be-845b7e0918c8" ] } ], "mendeley" : { "formattedCitation" : "\\autocite{Graves2010,McGlone2012,Wilcox1996,Zimlichman2013}", "plainTextFormattedCitation" : "\\autocite{Graves2010,McGlone2012,Wilcox1996,Zimlichman2013}", "previouslyFormattedCitation" : "&lt;sup&gt;3,21,22,36&lt;/sup&gt;" }, "properties" : { "noteIndex" : 0 }, "schema" : "https://github.com/citation-style-language/schema/raw/master/csl-citation.json" }</w:instrText>
      </w:r>
      <w:r w:rsidR="009734CE">
        <w:fldChar w:fldCharType="separate"/>
      </w:r>
      <w:r w:rsidR="00717812" w:rsidRPr="00717812">
        <w:rPr>
          <w:noProof/>
        </w:rPr>
        <w:t>\autocite{Graves2010,McGlone2012,Wilcox1996,Zimlichman2013}</w:t>
      </w:r>
      <w:r w:rsidR="009734CE">
        <w:fldChar w:fldCharType="end"/>
      </w:r>
      <w:r w:rsidR="000715B1">
        <w:t xml:space="preserve"> In our dataset, using the </w:t>
      </w:r>
      <w:r w:rsidR="004B0C16">
        <w:t>time-</w:t>
      </w:r>
      <w:r w:rsidR="00AA16A9">
        <w:t xml:space="preserve">dependency </w:t>
      </w:r>
      <w:r w:rsidR="00E55AC1">
        <w:t>adjusted differences</w:t>
      </w:r>
      <w:r w:rsidR="000715B1">
        <w:t xml:space="preserve"> </w:t>
      </w:r>
      <w:r w:rsidR="00A45441">
        <w:t>in</w:t>
      </w:r>
      <w:r w:rsidR="004B0C16">
        <w:t xml:space="preserve"> LOS </w:t>
      </w:r>
      <w:r w:rsidR="000715B1">
        <w:t>of 3</w:t>
      </w:r>
      <w:r w:rsidR="006E6469">
        <w:t>·</w:t>
      </w:r>
      <w:r w:rsidR="000715B1">
        <w:t>1–3</w:t>
      </w:r>
      <w:r w:rsidR="006E6469">
        <w:t>·</w:t>
      </w:r>
      <w:r w:rsidR="000715B1">
        <w:t>3 days</w:t>
      </w:r>
      <w:r w:rsidR="00F005B2">
        <w:t xml:space="preserve"> and the national average cost</w:t>
      </w:r>
      <w:r w:rsidR="00A45441">
        <w:t xml:space="preserve"> of additional inpatient-day</w:t>
      </w:r>
      <w:r w:rsidR="00D661AA">
        <w:t>s</w:t>
      </w:r>
      <w:r w:rsidR="00A45441">
        <w:t xml:space="preserve"> for CDI cases,</w:t>
      </w:r>
      <w:r w:rsidR="009A1AFF">
        <w:fldChar w:fldCharType="begin" w:fldLock="1"/>
      </w:r>
      <w:r w:rsidR="00717812">
        <w:instrText>ADDIN CSL_CITATION { "citationItems" : [ { "id" : "ITEM-1", "itemData" : { "DOI" : "10.1001/jamainternmed.2013.9763", "ISBN" : "2168-6114", "ISSN" : "2168-6114", "PMID" : "23999949", "abstract" : "IMPORTANCE: Health care-associated infections (HAIs) account for a large proportion of the harms caused by health care and are associated with high costs. Better evaluation of the costs of these infections could help providers and payers to justify investing in prevention.\\n\\nOBJECTIVE: To estimate costs associated with the most significant and targetable HAIs.\\n\\nDATA SOURCES: For estimation of attributable costs, we conducted a systematic review of the literature using PubMed for the years 1986 through April 2013. For HAI incidence estimates, we used the National Healthcare Safety Network of the Centers for Disease Control and Prevention (CDC).\\n\\nSTUDY SELECTION: Studies performed outside the United States were excluded. Inclusion criteria included a robust method of comparison using a matched control group or an appropriate regression strategy, generalizable populations typical of inpatient wards and critical care units, methodologic consistency with CDC definitions, and soundness of handling economic outcomes.\\n\\nDATA EXTRACTION AND SYNTHESIS: Three review cycles were completed, with the final iteration carried out from July 2011 to April 2013. Selected publications underwent a secondary review by the research team.\\n\\nMAIN OUTCOMES AND MEASURES: Costs, inflated to 2012 US dollars.\\n\\nRESULTS: Using Monte Carlo simulation, we generated point estimates and 95% CIs for attributable costs and length of hospital stay. On a per-case basis, central line-associated bloodstream infections were found to be the most costly HAIs at $45,814 (95% CI, $30,919-$65,245), followed by ventilator-associated pneumonia at $40,144 (95% CI, $36,286-$44,220), surgical site infections at $20,785 (95% CI, $18,902-$22,667), Clostridium difficile infection at $11,285 (95% CI, $9118-$13,574), and catheter-associated urinary tract infections at $896 (95% CI, $603-$1189). The total annual costs for the 5 major infections were $9.8 billion (95% CI, $8.3-$11.5 billion), with surgical site infections contributing the most to overall costs (33.7% of the total), followed by ventilator-associated pneumonia (31.6%), central line-associated bloodstream infections (18.9%), C difficile infections (15.4%), and catheter-associated urinary tract infections (&lt;1%).\\n\\nCONCLUSIONS AND RELEVANCE: While quality improvement initiatives have decreased HAI incidence and costs, much more remains to be done. As hospitals realize savings from prevention of these complications under payment reforms, the\u2026", "author" : [ { "dropping-particle" : "", "family" : "Zimlichman", "given" : "Eyal", "non-dropping-particle" : "", "parse-names" : false, "suffix" : "" }, { "dropping-particle" : "", "family" : "Henderson", "given" : "Daniel", "non-dropping-particle" : "", "parse-names" : false, "suffix" : "" }, { "dropping-particle" : "", "family" : "Tamir", "given" : "Orly", "non-dropping-particle" : "", "parse-names" : false, "suffix" : "" }, { "dropping-particle" : "", "family" : "Franz", "given" : "Calvin", "non-dropping-particle" : "", "parse-names" : false, "suffix" : "" }, { "dropping-particle" : "", "family" : "Song", "given" : "Peter", "non-dropping-particle" : "", "parse-names" : false, "suffix" : "" }, { "dropping-particle" : "", "family" : "Yamin", "given" : "Cyrus K.", "non-dropping-particle" : "", "parse-names" : false, "suffix" : "" }, { "dropping-particle" : "", "family" : "Keohane", "given" : "Carol", "non-dropping-particle" : "", "parse-names" : false, "suffix" : "" }, { "dropping-particle" : "", "family" : "Denham", "given" : "Charles R.", "non-dropping-particle" : "", "parse-names" : false, "suffix" : "" }, { "dropping-particle" : "", "family" : "Bates", "given" : "David W.", "non-dropping-particle" : "", "parse-names" : false, "suffix" : "" } ], "container-title" : "JAMA internal medicine", "id" : "ITEM-1", "issue" : "22", "issued" : { "date-parts" : [ [ "2013" ] ] }, "page" : "2039-46", "title" : "Health care-associated infections: a meta-analysis of costs and financial impact on the US health care system.", "type" : "article-journal", "volume" : "173" }, "uris" : [ "http://www.mendeley.com/documents/?uuid=c3782faa-a896-4aff-bdab-e8997d58b765" ] } ], "mendeley" : { "formattedCitation" : "\\autocite{Zimlichman2013}", "plainTextFormattedCitation" : "\\autocite{Zimlichman2013}", "previouslyFormattedCitation" : "&lt;sup&gt;3&lt;/sup&gt;" }, "properties" : { "noteIndex" : 0 }, "schema" : "https://github.com/citation-style-language/schema/raw/master/csl-citation.json" }</w:instrText>
      </w:r>
      <w:r w:rsidR="009A1AFF">
        <w:fldChar w:fldCharType="separate"/>
      </w:r>
      <w:r w:rsidR="00717812" w:rsidRPr="00717812">
        <w:rPr>
          <w:noProof/>
        </w:rPr>
        <w:t>\autocite{Zimlichman2013}</w:t>
      </w:r>
      <w:r w:rsidR="009A1AFF">
        <w:fldChar w:fldCharType="end"/>
      </w:r>
      <w:r w:rsidR="00A45441">
        <w:t xml:space="preserve"> </w:t>
      </w:r>
      <w:r w:rsidR="000715B1">
        <w:t xml:space="preserve">the </w:t>
      </w:r>
      <w:r w:rsidR="00F005B2">
        <w:t xml:space="preserve">median </w:t>
      </w:r>
      <w:r w:rsidR="00AC4EA0">
        <w:t>cost</w:t>
      </w:r>
      <w:r w:rsidR="003A6209">
        <w:t xml:space="preserve"> </w:t>
      </w:r>
      <w:r w:rsidR="00223C2A">
        <w:t>associated with each</w:t>
      </w:r>
      <w:r w:rsidR="00396746">
        <w:t xml:space="preserve"> </w:t>
      </w:r>
      <w:r w:rsidR="001C4E6C">
        <w:t xml:space="preserve">case would be </w:t>
      </w:r>
      <w:r w:rsidR="00963665">
        <w:t xml:space="preserve">approximately </w:t>
      </w:r>
      <w:r w:rsidR="001C4E6C">
        <w:t>$10,</w:t>
      </w:r>
      <w:r w:rsidR="009A1AFF">
        <w:t>6</w:t>
      </w:r>
      <w:r w:rsidR="001C4E6C">
        <w:t>00</w:t>
      </w:r>
      <w:r w:rsidR="00E90D16">
        <w:t>–</w:t>
      </w:r>
      <w:r w:rsidR="001C4E6C">
        <w:t>11,300</w:t>
      </w:r>
      <w:r w:rsidR="009A1AFF">
        <w:t>;</w:t>
      </w:r>
      <w:r w:rsidR="008723B8">
        <w:t xml:space="preserve"> </w:t>
      </w:r>
      <w:r w:rsidR="00696606">
        <w:t xml:space="preserve">this is </w:t>
      </w:r>
      <w:r w:rsidR="00AB75C3">
        <w:t>substantial</w:t>
      </w:r>
      <w:r w:rsidR="008723B8">
        <w:t xml:space="preserve"> </w:t>
      </w:r>
      <w:r w:rsidR="00683A45">
        <w:t xml:space="preserve">in </w:t>
      </w:r>
      <w:r w:rsidR="00AB75C3">
        <w:t>comparison</w:t>
      </w:r>
      <w:r w:rsidR="00D90639">
        <w:t xml:space="preserve"> to </w:t>
      </w:r>
      <w:r w:rsidR="00FC7928">
        <w:t xml:space="preserve">the </w:t>
      </w:r>
      <w:r w:rsidR="00DF4B97">
        <w:t xml:space="preserve">national </w:t>
      </w:r>
      <w:r w:rsidR="008723B8">
        <w:t xml:space="preserve">average price </w:t>
      </w:r>
      <w:r w:rsidR="00546EDE">
        <w:t>fo</w:t>
      </w:r>
      <w:r w:rsidR="00FC7928">
        <w:t xml:space="preserve">r </w:t>
      </w:r>
      <w:r w:rsidR="005F69F8">
        <w:t>an</w:t>
      </w:r>
      <w:r w:rsidR="008723B8">
        <w:t xml:space="preserve"> inpatient</w:t>
      </w:r>
      <w:r w:rsidR="00EB78F6">
        <w:t xml:space="preserve"> visit</w:t>
      </w:r>
      <w:r w:rsidR="00ED472A">
        <w:t>—</w:t>
      </w:r>
      <w:r w:rsidR="005E1A30">
        <w:t>approximately</w:t>
      </w:r>
      <w:r w:rsidR="00A75948">
        <w:t xml:space="preserve"> </w:t>
      </w:r>
      <w:r w:rsidR="00BC5E4E">
        <w:t>$13,000</w:t>
      </w:r>
      <w:r w:rsidR="005E1A30">
        <w:t xml:space="preserve"> in 2011</w:t>
      </w:r>
      <w:r w:rsidR="008723B8">
        <w:t>.</w:t>
      </w:r>
      <w:r w:rsidR="008723B8">
        <w:fldChar w:fldCharType="begin" w:fldLock="1"/>
      </w:r>
      <w:r w:rsidR="00717812">
        <w:instrText>ADDIN CSL_CITATION { "citationItems" : [ { "id" : "ITEM-1", "itemData" : { "DOI" : "10.3386/w21815", "ISBN" : "9780874216561", "ISSN" : "0717-6163", "abstract" : "We use insurance claims data for 27.6 percent of individuals with private employer-sponsored insurance in the US between 2007 and 2011 to examine the variation in health spending and in hospitals\u2019 transaction prices. We document the variation in hospital prices within and across geographic areas, examine how hospital prices influence the variation in health spending on the privately insured, and analyze the factors associated with hospital price variation. Four key findings emerge. First, health care spending per privately insured beneficiary varies by a factor of three across the 306 Hospital Referral Regions (HRRs) in the US. Moreover, the correlation between total spending per privately insured beneficiary and total spending per Medicare beneficiary across HRRs is only 0.14. Second, variation in providers\u2019 transaction prices across HRRs is the primary driver of spending variation for the privately insured, whereas variation in the quantity of care provided across HRRs is the primary driver of Medicare spending variation. Consequently, extrapolating lessons on health spending from Medicare to the privately insured must be done with caution. Third, we document large dispersion in overall inpatient hospital prices and in prices for seven relatively homogenous procedures. For example, hospital prices for lower-limb MRIs vary by a factor of twelve across the nation and, on average, two-fold within HRRs. Finally, hospital prices are positively associated with indicators of hospital market power. Even after conditioning on many demand and cost factors, hospital prices in monopoly markets are 15.3 percent higher than those in markets with four or more hospitals.", "author" : [ { "dropping-particle" : "", "family" : "Cooper", "given" : "Zack", "non-dropping-particle" : "", "parse-names" : false, "suffix" : "" }, { "dropping-particle" : "", "family" : "Craig", "given" : "Stuart", "non-dropping-particle" : "", "parse-names" : false, "suffix" : "" }, { "dropping-particle" : "", "family" : "Gaynor", "given" : "Martin", "non-dropping-particle" : "", "parse-names" : false, "suffix" : "" }, { "dropping-particle" : "", "family" : "Reenen", "given" : "John", "non-dropping-particle" : "Van", "parse-names" : false, "suffix" : "" } ], "collection-title" : "NBER Working Paper", "container-title" : "NBER Working Paper", "id" : "ITEM-1", "issued" : { "date-parts" : [ [ "2015" ] ] }, "page" : "21815", "title" : "The Price Ain\u2019t Right? Hospital Prices and Health Spending on the Privately Insured", "type" : "article-journal" }, "uris" : [ "http://www.mendeley.com/documents/?uuid=812f6aad-0a9e-4376-b94d-decd3bd65a7a" ] } ], "mendeley" : { "formattedCitation" : "\\autocite{Cooper2015}", "plainTextFormattedCitation" : "\\autocite{Cooper2015}", "previouslyFormattedCitation" : "&lt;sup&gt;11&lt;/sup&gt;" }, "properties" : { "noteIndex" : 0 }, "schema" : "https://github.com/citation-style-language/schema/raw/master/csl-citation.json" }</w:instrText>
      </w:r>
      <w:r w:rsidR="008723B8">
        <w:fldChar w:fldCharType="separate"/>
      </w:r>
      <w:r w:rsidR="00717812" w:rsidRPr="00717812">
        <w:rPr>
          <w:noProof/>
        </w:rPr>
        <w:t>\autocite{Cooper2015}</w:t>
      </w:r>
      <w:r w:rsidR="008723B8">
        <w:fldChar w:fldCharType="end"/>
      </w:r>
      <w:r w:rsidR="008723B8">
        <w:t xml:space="preserve"> </w:t>
      </w:r>
      <w:r w:rsidR="00D01670">
        <w:t xml:space="preserve">Using the </w:t>
      </w:r>
      <w:r w:rsidR="00890BD7">
        <w:t xml:space="preserve">average yearly </w:t>
      </w:r>
      <w:r w:rsidR="00D01670">
        <w:t xml:space="preserve">caseload </w:t>
      </w:r>
      <w:r w:rsidR="00F07349">
        <w:t>observed in</w:t>
      </w:r>
      <w:r w:rsidR="00D01670">
        <w:t xml:space="preserve"> the dataset for </w:t>
      </w:r>
      <w:r w:rsidR="00910D1C">
        <w:t>toxin</w:t>
      </w:r>
      <w:r w:rsidR="00D2576A">
        <w:t xml:space="preserve"> assay</w:t>
      </w:r>
      <w:r w:rsidR="00910D1C">
        <w:t xml:space="preserve"> </w:t>
      </w:r>
      <w:r w:rsidR="008A6F31">
        <w:t>positive</w:t>
      </w:r>
      <w:r w:rsidR="009F241E">
        <w:t xml:space="preserve"> cases</w:t>
      </w:r>
      <w:r w:rsidR="00D01670">
        <w:t xml:space="preserve">, our figures represent an annual </w:t>
      </w:r>
      <w:r w:rsidR="00505B4A">
        <w:t>accounting cost</w:t>
      </w:r>
      <w:r w:rsidR="00D01670">
        <w:t xml:space="preserve"> to Mount Sinai of </w:t>
      </w:r>
      <w:r w:rsidR="005D5228">
        <w:t>approximately $1</w:t>
      </w:r>
      <w:r w:rsidR="00D0674C">
        <w:t>·</w:t>
      </w:r>
      <w:r w:rsidR="005D5228">
        <w:t>5</w:t>
      </w:r>
      <w:r w:rsidR="00B92CC5">
        <w:t xml:space="preserve"> </w:t>
      </w:r>
      <w:r w:rsidR="005D5228">
        <w:t>m</w:t>
      </w:r>
      <w:r w:rsidR="00B92CC5">
        <w:t>illion</w:t>
      </w:r>
      <w:r w:rsidR="005F480A">
        <w:t>, not including the opportunity cost of bed occupancy</w:t>
      </w:r>
      <w:r w:rsidR="00E01272">
        <w:t xml:space="preserve"> by CDI patients</w:t>
      </w:r>
      <w:r w:rsidR="004B7A67">
        <w:t xml:space="preserve"> </w:t>
      </w:r>
      <w:r w:rsidR="007A38BF">
        <w:t>or the</w:t>
      </w:r>
      <w:r w:rsidR="006D31E8">
        <w:t xml:space="preserve"> impact </w:t>
      </w:r>
      <w:r w:rsidR="00ED472A">
        <w:t xml:space="preserve">on </w:t>
      </w:r>
      <w:r w:rsidR="00D3004A">
        <w:t>infection control</w:t>
      </w:r>
      <w:r w:rsidR="00214669">
        <w:t xml:space="preserve"> resources</w:t>
      </w:r>
      <w:r w:rsidR="00D3004A">
        <w:t>.</w:t>
      </w:r>
      <w:r w:rsidR="00D3004A">
        <w:fldChar w:fldCharType="begin" w:fldLock="1"/>
      </w:r>
      <w:r w:rsidR="00717812">
        <w:instrText>ADDIN CSL_CITATION { "citationItems" : [ { "id" : "ITEM-1", "itemData" : { "DOI" : "10.1086/651110", "ISBN" : "1537-6591 (Electronic)\r1058-4838 (Linking)", "ISSN" : "1537-6591", "PMID" : "20178419", "abstract" : "Monetary valuations of the economic cost of health care-associated infections (HAIs) are important for decision making and should be estimated accurately. Erroneously high estimates of costs, designed to jolt decision makers into action, may do more harm than good in the struggle to attract funding for infection control. Expectations among policy makers might be raised, and then they are disappointed when the reduction in the number of HAIs does not yield the anticipated cost saving. For this article, we critically review the field and discuss 3 questions. Why measure the cost of an HAI? What outcome should be used to measure the cost of an HAI? What is the best method for making this measurement? The aim is to encourage researchers to collect and then disseminate information that accurately guides decisions about the economic value of expanding or changing current infection control activities.", "author" : [ { "dropping-particle" : "", "family" : "Graves", "given" : "Nicholas", "non-dropping-particle" : "", "parse-names" : false, "suffix" : "" }, { "dropping-particle" : "", "family" : "Harbarth", "given" : "Stephan", "non-dropping-particle" : "", "parse-names" : false, "suffix" : "" }, { "dropping-particle" : "", "family" : "Beyersmann", "given" : "Jan", "non-dropping-particle" : "", "parse-names" : false, "suffix" : "" }, { "dropping-particle" : "", "family" : "Barnett", "given" : "Adrian", "non-dropping-particle" : "", "parse-names" : false, "suffix" : "" }, { "dropping-particle" : "", "family" : "Halton", "given" : "Kate", "non-dropping-particle" : "", "parse-names" : false, "suffix" : "" }, { "dropping-particle" : "", "family" : "Cooper", "given" : "Ben", "non-dropping-particle" : "", "parse-names" : false, "suffix" : "" } ], "container-title" : "Clinical Infectious Diseases", "id" : "ITEM-1", "issue" : "7", "issued" : { "date-parts" : [ [ "2010" ] ] }, "page" : "1017-1021", "title" : "Estimating the cost of health care-associated infections: mind your p's and q's.", "type" : "article-journal", "volume" : "50" }, "uris" : [ "http://www.mendeley.com/documents/?uuid=8ac05954-2070-4894-b8be-845b7e0918c8" ] } ], "mendeley" : { "formattedCitation" : "\\autocite{Graves2010}", "plainTextFormattedCitation" : "\\autocite{Graves2010}", "previouslyFormattedCitation" : "&lt;sup&gt;36&lt;/sup&gt;" }, "properties" : { "noteIndex" : 0 }, "schema" : "https://github.com/citation-style-language/schema/raw/master/csl-citation.json" }</w:instrText>
      </w:r>
      <w:r w:rsidR="00D3004A">
        <w:fldChar w:fldCharType="separate"/>
      </w:r>
      <w:r w:rsidR="00717812" w:rsidRPr="00717812">
        <w:rPr>
          <w:noProof/>
        </w:rPr>
        <w:t>\autocite{Graves2010}</w:t>
      </w:r>
      <w:r w:rsidR="00D3004A">
        <w:fldChar w:fldCharType="end"/>
      </w:r>
      <w:r w:rsidR="003371F5">
        <w:t xml:space="preserve"> </w:t>
      </w:r>
      <w:proofErr w:type="gramStart"/>
      <w:r w:rsidR="003371F5">
        <w:t>In</w:t>
      </w:r>
      <w:proofErr w:type="gramEnd"/>
      <w:r w:rsidR="003371F5">
        <w:t xml:space="preserve"> principle, our analysis</w:t>
      </w:r>
      <w:r w:rsidR="00DD2EAE">
        <w:t xml:space="preserve"> </w:t>
      </w:r>
      <w:r w:rsidR="003371F5">
        <w:t>is</w:t>
      </w:r>
      <w:r w:rsidR="00227E66">
        <w:t xml:space="preserve"> </w:t>
      </w:r>
      <w:r w:rsidR="007444C9">
        <w:t>generalizable</w:t>
      </w:r>
      <w:r w:rsidR="00227E66">
        <w:t xml:space="preserve"> to </w:t>
      </w:r>
      <w:r w:rsidR="00DC0822">
        <w:t>any HAI where lab results</w:t>
      </w:r>
      <w:r w:rsidR="005571F1">
        <w:t xml:space="preserve"> recorded in the EMR</w:t>
      </w:r>
      <w:r w:rsidR="00DC0822">
        <w:t xml:space="preserve"> robustly reflect</w:t>
      </w:r>
      <w:r w:rsidR="00201E25">
        <w:t xml:space="preserve"> the incidence of infection</w:t>
      </w:r>
      <w:r w:rsidR="006504C8">
        <w:t>s</w:t>
      </w:r>
      <w:r w:rsidR="00DC0822">
        <w:t>.</w:t>
      </w:r>
    </w:p>
    <w:p w14:paraId="623C721D" w14:textId="751B8ED3" w:rsidR="00567DF4" w:rsidRDefault="00567DF4" w:rsidP="00556E30">
      <w:pPr>
        <w:ind w:firstLine="720"/>
      </w:pPr>
      <w:r>
        <w:t>Our study has several limitations.</w:t>
      </w:r>
      <w:r w:rsidR="00C16B2C">
        <w:t xml:space="preserve"> </w:t>
      </w:r>
      <w:r w:rsidR="002272AE">
        <w:t>T</w:t>
      </w:r>
      <w:r w:rsidR="00FC3BE7">
        <w:t>he analysis</w:t>
      </w:r>
      <w:r w:rsidR="002272AE">
        <w:t xml:space="preserve"> was designed with</w:t>
      </w:r>
      <w:r w:rsidR="00FC3BE7">
        <w:t xml:space="preserve"> conservative assumptions, preferring that </w:t>
      </w:r>
      <w:r w:rsidR="00513F26">
        <w:t xml:space="preserve">the </w:t>
      </w:r>
      <w:r w:rsidR="00FC3BE7">
        <w:t>model</w:t>
      </w:r>
      <w:r w:rsidR="00513F26">
        <w:t>s</w:t>
      </w:r>
      <w:r w:rsidR="00FC3BE7">
        <w:t xml:space="preserve"> under</w:t>
      </w:r>
      <w:r w:rsidR="002A482B">
        <w:t>estimate</w:t>
      </w:r>
      <w:r w:rsidR="00FC3BE7">
        <w:t xml:space="preserve"> rather than </w:t>
      </w:r>
      <w:r w:rsidR="002A482B">
        <w:t>overestimate</w:t>
      </w:r>
      <w:r w:rsidR="00FC3BE7">
        <w:t xml:space="preserve"> </w:t>
      </w:r>
      <w:r w:rsidR="00877DAE">
        <w:t>changes</w:t>
      </w:r>
      <w:r w:rsidR="009F04CC">
        <w:t xml:space="preserve"> associated with CDI</w:t>
      </w:r>
      <w:r w:rsidR="00FC3BE7">
        <w:t>.</w:t>
      </w:r>
      <w:r w:rsidR="00352712">
        <w:t xml:space="preserve"> For example, restricting to</w:t>
      </w:r>
      <w:r w:rsidR="00C7766B">
        <w:t xml:space="preserve"> </w:t>
      </w:r>
      <w:r w:rsidR="00C61F32">
        <w:t>one</w:t>
      </w:r>
      <w:r w:rsidR="00352712">
        <w:t xml:space="preserve"> index visit per patient </w:t>
      </w:r>
      <w:r w:rsidR="00AA3060">
        <w:t>certainly</w:t>
      </w:r>
      <w:r w:rsidR="00352712">
        <w:t xml:space="preserve"> excluded many </w:t>
      </w:r>
      <w:r w:rsidR="00FF20DA">
        <w:t>repeat visits for</w:t>
      </w:r>
      <w:r w:rsidR="00352712">
        <w:t xml:space="preserve"> recurrent CDI, which are known to incur higher costs.</w:t>
      </w:r>
      <w:r w:rsidR="00352712">
        <w:fldChar w:fldCharType="begin" w:fldLock="1"/>
      </w:r>
      <w:r w:rsidR="00717812">
        <w:instrText>ADDIN CSL_CITATION { "citationItems" : [ { "id" : "ITEM-1", "itemData" : { "DOI" : "10.1017/ice.2016.246", "ISSN" : "0899-823X", "PMID" : "27817758", "author" : [ { "dropping-particle" : "", "family" : "Rodrigues", "given" : "Rodrigo", "non-dropping-particle" : "", "parse-names" : false, "suffix" : "" }, { "dropping-particle" : "", "family" : "Barber", "given" : "Grant E.", "non-dropping-particle" : "", "parse-names" : false, "suffix" : "" }, { "dropping-particle" : "", "family" : "Ananthakrishnan", "given" : "Ashwin N.", "non-dropping-particle" : "", "parse-names" : false, "suffix" : "" } ], "container-title" : "Infection Control &amp; Hospital Epidemiology", "id" : "ITEM-1", "issued" : { "date-parts" : [ [ "2016" ] ] }, "page" : "1-7", "title" : "A Comprehensive Study of Costs Associated With Recurrent Clostridium difficile Infection", "type" : "article-journal" }, "uris" : [ "http://www.mendeley.com/documents/?uuid=80225bdb-1550-4ee3-8c3b-01a190b8b715" ] }, { "id" : "ITEM-2", "itemData" : { "DOI" : "10.1086/526530", "ISSN" : "1058-4838", "PMID" : "18197759", "author" : [ { "dropping-particle" : "", "family" : "Dubberke", "given" : "E. R.", "non-dropping-particle" : "", "parse-names" : false, "suffix" : "" }, { "dropping-particle" : "", "family" : "Reske", "given" : "K. A.", "non-dropping-particle" : "", "parse-names" : false, "suffix" : "" }, { "dropping-particle" : "", "family" : "Olsen", "given" : "M. A.", "non-dropping-particle" : "", "parse-names" : false, "suffix" : "" }, { "dropping-particle" : "", "family" : "McDonald", "given" : "L. C.", "non-dropping-particle" : "", "parse-names" : false, "suffix" : "" }, { "dropping-particle" : "", "family" : "Fraser", "given" : "V. J.", "non-dropping-particle" : "", "parse-names" : false, "suffix" : "" } ], "container-title" : "Clinical Infectious Diseases", "id" : "ITEM-2", "issue" : "4", "issued" : { "date-parts" : [ [ "2008" ] ] }, "page" : "497-504", "title" : "Short- and Long-Term Attributable Costs of Clostridium difficile-Associated Disease in Nonsurgical Inpatients", "type" : "article-journal", "volume" : "46" }, "uris" : [ "http://www.mendeley.com/documents/?uuid=f5c60b21-1862-4e4c-ada5-732efc6692cf" ] }, { "id" : "ITEM-3", "itemData" : { "DOI" : "10.1086/678428", "ISSN" : "0899823X", "PMID" : "25333435", "author" : [ { "dropping-particle" : "", "family" : "Dubberke", "given" : "Erik R.", "non-dropping-particle" : "", "parse-names" : false, "suffix" : "" }, { "dropping-particle" : "", "family" : "Schaefer", "given" : "Eric", "non-dropping-particle" : "", "parse-names" : false, "suffix" : "" }, { "dropping-particle" : "", "family" : "Reske", "given" : "Kimberly A.", "non-dropping-particle" : "", "parse-names" : false, "suffix" : "" }, { "dropping-particle" : "", "family" : "Zilberberg", "given" : "Marya", "non-dropping-particle" : "", "parse-names" : false, "suffix" : "" }, { "dropping-particle" : "", "family" : "Hollenbeak", "given" : "Christopher S.", "non-dropping-particle" : "", "parse-names" : false, "suffix" : "" }, { "dropping-particle" : "", "family" : "Olsen", "given" : "Margaret A.", "non-dropping-particle" : "", "parse-names" : false, "suffix" : "" } ], "container-title" : "Infection Control and Hospital Epidemiology", "id" : "ITEM-3", "issue" : "11", "issued" : { "date-parts" : [ [ "2014" ] ] }, "page" : "1400-1407", "title" : "Attributable Inpatient Costs of Recurrent &lt;i&gt;Clostridium difficile&lt;/i&gt; Infections", "type" : "article-journal", "volume" : "35" }, "uris" : [ "http://www.mendeley.com/documents/?uuid=97636d13-caa2-41d4-b8e1-8de5c7d4b355" ] } ], "mendeley" : { "formattedCitation" : "\\autocite{Dubberke2008, 2014,Rodrigues2016}", "plainTextFormattedCitation" : "\\autocite{Dubberke2008, 2014,Rodrigues2016}", "previouslyFormattedCitation" : "&lt;sup&gt;12,13,39&lt;/sup&gt;" }, "properties" : { "noteIndex" : 0 }, "schema" : "https://github.com/citation-style-language/schema/raw/master/csl-citation.json" }</w:instrText>
      </w:r>
      <w:r w:rsidR="00352712">
        <w:fldChar w:fldCharType="separate"/>
      </w:r>
      <w:r w:rsidR="00717812" w:rsidRPr="00717812">
        <w:rPr>
          <w:noProof/>
        </w:rPr>
        <w:t>\autocite{Dubberke2008, 2014,Rodrigues2016}</w:t>
      </w:r>
      <w:r w:rsidR="00352712">
        <w:fldChar w:fldCharType="end"/>
      </w:r>
      <w:r w:rsidR="00FC3BE7">
        <w:t xml:space="preserve"> </w:t>
      </w:r>
      <w:r w:rsidR="000776B1">
        <w:t xml:space="preserve">We </w:t>
      </w:r>
      <w:r w:rsidR="00F9485C">
        <w:t>preferred</w:t>
      </w:r>
      <w:r w:rsidR="000776B1">
        <w:t xml:space="preserve"> a relatively simple machine learning </w:t>
      </w:r>
      <w:r w:rsidR="00DD19D8">
        <w:t>technique</w:t>
      </w:r>
      <w:r w:rsidR="000776B1">
        <w:t xml:space="preserve">, elastic net </w:t>
      </w:r>
      <w:r w:rsidR="00F63D13">
        <w:t xml:space="preserve">regularized </w:t>
      </w:r>
      <w:r w:rsidR="00E612A7">
        <w:t>generalized linear models,</w:t>
      </w:r>
      <w:r w:rsidR="00DF18E7">
        <w:t xml:space="preserve"> </w:t>
      </w:r>
      <w:r w:rsidR="0095508A">
        <w:t>because of</w:t>
      </w:r>
      <w:r w:rsidR="00DF18E7">
        <w:t xml:space="preserve"> its</w:t>
      </w:r>
      <w:r w:rsidR="0018625B">
        <w:t xml:space="preserve"> </w:t>
      </w:r>
      <w:r w:rsidR="00874608">
        <w:t>transparency</w:t>
      </w:r>
      <w:r w:rsidR="0038571A">
        <w:t xml:space="preserve"> </w:t>
      </w:r>
      <w:r w:rsidR="00D815EC">
        <w:t>in</w:t>
      </w:r>
      <w:r w:rsidR="00BF4F32">
        <w:t xml:space="preserve"> variable selection</w:t>
      </w:r>
      <w:r w:rsidR="0018625B">
        <w:t xml:space="preserve"> and</w:t>
      </w:r>
      <w:r w:rsidR="00DF18E7">
        <w:t xml:space="preserve"> </w:t>
      </w:r>
      <w:r w:rsidR="00F7540C">
        <w:t>unparalleled</w:t>
      </w:r>
      <w:r w:rsidR="00132095">
        <w:t xml:space="preserve"> </w:t>
      </w:r>
      <w:r w:rsidR="00DF18E7">
        <w:t xml:space="preserve">speed on sparse </w:t>
      </w:r>
      <w:r w:rsidR="005402A4">
        <w:t xml:space="preserve">training </w:t>
      </w:r>
      <w:r w:rsidR="0060130A">
        <w:t>data</w:t>
      </w:r>
      <w:r w:rsidR="006F3D41">
        <w:t xml:space="preserve">. </w:t>
      </w:r>
      <w:r w:rsidR="001505AF">
        <w:t>More advanced techniques</w:t>
      </w:r>
      <w:r w:rsidR="008C711B">
        <w:t xml:space="preserve"> might marginally improve </w:t>
      </w:r>
      <w:r w:rsidR="00AA47AF">
        <w:t xml:space="preserve">propensity model accuracy </w:t>
      </w:r>
      <w:r w:rsidR="008C711B">
        <w:t>at the expense of computational complexity</w:t>
      </w:r>
      <w:r w:rsidR="00AA32BC">
        <w:t xml:space="preserve"> and </w:t>
      </w:r>
      <w:r w:rsidR="00493202">
        <w:t xml:space="preserve">model </w:t>
      </w:r>
      <w:r w:rsidR="00AA32BC">
        <w:t>interpretability</w:t>
      </w:r>
      <w:r w:rsidR="008C711B">
        <w:t>.</w:t>
      </w:r>
      <w:r w:rsidR="000776B1">
        <w:t xml:space="preserve"> </w:t>
      </w:r>
      <w:r w:rsidR="00417240" w:rsidRPr="006959F0">
        <w:t>EMR data has known drawbacks compared to clinical research data, such as</w:t>
      </w:r>
      <w:r w:rsidR="00417240">
        <w:t xml:space="preserve"> limitations in time precision</w:t>
      </w:r>
      <w:r w:rsidR="00417240" w:rsidRPr="006959F0">
        <w:t xml:space="preserve">, </w:t>
      </w:r>
      <w:r w:rsidR="00417240">
        <w:t xml:space="preserve">the sparsity of </w:t>
      </w:r>
      <w:r w:rsidR="00EA0208">
        <w:t xml:space="preserve">the </w:t>
      </w:r>
      <w:r w:rsidR="00417240">
        <w:t>data, and increas</w:t>
      </w:r>
      <w:r w:rsidR="00091735">
        <w:t>ed opportunity for coding error</w:t>
      </w:r>
      <w:r w:rsidR="00417240" w:rsidRPr="006959F0">
        <w:t>.</w:t>
      </w:r>
      <w:r w:rsidR="00417240">
        <w:t xml:space="preserve"> </w:t>
      </w:r>
      <w:r w:rsidR="001505AF">
        <w:t>Also, r</w:t>
      </w:r>
      <w:r w:rsidR="003D7B9B">
        <w:t>etrospective m</w:t>
      </w:r>
      <w:r w:rsidR="00682D79">
        <w:t xml:space="preserve">atching-based studies face known trade-offs in estimating </w:t>
      </w:r>
      <w:r w:rsidR="00F84E67">
        <w:t xml:space="preserve">actual </w:t>
      </w:r>
      <w:r w:rsidR="00682D79">
        <w:t>effects of HAIs,</w:t>
      </w:r>
      <w:r w:rsidR="00682D79">
        <w:fldChar w:fldCharType="begin" w:fldLock="1"/>
      </w:r>
      <w:r w:rsidR="00717812">
        <w:instrText>ADDIN CSL_CITATION { "citationItems" : [ { "id" : "ITEM-1", "itemData" : { "DOI" : "10.1086/651110", "ISBN" : "1537-6591 (Electronic)\r1058-4838 (Linking)", "ISSN" : "1537-6591", "PMID" : "20178419", "abstract" : "Monetary valuations of the economic cost of health care-associated infections (HAIs) are important for decision making and should be estimated accurately. Erroneously high estimates of costs, designed to jolt decision makers into action, may do more harm than good in the struggle to attract funding for infection control. Expectations among policy makers might be raised, and then they are disappointed when the reduction in the number of HAIs does not yield the anticipated cost saving. For this article, we critically review the field and discuss 3 questions. Why measure the cost of an HAI? What outcome should be used to measure the cost of an HAI? What is the best method for making this measurement? The aim is to encourage researchers to collect and then disseminate information that accurately guides decisions about the economic value of expanding or changing current infection control activities.", "author" : [ { "dropping-particle" : "", "family" : "Graves", "given" : "Nicholas", "non-dropping-particle" : "", "parse-names" : false, "suffix" : "" }, { "dropping-particle" : "", "family" : "Harbarth", "given" : "Stephan", "non-dropping-particle" : "", "parse-names" : false, "suffix" : "" }, { "dropping-particle" : "", "family" : "Beyersmann", "given" : "Jan", "non-dropping-particle" : "", "parse-names" : false, "suffix" : "" }, { "dropping-particle" : "", "family" : "Barnett", "given" : "Adrian", "non-dropping-particle" : "", "parse-names" : false, "suffix" : "" }, { "dropping-particle" : "", "family" : "Halton", "given" : "Kate", "non-dropping-particle" : "", "parse-names" : false, "suffix" : "" }, { "dropping-particle" : "", "family" : "Cooper", "given" : "Ben", "non-dropping-particle" : "", "parse-names" : false, "suffix" : "" } ], "container-title" : "Clinical Infectious Diseases", "id" : "ITEM-1", "issue" : "7", "issued" : { "date-parts" : [ [ "2010" ] ] }, "page" : "1017-1021", "title" : "Estimating the cost of health care-associated infections: mind your p's and q's.", "type" : "article-journal", "volume" : "50" }, "uris" : [ "http://www.mendeley.com/documents/?uuid=8ac05954-2070-4894-b8be-845b7e0918c8" ] } ], "mendeley" : { "formattedCitation" : "\\autocite{Graves2010}", "plainTextFormattedCitation" : "\\autocite{Graves2010}", "previouslyFormattedCitation" : "&lt;sup&gt;36&lt;/sup&gt;" }, "properties" : { "noteIndex" : 0 }, "schema" : "https://github.com/citation-style-language/schema/raw/master/csl-citation.json" }</w:instrText>
      </w:r>
      <w:r w:rsidR="00682D79">
        <w:fldChar w:fldCharType="separate"/>
      </w:r>
      <w:r w:rsidR="00717812" w:rsidRPr="00717812">
        <w:rPr>
          <w:noProof/>
        </w:rPr>
        <w:t>\autocite{Graves2010}</w:t>
      </w:r>
      <w:r w:rsidR="00682D79">
        <w:fldChar w:fldCharType="end"/>
      </w:r>
      <w:r w:rsidR="00682D79">
        <w:t xml:space="preserve"> </w:t>
      </w:r>
      <w:r w:rsidR="00362A42">
        <w:t>so</w:t>
      </w:r>
      <w:r w:rsidR="00015195">
        <w:t xml:space="preserve"> we used two separate statistical approaches to control for time-dependent bias</w:t>
      </w:r>
      <w:r w:rsidR="001505AF">
        <w:t>,</w:t>
      </w:r>
      <w:r w:rsidR="00015195">
        <w:t xml:space="preserve"> </w:t>
      </w:r>
      <w:r w:rsidR="00C505F6">
        <w:t xml:space="preserve">ultimately </w:t>
      </w:r>
      <w:r w:rsidR="001505AF">
        <w:t>finding</w:t>
      </w:r>
      <w:r w:rsidR="00E0131B">
        <w:t xml:space="preserve"> congruous results</w:t>
      </w:r>
      <w:r w:rsidR="00BC3B4F">
        <w:t>.</w:t>
      </w:r>
      <w:r w:rsidR="002B18EC">
        <w:t xml:space="preserve"> </w:t>
      </w:r>
      <w:r w:rsidR="006B1111">
        <w:t>We did</w:t>
      </w:r>
      <w:r w:rsidR="00D67953">
        <w:t xml:space="preserve"> </w:t>
      </w:r>
      <w:r w:rsidR="002B18EC">
        <w:t xml:space="preserve">not have structured billing data, so </w:t>
      </w:r>
      <w:r w:rsidR="007A07B3">
        <w:t xml:space="preserve">we </w:t>
      </w:r>
      <w:r w:rsidR="002B18EC">
        <w:t>cannot</w:t>
      </w:r>
      <w:r w:rsidR="00846E09">
        <w:t xml:space="preserve"> trace </w:t>
      </w:r>
      <w:r w:rsidR="00822076">
        <w:t xml:space="preserve">itemized costs </w:t>
      </w:r>
      <w:r w:rsidR="00285F76">
        <w:t xml:space="preserve">and </w:t>
      </w:r>
      <w:r w:rsidR="00682D79">
        <w:t>characterize the</w:t>
      </w:r>
      <w:r w:rsidR="00431B71">
        <w:t xml:space="preserve"> exact</w:t>
      </w:r>
      <w:r w:rsidR="00682D79">
        <w:t xml:space="preserve"> relationship between LOS and costs beyond the </w:t>
      </w:r>
      <w:r w:rsidR="00B86A8B">
        <w:t>proportional</w:t>
      </w:r>
      <w:r w:rsidR="00056D63">
        <w:t xml:space="preserve"> </w:t>
      </w:r>
      <w:r w:rsidR="00682D79">
        <w:t xml:space="preserve">estimate </w:t>
      </w:r>
      <w:r w:rsidR="007A3C6A">
        <w:t>above</w:t>
      </w:r>
      <w:r w:rsidR="00682D79">
        <w:t>.</w:t>
      </w:r>
      <w:r w:rsidR="00BC3B4F">
        <w:t xml:space="preserve"> </w:t>
      </w:r>
      <w:r w:rsidR="00A86E03">
        <w:t xml:space="preserve">Finally, </w:t>
      </w:r>
      <w:r w:rsidR="00C17753">
        <w:t>o</w:t>
      </w:r>
      <w:r w:rsidR="002B18EC">
        <w:t xml:space="preserve">nly one </w:t>
      </w:r>
      <w:r w:rsidR="007807BA">
        <w:t xml:space="preserve">hospital’s </w:t>
      </w:r>
      <w:r w:rsidR="004D7374">
        <w:t>data</w:t>
      </w:r>
      <w:r w:rsidR="002B18EC">
        <w:t xml:space="preserve"> </w:t>
      </w:r>
      <w:r w:rsidR="005C5620">
        <w:t xml:space="preserve">was </w:t>
      </w:r>
      <w:r w:rsidR="002B18EC">
        <w:t xml:space="preserve">used </w:t>
      </w:r>
      <w:r w:rsidR="00303992">
        <w:t xml:space="preserve">to </w:t>
      </w:r>
      <w:r w:rsidR="00B55D0E">
        <w:t xml:space="preserve">implement </w:t>
      </w:r>
      <w:r w:rsidR="002B18EC">
        <w:t>this analysis</w:t>
      </w:r>
      <w:r w:rsidR="00E416B9">
        <w:t>, which would</w:t>
      </w:r>
      <w:r w:rsidR="002D7075">
        <w:t xml:space="preserve"> </w:t>
      </w:r>
      <w:r w:rsidR="000B68AE">
        <w:t>b</w:t>
      </w:r>
      <w:r w:rsidR="005A1620">
        <w:t>enefit</w:t>
      </w:r>
      <w:r w:rsidR="005B4630">
        <w:t xml:space="preserve"> </w:t>
      </w:r>
      <w:r w:rsidR="00E416B9">
        <w:t>from</w:t>
      </w:r>
      <w:r w:rsidR="008F72FF">
        <w:t xml:space="preserve"> </w:t>
      </w:r>
      <w:r w:rsidR="00E416B9">
        <w:t xml:space="preserve">comparison </w:t>
      </w:r>
      <w:r w:rsidR="00F013AE">
        <w:lastRenderedPageBreak/>
        <w:t>to</w:t>
      </w:r>
      <w:r w:rsidR="00E416B9">
        <w:t xml:space="preserve"> other hospitals’ data</w:t>
      </w:r>
      <w:r w:rsidR="004C0389">
        <w:t>.</w:t>
      </w:r>
      <w:r w:rsidR="009E20FF">
        <w:t xml:space="preserve"> </w:t>
      </w:r>
      <w:r w:rsidR="00F91BD9">
        <w:t>Therefore, w</w:t>
      </w:r>
      <w:r w:rsidR="009E20FF">
        <w:t xml:space="preserve">e </w:t>
      </w:r>
      <w:r w:rsidR="005B09C8">
        <w:t xml:space="preserve">provide </w:t>
      </w:r>
      <w:r w:rsidR="009E20FF">
        <w:t xml:space="preserve">complete code for </w:t>
      </w:r>
      <w:r w:rsidR="006A3153">
        <w:t>our</w:t>
      </w:r>
      <w:r w:rsidR="009E20FF">
        <w:t xml:space="preserve"> analysis so that it may be</w:t>
      </w:r>
      <w:r w:rsidR="00D979CB">
        <w:t xml:space="preserve"> </w:t>
      </w:r>
      <w:r w:rsidR="00665B53">
        <w:t>re-</w:t>
      </w:r>
      <w:r w:rsidR="00D979CB">
        <w:t>implemented</w:t>
      </w:r>
      <w:r w:rsidR="00665B53">
        <w:t xml:space="preserve"> elsewhere</w:t>
      </w:r>
      <w:r w:rsidR="00D979CB">
        <w:t xml:space="preserve"> and </w:t>
      </w:r>
      <w:r w:rsidR="0035140E">
        <w:t xml:space="preserve">improved </w:t>
      </w:r>
      <w:r w:rsidR="00FC108B">
        <w:t>by the community</w:t>
      </w:r>
      <w:r w:rsidR="00D979CB">
        <w:t>.</w:t>
      </w:r>
    </w:p>
    <w:p w14:paraId="43F29FE5" w14:textId="77777777" w:rsidR="00394153" w:rsidRDefault="00394153" w:rsidP="00394153">
      <w:pPr>
        <w:pStyle w:val="Heading1"/>
      </w:pPr>
      <w:r>
        <w:t>Conclusions</w:t>
      </w:r>
    </w:p>
    <w:p w14:paraId="4DECFA78" w14:textId="41A9DC09" w:rsidR="00D15743" w:rsidRPr="00394153" w:rsidRDefault="00D15743" w:rsidP="00394153">
      <w:r>
        <w:t xml:space="preserve">Two </w:t>
      </w:r>
      <w:r w:rsidR="00490DF3">
        <w:t>independent statistical</w:t>
      </w:r>
      <w:r>
        <w:t xml:space="preserve"> </w:t>
      </w:r>
      <w:r w:rsidR="00490DF3">
        <w:t>analyses adjusting for time-dependent bias</w:t>
      </w:r>
      <w:r>
        <w:t xml:space="preserve"> </w:t>
      </w:r>
      <w:r w:rsidR="00490DF3">
        <w:t xml:space="preserve">produced similar results for the </w:t>
      </w:r>
      <w:r w:rsidR="00E125F6">
        <w:t xml:space="preserve">CDI-associated </w:t>
      </w:r>
      <w:r w:rsidR="001D619A">
        <w:t xml:space="preserve">change in </w:t>
      </w:r>
      <w:r w:rsidR="00DA7353">
        <w:t xml:space="preserve">LOS </w:t>
      </w:r>
      <w:r w:rsidR="003C1D58">
        <w:t xml:space="preserve">at Mount Sinai </w:t>
      </w:r>
      <w:r w:rsidR="00490DF3">
        <w:t>(3</w:t>
      </w:r>
      <w:r w:rsidR="00C2408F">
        <w:t>·</w:t>
      </w:r>
      <w:r w:rsidR="00490DF3">
        <w:t>1 and 3</w:t>
      </w:r>
      <w:r w:rsidR="00C2408F">
        <w:t>·</w:t>
      </w:r>
      <w:r w:rsidR="00490DF3">
        <w:t xml:space="preserve">3 days), </w:t>
      </w:r>
      <w:r w:rsidR="003863DB">
        <w:t>suggesting that automated methods</w:t>
      </w:r>
      <w:r w:rsidR="00B30736">
        <w:t xml:space="preserve"> based on machine learning</w:t>
      </w:r>
      <w:r w:rsidR="00031AD3">
        <w:t xml:space="preserve"> and uncurated EMR data</w:t>
      </w:r>
      <w:r w:rsidR="003863DB">
        <w:t xml:space="preserve"> </w:t>
      </w:r>
      <w:r w:rsidR="007810F8">
        <w:t xml:space="preserve">robustly </w:t>
      </w:r>
      <w:r w:rsidR="00AF2273">
        <w:t xml:space="preserve">and </w:t>
      </w:r>
      <w:r w:rsidR="0081475E">
        <w:t xml:space="preserve">conservatively </w:t>
      </w:r>
      <w:r w:rsidR="00D028F9">
        <w:t>estimate</w:t>
      </w:r>
      <w:r w:rsidR="00A7601B">
        <w:t xml:space="preserve"> </w:t>
      </w:r>
      <w:r w:rsidR="007810F8">
        <w:t xml:space="preserve">the </w:t>
      </w:r>
      <w:r w:rsidR="005F114A">
        <w:t>local</w:t>
      </w:r>
      <w:r w:rsidR="00715CB7">
        <w:t xml:space="preserve"> </w:t>
      </w:r>
      <w:r w:rsidR="00031AD3">
        <w:t>cost of an HAI</w:t>
      </w:r>
      <w:r w:rsidR="002870D6">
        <w:t xml:space="preserve"> in both LOS and financial terms</w:t>
      </w:r>
      <w:r w:rsidR="00A7601B">
        <w:t>.</w:t>
      </w:r>
      <w:r w:rsidR="001119E6">
        <w:t xml:space="preserve"> </w:t>
      </w:r>
      <w:r w:rsidR="00D97149">
        <w:t>This procedure is transparent, reproducible, and inexpensive, suggesting that h</w:t>
      </w:r>
      <w:r w:rsidR="0005637D">
        <w:t>ospitalists and infection control officers</w:t>
      </w:r>
      <w:r w:rsidR="0037642B">
        <w:t xml:space="preserve"> can leverage E</w:t>
      </w:r>
      <w:r w:rsidR="003E238C">
        <w:t>MR data to estimate the</w:t>
      </w:r>
      <w:r w:rsidR="00D97149">
        <w:t xml:space="preserve">ir specific, local costs of HAIs </w:t>
      </w:r>
      <w:r w:rsidR="00F16C9E">
        <w:t>on an ongoing basis rather than relying on widely varying benchmarks published by other institutions</w:t>
      </w:r>
      <w:r w:rsidR="0037642B">
        <w:t>.</w:t>
      </w:r>
    </w:p>
    <w:p w14:paraId="6D62F9EF" w14:textId="77777777" w:rsidR="0031526E" w:rsidRDefault="0031526E">
      <w:pPr>
        <w:spacing w:line="276" w:lineRule="auto"/>
        <w:rPr>
          <w:rFonts w:eastAsia="Roboto Slab" w:cs="Roboto Slab"/>
          <w:sz w:val="32"/>
        </w:rPr>
      </w:pPr>
      <w:r>
        <w:br w:type="page"/>
      </w:r>
    </w:p>
    <w:p w14:paraId="1751A51D" w14:textId="33C37B6E" w:rsidR="00356883" w:rsidRDefault="004E1CBD" w:rsidP="00CC162D">
      <w:pPr>
        <w:pStyle w:val="Heading1"/>
      </w:pPr>
      <w:r>
        <w:lastRenderedPageBreak/>
        <w:t>Notes</w:t>
      </w:r>
    </w:p>
    <w:p w14:paraId="32380302" w14:textId="5661857C" w:rsidR="004072F2" w:rsidRDefault="004E1CBD" w:rsidP="00556E30">
      <w:pPr>
        <w:pStyle w:val="Heading2"/>
      </w:pPr>
      <w:r>
        <w:t>Contributors</w:t>
      </w:r>
    </w:p>
    <w:p w14:paraId="444194E1" w14:textId="0E535611" w:rsidR="004072F2" w:rsidRPr="008503A3" w:rsidRDefault="008503A3" w:rsidP="008503A3">
      <w:pPr>
        <w:pStyle w:val="Normal2"/>
      </w:pPr>
      <w:r>
        <w:t>TRP, KC, AK, and ERS designed the study</w:t>
      </w:r>
      <w:r w:rsidR="00B70028">
        <w:t xml:space="preserve"> and developed the model</w:t>
      </w:r>
      <w:r w:rsidR="00021A67">
        <w:t>s</w:t>
      </w:r>
      <w:r>
        <w:t xml:space="preserve">. TRP, KC, TO, SH, HVB, AK, and ERS </w:t>
      </w:r>
      <w:r w:rsidR="00613B86">
        <w:t>acquired the data</w:t>
      </w:r>
      <w:r w:rsidR="00B70028">
        <w:t xml:space="preserve"> </w:t>
      </w:r>
      <w:r>
        <w:t xml:space="preserve">and </w:t>
      </w:r>
      <w:r w:rsidR="00A83AFE">
        <w:t>participated in data</w:t>
      </w:r>
      <w:r>
        <w:t xml:space="preserve"> analysis. </w:t>
      </w:r>
      <w:r w:rsidR="00B70028">
        <w:t xml:space="preserve">SH reviewed selected variables for the propensity model. </w:t>
      </w:r>
      <w:r>
        <w:t>TO provided</w:t>
      </w:r>
      <w:r w:rsidR="00B70028">
        <w:t xml:space="preserve"> </w:t>
      </w:r>
      <w:r w:rsidR="0023693F">
        <w:t>technical support,</w:t>
      </w:r>
      <w:r w:rsidR="00B70028">
        <w:t xml:space="preserve"> and</w:t>
      </w:r>
      <w:r w:rsidR="0023693F">
        <w:t xml:space="preserve"> HVB</w:t>
      </w:r>
      <w:r w:rsidR="005E2455">
        <w:t>, SH,</w:t>
      </w:r>
      <w:r w:rsidR="00B70028">
        <w:t xml:space="preserve"> and AK</w:t>
      </w:r>
      <w:r>
        <w:t xml:space="preserve"> </w:t>
      </w:r>
      <w:r w:rsidR="005E2455">
        <w:t>provided administrative and material support</w:t>
      </w:r>
      <w:r>
        <w:t>. AK and ERS supervised the study. TRP drafted the manuscript. All authors read and approved the final manuscript.</w:t>
      </w:r>
    </w:p>
    <w:p w14:paraId="72BF8D2C" w14:textId="1FA71CD4" w:rsidR="00085BDE" w:rsidRDefault="00D979BC" w:rsidP="00085BDE">
      <w:pPr>
        <w:pStyle w:val="Heading2"/>
      </w:pPr>
      <w:r>
        <w:t>Declaration of interests</w:t>
      </w:r>
    </w:p>
    <w:p w14:paraId="3997BA8F" w14:textId="796F625B" w:rsidR="00085BDE" w:rsidRDefault="004E1CBD" w:rsidP="00556E30">
      <w:pPr>
        <w:pStyle w:val="Normal2"/>
      </w:pPr>
      <w:r>
        <w:t>We declare no competing interests.</w:t>
      </w:r>
    </w:p>
    <w:p w14:paraId="0CDCD73E" w14:textId="65BED294" w:rsidR="00272FDA" w:rsidRDefault="00F84E97" w:rsidP="00556E30">
      <w:pPr>
        <w:pStyle w:val="Heading2"/>
      </w:pPr>
      <w:r>
        <w:t>Acknowledgements</w:t>
      </w:r>
    </w:p>
    <w:p w14:paraId="29790A32" w14:textId="6CF5AB82" w:rsidR="00272FDA" w:rsidRPr="00BC3B4F" w:rsidRDefault="000F333D" w:rsidP="00F84E97">
      <w:r>
        <w:t>This work was supported by the Icahn Institute for Genomics and Multiscale Biology at Mount Sinai, and also in part</w:t>
      </w:r>
      <w:r w:rsidRPr="00194EEC">
        <w:t xml:space="preserve"> by </w:t>
      </w:r>
      <w:r>
        <w:t>the</w:t>
      </w:r>
      <w:r w:rsidR="005B03EA">
        <w:t xml:space="preserve"> NIH/NIAID grants </w:t>
      </w:r>
      <w:r w:rsidR="005B03EA" w:rsidRPr="00AE3E1B">
        <w:rPr>
          <w:rFonts w:ascii="Helvetica" w:hAnsi="Helvetica"/>
          <w:iCs/>
        </w:rPr>
        <w:t>F30AI122673</w:t>
      </w:r>
      <w:r w:rsidR="005B03EA" w:rsidRPr="00CE6C86">
        <w:rPr>
          <w:rFonts w:ascii="Helvetica" w:hAnsi="Helvetica"/>
          <w:iCs/>
        </w:rPr>
        <w:t xml:space="preserve"> (T</w:t>
      </w:r>
      <w:r w:rsidR="005B03EA">
        <w:rPr>
          <w:rFonts w:ascii="Helvetica" w:hAnsi="Helvetica"/>
          <w:iCs/>
        </w:rPr>
        <w:t>RP)</w:t>
      </w:r>
      <w:r w:rsidR="00F46369">
        <w:rPr>
          <w:rFonts w:ascii="Helvetica" w:hAnsi="Helvetica"/>
          <w:iCs/>
        </w:rPr>
        <w:t xml:space="preserve">, </w:t>
      </w:r>
      <w:r w:rsidR="005B03EA">
        <w:rPr>
          <w:rFonts w:ascii="Helvetica" w:eastAsia="Times New Roman" w:hAnsi="Helvetica"/>
          <w:shd w:val="clear" w:color="auto" w:fill="FFFFFF"/>
        </w:rPr>
        <w:t>T32GM007280 (</w:t>
      </w:r>
      <w:r w:rsidR="005B03EA" w:rsidRPr="00CE6C86">
        <w:rPr>
          <w:rFonts w:ascii="Helvetica" w:eastAsia="Times New Roman" w:hAnsi="Helvetica"/>
          <w:shd w:val="clear" w:color="auto" w:fill="FFFFFF"/>
        </w:rPr>
        <w:t>T</w:t>
      </w:r>
      <w:r w:rsidR="005B03EA">
        <w:rPr>
          <w:rFonts w:ascii="Helvetica" w:eastAsia="Times New Roman" w:hAnsi="Helvetica"/>
          <w:shd w:val="clear" w:color="auto" w:fill="FFFFFF"/>
        </w:rPr>
        <w:t>R</w:t>
      </w:r>
      <w:r w:rsidR="005B03EA" w:rsidRPr="00CE6C86">
        <w:rPr>
          <w:rFonts w:ascii="Helvetica" w:eastAsia="Times New Roman" w:hAnsi="Helvetica"/>
          <w:shd w:val="clear" w:color="auto" w:fill="FFFFFF"/>
        </w:rPr>
        <w:t>P)</w:t>
      </w:r>
      <w:r w:rsidR="00D83174">
        <w:t>,</w:t>
      </w:r>
      <w:r w:rsidR="00F46369">
        <w:t xml:space="preserve"> </w:t>
      </w:r>
      <w:r w:rsidR="00342464" w:rsidRPr="00342464">
        <w:t>R01AI119145</w:t>
      </w:r>
      <w:r w:rsidR="00342464">
        <w:t xml:space="preserve"> (HV, KC), </w:t>
      </w:r>
      <w:r w:rsidR="00D83174">
        <w:t>and</w:t>
      </w:r>
      <w:r w:rsidR="00342464">
        <w:t xml:space="preserve"> </w:t>
      </w:r>
      <w:r w:rsidR="00D83174">
        <w:rPr>
          <w:iCs/>
        </w:rPr>
        <w:t xml:space="preserve">the resources and </w:t>
      </w:r>
      <w:r w:rsidR="00D83174" w:rsidRPr="00A54E61">
        <w:rPr>
          <w:iCs/>
        </w:rPr>
        <w:t xml:space="preserve">expertise </w:t>
      </w:r>
      <w:r w:rsidR="00D83174">
        <w:rPr>
          <w:iCs/>
        </w:rPr>
        <w:t>of</w:t>
      </w:r>
      <w:r w:rsidR="00D83174" w:rsidRPr="00A54E61">
        <w:rPr>
          <w:iCs/>
        </w:rPr>
        <w:t xml:space="preserve"> the Department of Scientific Computing at the Icahn School of Medicine at Mount Sinai.</w:t>
      </w:r>
      <w:r w:rsidR="00F84E97">
        <w:rPr>
          <w:iCs/>
        </w:rPr>
        <w:t xml:space="preserve"> </w:t>
      </w:r>
      <w:r w:rsidR="00272FDA" w:rsidRPr="00DA5452">
        <w:t xml:space="preserve">We thank </w:t>
      </w:r>
      <w:r w:rsidR="00272FDA">
        <w:t>Deena Altman</w:t>
      </w:r>
      <w:r w:rsidR="0044112E">
        <w:t xml:space="preserve">, </w:t>
      </w:r>
      <w:r w:rsidR="00272FDA">
        <w:t>Camille Hamula</w:t>
      </w:r>
      <w:r w:rsidR="00D51ADD">
        <w:t xml:space="preserve">, </w:t>
      </w:r>
      <w:r w:rsidR="00A36DBA">
        <w:t xml:space="preserve">and </w:t>
      </w:r>
      <w:r w:rsidR="00D51ADD">
        <w:t>Gopi Patel</w:t>
      </w:r>
      <w:r w:rsidR="00272FDA">
        <w:t xml:space="preserve"> for </w:t>
      </w:r>
      <w:r w:rsidR="007743E9">
        <w:t>their assistance</w:t>
      </w:r>
      <w:r w:rsidR="009E7224">
        <w:t xml:space="preserve"> in</w:t>
      </w:r>
      <w:r w:rsidR="00DB52DD">
        <w:t xml:space="preserve"> </w:t>
      </w:r>
      <w:r w:rsidR="00D07589">
        <w:t xml:space="preserve">improving </w:t>
      </w:r>
      <w:r w:rsidR="007743E9">
        <w:t xml:space="preserve">the </w:t>
      </w:r>
      <w:r w:rsidR="00DB52DD">
        <w:t>design of the study and</w:t>
      </w:r>
      <w:r w:rsidR="00FF4B84">
        <w:t xml:space="preserve"> </w:t>
      </w:r>
      <w:r w:rsidR="00AD417F">
        <w:t>reviewing</w:t>
      </w:r>
      <w:r w:rsidR="00DB52DD">
        <w:t xml:space="preserve"> the </w:t>
      </w:r>
      <w:r w:rsidR="007743E9">
        <w:t>manuscript.</w:t>
      </w:r>
    </w:p>
    <w:p w14:paraId="2388E7B9" w14:textId="77777777" w:rsidR="00FA14BF" w:rsidRDefault="00FA14BF" w:rsidP="00FA14BF">
      <w:pPr>
        <w:pStyle w:val="Heading1"/>
      </w:pPr>
      <w:r>
        <w:t>References</w:t>
      </w:r>
    </w:p>
    <w:p w14:paraId="2AC85CB6" w14:textId="6DDDBF84" w:rsidR="00717812" w:rsidRPr="00717812" w:rsidRDefault="00FA14BF" w:rsidP="00717812">
      <w:pPr>
        <w:widowControl w:val="0"/>
        <w:autoSpaceDE w:val="0"/>
        <w:autoSpaceDN w:val="0"/>
        <w:adjustRightInd w:val="0"/>
        <w:rPr>
          <w:noProof/>
          <w:szCs w:val="24"/>
        </w:rPr>
      </w:pPr>
      <w:r>
        <w:fldChar w:fldCharType="begin" w:fldLock="1"/>
      </w:r>
      <w:r>
        <w:instrText xml:space="preserve">ADDIN Mendeley Bibliography CSL_BIBLIOGRAPHY </w:instrText>
      </w:r>
      <w:r>
        <w:fldChar w:fldCharType="separate"/>
      </w:r>
      <w:r w:rsidR="00717812" w:rsidRPr="00717812">
        <w:rPr>
          <w:noProof/>
          <w:szCs w:val="24"/>
        </w:rPr>
        <w:t>{Austin2011} ‘Optimal caliper widths for propensity-score matching when estimating differences in means and differences in proportions in observational studies’; Pharmaceutical Statistics, Vol. 10, No. 2 (2011), pp. 150–161. https://doi.org/10.1002/pst.433</w:t>
      </w:r>
    </w:p>
    <w:p w14:paraId="63997D1E" w14:textId="77777777" w:rsidR="00717812" w:rsidRPr="00717812" w:rsidRDefault="00717812" w:rsidP="00717812">
      <w:pPr>
        <w:widowControl w:val="0"/>
        <w:autoSpaceDE w:val="0"/>
        <w:autoSpaceDN w:val="0"/>
        <w:adjustRightInd w:val="0"/>
        <w:rPr>
          <w:noProof/>
          <w:szCs w:val="24"/>
        </w:rPr>
      </w:pPr>
      <w:r w:rsidRPr="00717812">
        <w:rPr>
          <w:noProof/>
          <w:szCs w:val="24"/>
        </w:rPr>
        <w:t>{Bagdasarian2015} Rao, K., Malani, P. N.: ‘Diagnosis and Treatment of Clostridium difficile in Adults’; JAMA, Vol. 313, No. 4 (2015), p. 398. https://doi.org/10.1001/jama.2014.17103</w:t>
      </w:r>
    </w:p>
    <w:p w14:paraId="1261E149" w14:textId="77777777" w:rsidR="00717812" w:rsidRPr="00717812" w:rsidRDefault="00717812" w:rsidP="00717812">
      <w:pPr>
        <w:widowControl w:val="0"/>
        <w:autoSpaceDE w:val="0"/>
        <w:autoSpaceDN w:val="0"/>
        <w:adjustRightInd w:val="0"/>
        <w:rPr>
          <w:noProof/>
          <w:szCs w:val="24"/>
        </w:rPr>
      </w:pPr>
      <w:r w:rsidRPr="00717812">
        <w:rPr>
          <w:noProof/>
          <w:szCs w:val="24"/>
        </w:rPr>
        <w:t>{Cooper2015} Craig, S., Gaynor, M., Van Reenen, J.: ‘The Price Ain’t Right? Hospital Prices and Health Spending on the Privately Insured’; NBER Working Paper (2015), p. 21815. https://doi.org/10.3386/w21815</w:t>
      </w:r>
    </w:p>
    <w:p w14:paraId="500C6AE3" w14:textId="77777777" w:rsidR="00717812" w:rsidRPr="00717812" w:rsidRDefault="00717812" w:rsidP="00717812">
      <w:pPr>
        <w:widowControl w:val="0"/>
        <w:autoSpaceDE w:val="0"/>
        <w:autoSpaceDN w:val="0"/>
        <w:adjustRightInd w:val="0"/>
        <w:rPr>
          <w:noProof/>
          <w:szCs w:val="24"/>
        </w:rPr>
      </w:pPr>
      <w:r w:rsidRPr="00717812">
        <w:rPr>
          <w:noProof/>
          <w:szCs w:val="24"/>
        </w:rPr>
        <w:t>{Dahabreh2014} Kent, D. M.: ‘Can the learning health care system be educated with observational data?’; JAMA, Vol. 312, No. 2 (2014), pp. 129–30. https://doi.org/10.1001/jama.2014.4364</w:t>
      </w:r>
    </w:p>
    <w:p w14:paraId="076D573E" w14:textId="77777777" w:rsidR="00717812" w:rsidRPr="00717812" w:rsidRDefault="00717812" w:rsidP="00717812">
      <w:pPr>
        <w:widowControl w:val="0"/>
        <w:autoSpaceDE w:val="0"/>
        <w:autoSpaceDN w:val="0"/>
        <w:adjustRightInd w:val="0"/>
        <w:rPr>
          <w:noProof/>
          <w:szCs w:val="24"/>
        </w:rPr>
      </w:pPr>
      <w:r w:rsidRPr="00717812">
        <w:rPr>
          <w:noProof/>
          <w:szCs w:val="24"/>
        </w:rPr>
        <w:t>{Davies2014} Longshaw, C. M., Davis, G. L., Bouza, E., Barbut, F., Barna, Z., Delm??e, M., et al.: ‘Underdiagnosis of Clostridium difficile across Europe: The European, multicentre, prospective, biannual, point-prevalence study of Clostridium difficile infection in hospitalised patients with diarrhoea (EUCLID)’; The Lancet Infectious Diseases, Vol. 14, No. 12 (2014), pp. 1208–1219. https://doi.org/10.1016/S1473-3099(14)70991-0</w:t>
      </w:r>
    </w:p>
    <w:p w14:paraId="08B891A9" w14:textId="77777777" w:rsidR="00717812" w:rsidRPr="00717812" w:rsidRDefault="00717812" w:rsidP="00717812">
      <w:pPr>
        <w:widowControl w:val="0"/>
        <w:autoSpaceDE w:val="0"/>
        <w:autoSpaceDN w:val="0"/>
        <w:adjustRightInd w:val="0"/>
        <w:rPr>
          <w:noProof/>
          <w:szCs w:val="24"/>
        </w:rPr>
      </w:pPr>
      <w:r w:rsidRPr="00717812">
        <w:rPr>
          <w:noProof/>
          <w:szCs w:val="24"/>
        </w:rPr>
        <w:t>{Dubberke2014} Carling, P., Carrico, R., Donskey, C. J., Loo, V. G., McDonald, L. C., Maragakis, L. L., et al.: ‘Strategies to Prevent Clostridium difficile Infections in Acute Care Hospitals: 2014 Update’; Infection Control and Hospital Epidemiology, Vol. 35, No. 6 (2014), pp. 628–645. https://doi.org/10.1086/676023</w:t>
      </w:r>
    </w:p>
    <w:p w14:paraId="2BB8B359" w14:textId="77777777" w:rsidR="00717812" w:rsidRPr="00717812" w:rsidRDefault="00717812" w:rsidP="00717812">
      <w:pPr>
        <w:widowControl w:val="0"/>
        <w:autoSpaceDE w:val="0"/>
        <w:autoSpaceDN w:val="0"/>
        <w:adjustRightInd w:val="0"/>
        <w:rPr>
          <w:noProof/>
          <w:szCs w:val="24"/>
        </w:rPr>
      </w:pPr>
      <w:r w:rsidRPr="00717812">
        <w:rPr>
          <w:noProof/>
          <w:szCs w:val="24"/>
        </w:rPr>
        <w:t>{Dubberke2006} Reske, K. A., McDonald, L. C., Fraser, V. J.: ‘ICD-9 codes and surveillance for Clostridium difficile-associated disease’; Emerging Infectious Diseases, Vol. 12, No. 10 (2006), pp. 1576–1579. https://doi.org/10.3201/eid1210.060016</w:t>
      </w:r>
    </w:p>
    <w:p w14:paraId="67C52496" w14:textId="77777777" w:rsidR="00717812" w:rsidRPr="00717812" w:rsidRDefault="00717812" w:rsidP="00717812">
      <w:pPr>
        <w:widowControl w:val="0"/>
        <w:autoSpaceDE w:val="0"/>
        <w:autoSpaceDN w:val="0"/>
        <w:adjustRightInd w:val="0"/>
        <w:rPr>
          <w:noProof/>
          <w:szCs w:val="24"/>
        </w:rPr>
      </w:pPr>
      <w:r w:rsidRPr="00717812">
        <w:rPr>
          <w:noProof/>
          <w:szCs w:val="24"/>
        </w:rPr>
        <w:t>{Dubberke2008} Reske, K. A., Olsen, M. A., McDonald, L. C., Fraser, V. J.: ‘Short- and Long-Term Attributable Costs of Clostridium difficile-Associated Disease in Nonsurgical Inpatients’; Clinical Infectious Diseases, Vol. 46, No. 4 (2008), pp. 497–504. https://doi.org/10.1086/526530</w:t>
      </w:r>
    </w:p>
    <w:p w14:paraId="111984BB" w14:textId="77777777" w:rsidR="00717812" w:rsidRPr="00717812" w:rsidRDefault="00717812" w:rsidP="00717812">
      <w:pPr>
        <w:widowControl w:val="0"/>
        <w:autoSpaceDE w:val="0"/>
        <w:autoSpaceDN w:val="0"/>
        <w:adjustRightInd w:val="0"/>
        <w:rPr>
          <w:noProof/>
          <w:szCs w:val="24"/>
        </w:rPr>
      </w:pPr>
      <w:r w:rsidRPr="00717812">
        <w:rPr>
          <w:noProof/>
          <w:szCs w:val="24"/>
        </w:rPr>
        <w:t xml:space="preserve">{Dubberke2014} Schaefer, E., Reske, K. A., Zilberberg, M., Hollenbeak, C. S., Olsen, M. A.: ‘Attributable Inpatient Costs of Recurrent </w:t>
      </w:r>
      <w:r w:rsidRPr="00717812">
        <w:rPr>
          <w:i/>
          <w:iCs/>
          <w:noProof/>
          <w:szCs w:val="24"/>
        </w:rPr>
        <w:t>Clostridium difficile</w:t>
      </w:r>
      <w:r w:rsidRPr="00717812">
        <w:rPr>
          <w:noProof/>
          <w:szCs w:val="24"/>
        </w:rPr>
        <w:t xml:space="preserve"> Infections’; Infection Control and Hospital Epidemiology, Vol. 35, No. 11 (2014), pp. 1400–1407. https://doi.org/10.1086/678428</w:t>
      </w:r>
    </w:p>
    <w:p w14:paraId="1B05C58A" w14:textId="77777777" w:rsidR="00717812" w:rsidRPr="00717812" w:rsidRDefault="00717812" w:rsidP="00717812">
      <w:pPr>
        <w:widowControl w:val="0"/>
        <w:autoSpaceDE w:val="0"/>
        <w:autoSpaceDN w:val="0"/>
        <w:adjustRightInd w:val="0"/>
        <w:rPr>
          <w:noProof/>
          <w:szCs w:val="24"/>
        </w:rPr>
      </w:pPr>
      <w:r w:rsidRPr="00717812">
        <w:rPr>
          <w:noProof/>
          <w:szCs w:val="24"/>
        </w:rPr>
        <w:t>{Dubberke2011} Yan, Y., Reske, K. A., Butler, A. M., Doherty, J., Pham, V., Fraser, V. J.: ‘Development and validation of a Clostridium difficile infection risk prediction model.’; Infection Control and Hospital Epidemiology, Vol. 32, No. 4 (2011), pp. 360–6. https://doi.org/10.1086/658944</w:t>
      </w:r>
    </w:p>
    <w:p w14:paraId="4777FD2C" w14:textId="77777777" w:rsidR="00717812" w:rsidRPr="00717812" w:rsidRDefault="00717812" w:rsidP="00717812">
      <w:pPr>
        <w:widowControl w:val="0"/>
        <w:autoSpaceDE w:val="0"/>
        <w:autoSpaceDN w:val="0"/>
        <w:adjustRightInd w:val="0"/>
        <w:rPr>
          <w:noProof/>
          <w:szCs w:val="24"/>
        </w:rPr>
      </w:pPr>
      <w:r w:rsidRPr="00717812">
        <w:rPr>
          <w:noProof/>
          <w:szCs w:val="24"/>
        </w:rPr>
        <w:t>{Etheredge2007} ‘A rapid-learning health system.’; Health Affairs (Project Hope), Vol. 26, No. 2 (2007), pp. w107-18. https://doi.org/10.1377/hlthaff.26.2.w107</w:t>
      </w:r>
    </w:p>
    <w:p w14:paraId="61386A1B" w14:textId="77777777" w:rsidR="00717812" w:rsidRPr="00717812" w:rsidRDefault="00717812" w:rsidP="00717812">
      <w:pPr>
        <w:widowControl w:val="0"/>
        <w:autoSpaceDE w:val="0"/>
        <w:autoSpaceDN w:val="0"/>
        <w:adjustRightInd w:val="0"/>
        <w:rPr>
          <w:noProof/>
          <w:szCs w:val="24"/>
        </w:rPr>
      </w:pPr>
      <w:r w:rsidRPr="00717812">
        <w:rPr>
          <w:noProof/>
          <w:szCs w:val="24"/>
        </w:rPr>
        <w:t>{Gabriel2014} Beriot-Mathiot, A.: ‘Hospitalization stay and costs attributable to Clostridium difficile infection: A critical review’; Journal of Hospital Infection, Vol. 88, No. 1 (2014), pp. 12–21. https://doi.org/10.1016/j.jhin.2014.04.011</w:t>
      </w:r>
    </w:p>
    <w:p w14:paraId="4C4B87F1" w14:textId="77777777" w:rsidR="00717812" w:rsidRPr="00717812" w:rsidRDefault="00717812" w:rsidP="00717812">
      <w:pPr>
        <w:widowControl w:val="0"/>
        <w:autoSpaceDE w:val="0"/>
        <w:autoSpaceDN w:val="0"/>
        <w:adjustRightInd w:val="0"/>
        <w:rPr>
          <w:noProof/>
          <w:szCs w:val="24"/>
        </w:rPr>
      </w:pPr>
      <w:r w:rsidRPr="00717812">
        <w:rPr>
          <w:noProof/>
          <w:szCs w:val="24"/>
        </w:rPr>
        <w:t>{Ghantoji2010} Sail, K., Lairson, D. R., DuPont, H. L., Garey, K. W.: ‘Economic healthcare costs of Clostridium difficile infection: A systematic review’; Journal of Hospital Infection, Vol. 74, No. 4 (2010), pp. 309–318. https://doi.org/10.1016/j.jhin.2009.10.016</w:t>
      </w:r>
    </w:p>
    <w:p w14:paraId="08AB053E" w14:textId="77777777" w:rsidR="00717812" w:rsidRPr="00717812" w:rsidRDefault="00717812" w:rsidP="00717812">
      <w:pPr>
        <w:widowControl w:val="0"/>
        <w:autoSpaceDE w:val="0"/>
        <w:autoSpaceDN w:val="0"/>
        <w:adjustRightInd w:val="0"/>
        <w:rPr>
          <w:noProof/>
          <w:szCs w:val="24"/>
        </w:rPr>
      </w:pPr>
      <w:r w:rsidRPr="00717812">
        <w:rPr>
          <w:noProof/>
          <w:szCs w:val="24"/>
        </w:rPr>
        <w:t>{Graves2010} Harbarth, S., Beyersmann, J., Barnett, A., Halton, K., Cooper, B.: ‘Estimating the cost of health care-associated infections: mind your p’s and q’s.’; Clinical Infectious Diseases, Vol. 50, No. 7 (2010), pp. 1017–1021. https://doi.org/10.1086/651110</w:t>
      </w:r>
    </w:p>
    <w:p w14:paraId="23F4C316" w14:textId="77777777" w:rsidR="00717812" w:rsidRPr="00717812" w:rsidRDefault="00717812" w:rsidP="00717812">
      <w:pPr>
        <w:widowControl w:val="0"/>
        <w:autoSpaceDE w:val="0"/>
        <w:autoSpaceDN w:val="0"/>
        <w:adjustRightInd w:val="0"/>
        <w:rPr>
          <w:noProof/>
          <w:szCs w:val="24"/>
        </w:rPr>
      </w:pPr>
      <w:r w:rsidRPr="00717812">
        <w:rPr>
          <w:noProof/>
          <w:szCs w:val="24"/>
        </w:rPr>
        <w:t>{Gray2011} Bowden, T., Johansen, I., Koch, S.: ‘Electronic health records: an international perspective on “meaningful use”.’; Issue Brief (Commonwealth Fund), Vol. 28, No. November (2011), pp. 1–18.</w:t>
      </w:r>
    </w:p>
    <w:p w14:paraId="7FECF93B" w14:textId="77777777" w:rsidR="00717812" w:rsidRPr="00717812" w:rsidRDefault="00717812" w:rsidP="00717812">
      <w:pPr>
        <w:widowControl w:val="0"/>
        <w:autoSpaceDE w:val="0"/>
        <w:autoSpaceDN w:val="0"/>
        <w:adjustRightInd w:val="0"/>
        <w:rPr>
          <w:noProof/>
          <w:szCs w:val="24"/>
        </w:rPr>
      </w:pPr>
      <w:r w:rsidRPr="00717812">
        <w:rPr>
          <w:noProof/>
          <w:szCs w:val="24"/>
        </w:rPr>
        <w:t>{Greco2015} Shi, W., Michler, R. E., Meltzer, D. O., Ailawadi, G., Hohmann, S. F., Thourani, V. H., et al.: ‘Costs associated with health care-associated infections in cardiac surgery’; Journal of the American College of Cardiology, Vol. 65, No. 1 (2015), pp. 15–23. https://doi.org/10.1016/j.jacc.2014.09.079</w:t>
      </w:r>
    </w:p>
    <w:p w14:paraId="41224F42" w14:textId="77777777" w:rsidR="00717812" w:rsidRPr="00717812" w:rsidRDefault="00717812" w:rsidP="00717812">
      <w:pPr>
        <w:widowControl w:val="0"/>
        <w:autoSpaceDE w:val="0"/>
        <w:autoSpaceDN w:val="0"/>
        <w:adjustRightInd w:val="0"/>
        <w:rPr>
          <w:noProof/>
          <w:szCs w:val="24"/>
        </w:rPr>
      </w:pPr>
      <w:r w:rsidRPr="00717812">
        <w:rPr>
          <w:noProof/>
          <w:szCs w:val="24"/>
        </w:rPr>
        <w:t>{Halpin2010} Morgan, T.: ‘Information Modeling and Relational Databases’; (2nd ed.). Elsevier Science (2010).</w:t>
      </w:r>
    </w:p>
    <w:p w14:paraId="5C477682" w14:textId="77777777" w:rsidR="00717812" w:rsidRPr="00717812" w:rsidRDefault="00717812" w:rsidP="00717812">
      <w:pPr>
        <w:widowControl w:val="0"/>
        <w:autoSpaceDE w:val="0"/>
        <w:autoSpaceDN w:val="0"/>
        <w:adjustRightInd w:val="0"/>
        <w:rPr>
          <w:noProof/>
          <w:szCs w:val="24"/>
        </w:rPr>
      </w:pPr>
      <w:r w:rsidRPr="00717812">
        <w:rPr>
          <w:noProof/>
          <w:szCs w:val="24"/>
        </w:rPr>
        <w:t>{Henry2016} Pylypchuk, Y., Searcy, T., Patel, V.: ‘Adoption of Electronic Health Record Systems among U.S. Non-Federal Acute Care Hospitals: 2008-2015’; ONC Data Brief (2016), p. no.35.</w:t>
      </w:r>
    </w:p>
    <w:p w14:paraId="3C9A49C5" w14:textId="77777777" w:rsidR="00717812" w:rsidRPr="00717812" w:rsidRDefault="00717812" w:rsidP="00717812">
      <w:pPr>
        <w:widowControl w:val="0"/>
        <w:autoSpaceDE w:val="0"/>
        <w:autoSpaceDN w:val="0"/>
        <w:adjustRightInd w:val="0"/>
        <w:rPr>
          <w:noProof/>
          <w:szCs w:val="24"/>
        </w:rPr>
      </w:pPr>
      <w:r w:rsidRPr="00717812">
        <w:rPr>
          <w:noProof/>
          <w:szCs w:val="24"/>
        </w:rPr>
        <w:t>{Katz2013} ‘Pay for preventing (not causing) health care-associated infections.’; JAMA Internal Medicine, Vol. 173, No. 22 (2013), p. 2046. https://doi.org/10.1001/jamainternmed.2013.9754</w:t>
      </w:r>
    </w:p>
    <w:p w14:paraId="060CDDAA" w14:textId="77777777" w:rsidR="00717812" w:rsidRPr="00717812" w:rsidRDefault="00717812" w:rsidP="00717812">
      <w:pPr>
        <w:widowControl w:val="0"/>
        <w:autoSpaceDE w:val="0"/>
        <w:autoSpaceDN w:val="0"/>
        <w:adjustRightInd w:val="0"/>
        <w:rPr>
          <w:noProof/>
          <w:szCs w:val="24"/>
        </w:rPr>
      </w:pPr>
      <w:r w:rsidRPr="00717812">
        <w:rPr>
          <w:noProof/>
          <w:szCs w:val="24"/>
        </w:rPr>
        <w:t>{Krumholz2016} Terry, S. F., Waldstreicher, J.: ‘Data Acquisition, Curation, and Use for a Continuously Learning Health System’; JAMA, Vol. 316, No. 16 (2016), p. 1669. https://doi.org/10.1001/jama.2016.12537</w:t>
      </w:r>
    </w:p>
    <w:p w14:paraId="36A08718" w14:textId="77777777" w:rsidR="00717812" w:rsidRPr="00717812" w:rsidRDefault="00717812" w:rsidP="00717812">
      <w:pPr>
        <w:widowControl w:val="0"/>
        <w:autoSpaceDE w:val="0"/>
        <w:autoSpaceDN w:val="0"/>
        <w:adjustRightInd w:val="0"/>
        <w:rPr>
          <w:noProof/>
          <w:szCs w:val="24"/>
        </w:rPr>
      </w:pPr>
      <w:r w:rsidRPr="00717812">
        <w:rPr>
          <w:noProof/>
          <w:szCs w:val="24"/>
        </w:rPr>
        <w:t>{Leffler2015} Lamont, J. T.: ‘Clostridium difficile.’; The New England Journal of Medicine, Vol. 372 (2015), pp. 1539–48. https://doi.org/10.1056/NEJMra1403772</w:t>
      </w:r>
    </w:p>
    <w:p w14:paraId="476B705F" w14:textId="77777777" w:rsidR="00717812" w:rsidRPr="00717812" w:rsidRDefault="00717812" w:rsidP="00717812">
      <w:pPr>
        <w:widowControl w:val="0"/>
        <w:autoSpaceDE w:val="0"/>
        <w:autoSpaceDN w:val="0"/>
        <w:adjustRightInd w:val="0"/>
        <w:rPr>
          <w:noProof/>
          <w:szCs w:val="24"/>
        </w:rPr>
      </w:pPr>
      <w:r w:rsidRPr="00717812">
        <w:rPr>
          <w:noProof/>
          <w:szCs w:val="24"/>
        </w:rPr>
        <w:t>{Li2001} Propert, K. J., Rosenbaum, P. R.: ‘Balanced Risk Set Matching’; Journal of the American Statistical Association, Vol. 96, No. October 2014 (2001), pp. 870–882. https://doi.org/10.1198/016214501753208573</w:t>
      </w:r>
    </w:p>
    <w:p w14:paraId="7FC2BF61" w14:textId="77777777" w:rsidR="00717812" w:rsidRPr="00717812" w:rsidRDefault="00717812" w:rsidP="00717812">
      <w:pPr>
        <w:widowControl w:val="0"/>
        <w:autoSpaceDE w:val="0"/>
        <w:autoSpaceDN w:val="0"/>
        <w:adjustRightInd w:val="0"/>
        <w:rPr>
          <w:noProof/>
          <w:szCs w:val="24"/>
        </w:rPr>
      </w:pPr>
      <w:r w:rsidRPr="00717812">
        <w:rPr>
          <w:noProof/>
          <w:szCs w:val="24"/>
        </w:rPr>
        <w:t>{Lofgren2014} Cole, S. R., Weber, D. J., Anderson, D. J., Moehring, R. W.: ‘Hospital-Acquired Clostridium difficile Infections’; Epidemiology, Vol. 25, No. 4 (2014), pp. 570–575. https://doi.org/10.1097/EDE.0000000000000119</w:t>
      </w:r>
    </w:p>
    <w:p w14:paraId="6D34E864" w14:textId="77777777" w:rsidR="00717812" w:rsidRPr="00717812" w:rsidRDefault="00717812" w:rsidP="00717812">
      <w:pPr>
        <w:widowControl w:val="0"/>
        <w:autoSpaceDE w:val="0"/>
        <w:autoSpaceDN w:val="0"/>
        <w:adjustRightInd w:val="0"/>
        <w:rPr>
          <w:noProof/>
          <w:szCs w:val="24"/>
        </w:rPr>
      </w:pPr>
      <w:r w:rsidRPr="00717812">
        <w:rPr>
          <w:noProof/>
          <w:szCs w:val="24"/>
        </w:rPr>
        <w:t>{Longtin2016} Paquet-Bolduc, B., Gilca, R., Garenc, C., Fortin, E., Longtin, J., Trottier, S., et al.: ‘Effect of Detecting and Isolating Clostridium difficile Carriers at Hospital Admission on the Incidence of C difficile Infections: A Quasi-Experimental Controlled Study.’; JAMA Internal Medicine, Vol. 176, No. 6 (2016), pp. 796–804. https://doi.org/10.1001/jamainternmed.2016.0177</w:t>
      </w:r>
    </w:p>
    <w:p w14:paraId="21C443C9" w14:textId="77777777" w:rsidR="00717812" w:rsidRPr="00717812" w:rsidRDefault="00717812" w:rsidP="00717812">
      <w:pPr>
        <w:widowControl w:val="0"/>
        <w:autoSpaceDE w:val="0"/>
        <w:autoSpaceDN w:val="0"/>
        <w:adjustRightInd w:val="0"/>
        <w:rPr>
          <w:noProof/>
          <w:szCs w:val="24"/>
        </w:rPr>
      </w:pPr>
      <w:r w:rsidRPr="00717812">
        <w:rPr>
          <w:noProof/>
          <w:szCs w:val="24"/>
        </w:rPr>
        <w:t>{McGlone2012} Bailey, R. R., Zimmer, S. M., Popovich, M. J., Tian, Y., Ufberg, P., Muder, R. R., Lee, B. Y.: ‘The economic burden of Clostridium difficile’; Clinical Microbiology and Infection, Vol. 18, No. 3 (2012), pp. 282–289. https://doi.org/10.1111/j.1469-0691.2011.03571.x</w:t>
      </w:r>
    </w:p>
    <w:p w14:paraId="01692873" w14:textId="77777777" w:rsidR="00717812" w:rsidRPr="00717812" w:rsidRDefault="00717812" w:rsidP="00717812">
      <w:pPr>
        <w:widowControl w:val="0"/>
        <w:autoSpaceDE w:val="0"/>
        <w:autoSpaceDN w:val="0"/>
        <w:adjustRightInd w:val="0"/>
        <w:rPr>
          <w:noProof/>
          <w:szCs w:val="24"/>
        </w:rPr>
      </w:pPr>
      <w:r w:rsidRPr="00717812">
        <w:rPr>
          <w:noProof/>
          <w:szCs w:val="24"/>
        </w:rPr>
        <w:t>{Mitchell2014} Gardner, A., Barnett, A. G., Hiller, J. E., Graves, N.: ‘The prolongation of length of stay because of Clostridium difficile infection’; American Journal of Infection Control, Vol. 42, No. 2 (2014), pp. 164–167. https://doi.org/10.1016/j.ajic.2013.07.006</w:t>
      </w:r>
    </w:p>
    <w:p w14:paraId="3A41809F" w14:textId="77777777" w:rsidR="00717812" w:rsidRPr="00717812" w:rsidRDefault="00717812" w:rsidP="00717812">
      <w:pPr>
        <w:widowControl w:val="0"/>
        <w:autoSpaceDE w:val="0"/>
        <w:autoSpaceDN w:val="0"/>
        <w:adjustRightInd w:val="0"/>
        <w:rPr>
          <w:noProof/>
          <w:szCs w:val="24"/>
        </w:rPr>
      </w:pPr>
      <w:r w:rsidRPr="00717812">
        <w:rPr>
          <w:noProof/>
          <w:szCs w:val="24"/>
        </w:rPr>
        <w:t>{Moehring2013} Lofgren, E. T., Anderson, D. J.: ‘Impact of Change to Molecular Testing for Clostridium difficile Infection on Healthcare Facility-Associated Incidence Rates.’; Infection Control and Hospital Epidemiology : The Official Journal of the Society of Hospital Epidemiologists of America, Vol. 34, No. 10 (2013), pp. 1055–61. https://doi.org/10.1086/673144</w:t>
      </w:r>
    </w:p>
    <w:p w14:paraId="7DF01A1E" w14:textId="77777777" w:rsidR="00717812" w:rsidRPr="00717812" w:rsidRDefault="00717812" w:rsidP="00717812">
      <w:pPr>
        <w:widowControl w:val="0"/>
        <w:autoSpaceDE w:val="0"/>
        <w:autoSpaceDN w:val="0"/>
        <w:adjustRightInd w:val="0"/>
        <w:rPr>
          <w:noProof/>
          <w:szCs w:val="24"/>
        </w:rPr>
      </w:pPr>
      <w:r w:rsidRPr="00717812">
        <w:rPr>
          <w:noProof/>
          <w:szCs w:val="24"/>
        </w:rPr>
        <w:t>{Pak2015} Kasarskis, A.: ‘How Next-Generation Sequencing and Multiscale Data Analysis Will Transform Infectious Disease Management’; Clinical Infectious Diseases, Vol. 61, No. 11 (2015), pp. 1695–1702. https://doi.org/10.1093/cid/civ670</w:t>
      </w:r>
    </w:p>
    <w:p w14:paraId="7F26EBB4" w14:textId="77777777" w:rsidR="00717812" w:rsidRPr="00717812" w:rsidRDefault="00717812" w:rsidP="00717812">
      <w:pPr>
        <w:widowControl w:val="0"/>
        <w:autoSpaceDE w:val="0"/>
        <w:autoSpaceDN w:val="0"/>
        <w:adjustRightInd w:val="0"/>
        <w:rPr>
          <w:noProof/>
          <w:szCs w:val="24"/>
        </w:rPr>
      </w:pPr>
      <w:r w:rsidRPr="00717812">
        <w:rPr>
          <w:noProof/>
          <w:szCs w:val="24"/>
        </w:rPr>
        <w:t>{Polage2015} Gyorke, C. E., Kennedy, M. A., Leslie, J. L., Chin, D. L., Wang, S., Nguyen, H. H., et al.: ‘Overdiagnosis of Clostridium difficile Infection in the Molecular Test Era.’; JAMA Internal Medicine, Vol. 175, No. 11 (2015), pp. 1–10. https://doi.org/10.1001/jamainternmed.2015.4114</w:t>
      </w:r>
    </w:p>
    <w:p w14:paraId="132D4D82" w14:textId="77777777" w:rsidR="00717812" w:rsidRPr="00717812" w:rsidRDefault="00717812" w:rsidP="00717812">
      <w:pPr>
        <w:widowControl w:val="0"/>
        <w:autoSpaceDE w:val="0"/>
        <w:autoSpaceDN w:val="0"/>
        <w:adjustRightInd w:val="0"/>
        <w:rPr>
          <w:noProof/>
          <w:szCs w:val="24"/>
        </w:rPr>
      </w:pPr>
      <w:r w:rsidRPr="00717812">
        <w:rPr>
          <w:noProof/>
          <w:szCs w:val="24"/>
        </w:rPr>
        <w:t>{Rhee2015} Murphy, M. V, Li, L., Platt, R., Klompas, M.: ‘Improving documentation and coding for acute organ dysfunction biases estimates of changing sepsis severity and burden: a retrospective study’; Critical Care, Vol. 19, No. 1 (2015), pp. 1–11. https://doi.org/10.1186/s13054-015-1048-9</w:t>
      </w:r>
    </w:p>
    <w:p w14:paraId="4C03241B" w14:textId="77777777" w:rsidR="00717812" w:rsidRPr="00717812" w:rsidRDefault="00717812" w:rsidP="00717812">
      <w:pPr>
        <w:widowControl w:val="0"/>
        <w:autoSpaceDE w:val="0"/>
        <w:autoSpaceDN w:val="0"/>
        <w:adjustRightInd w:val="0"/>
        <w:rPr>
          <w:noProof/>
          <w:szCs w:val="24"/>
        </w:rPr>
      </w:pPr>
      <w:r w:rsidRPr="00717812">
        <w:rPr>
          <w:noProof/>
          <w:szCs w:val="24"/>
        </w:rPr>
        <w:t>{Rodrigues2016} Barber, G. E., Ananthakrishnan, A. N.: ‘A Comprehensive Study of Costs Associated With Recurrent Clostridium difficile Infection’; Infection Control &amp; Hospital Epidemiology (2016), pp. 1–7. https://doi.org/10.1017/ice.2016.246</w:t>
      </w:r>
    </w:p>
    <w:p w14:paraId="2F8CFC45" w14:textId="77777777" w:rsidR="00717812" w:rsidRPr="00717812" w:rsidRDefault="00717812" w:rsidP="00717812">
      <w:pPr>
        <w:widowControl w:val="0"/>
        <w:autoSpaceDE w:val="0"/>
        <w:autoSpaceDN w:val="0"/>
        <w:adjustRightInd w:val="0"/>
        <w:rPr>
          <w:noProof/>
          <w:szCs w:val="24"/>
        </w:rPr>
      </w:pPr>
      <w:r w:rsidRPr="00717812">
        <w:rPr>
          <w:noProof/>
          <w:szCs w:val="24"/>
        </w:rPr>
        <w:t>{Romano1994} Mark, D. H.: ‘Bias in the coding of hospital discharge data and its implications for quality assessment.’; Medical Care, Vol. 32, No. 1 (1994), pp. 81–90.</w:t>
      </w:r>
    </w:p>
    <w:p w14:paraId="4EB6C273" w14:textId="77777777" w:rsidR="00717812" w:rsidRPr="00717812" w:rsidRDefault="00717812" w:rsidP="00717812">
      <w:pPr>
        <w:widowControl w:val="0"/>
        <w:autoSpaceDE w:val="0"/>
        <w:autoSpaceDN w:val="0"/>
        <w:adjustRightInd w:val="0"/>
        <w:rPr>
          <w:noProof/>
          <w:szCs w:val="24"/>
        </w:rPr>
      </w:pPr>
      <w:r w:rsidRPr="00717812">
        <w:rPr>
          <w:noProof/>
          <w:szCs w:val="24"/>
        </w:rPr>
        <w:t>{Scheurer2007} Hicks, L. S., Cook, E. F., Schnipper, J. L.: ‘Accuracy of ICD-9 coding for Clostridium difficile infections: a retrospective cohort.’; Epidemiology and Infection, Vol. 135, No. 6 (2007), pp. 1010–3. https://doi.org/10.1017/S0950268806007655</w:t>
      </w:r>
    </w:p>
    <w:p w14:paraId="544E9862" w14:textId="77777777" w:rsidR="00717812" w:rsidRPr="00717812" w:rsidRDefault="00717812" w:rsidP="00717812">
      <w:pPr>
        <w:widowControl w:val="0"/>
        <w:autoSpaceDE w:val="0"/>
        <w:autoSpaceDN w:val="0"/>
        <w:adjustRightInd w:val="0"/>
        <w:rPr>
          <w:noProof/>
          <w:szCs w:val="24"/>
        </w:rPr>
      </w:pPr>
      <w:r w:rsidRPr="00717812">
        <w:rPr>
          <w:noProof/>
          <w:szCs w:val="24"/>
        </w:rPr>
        <w:t>{Stevens2015} Khader, K., Nelson, R. E., Jones, M., Rubin, M. a, Brown, K. a, Evans, M. E., et al.: ‘Excess Length of Stay Attributable to Clostridium difficile Infection (CDI) in the Acute Care Setting: A Multistate Model.’; Infection Control and Hospital Epidemiology, Vol. 36, No. Cdi (2015), pp. 1–7. https://doi.org/10.1017/ice.2015.132</w:t>
      </w:r>
    </w:p>
    <w:p w14:paraId="6638C2F0" w14:textId="77777777" w:rsidR="00717812" w:rsidRPr="00717812" w:rsidRDefault="00717812" w:rsidP="00717812">
      <w:pPr>
        <w:widowControl w:val="0"/>
        <w:autoSpaceDE w:val="0"/>
        <w:autoSpaceDN w:val="0"/>
        <w:adjustRightInd w:val="0"/>
        <w:rPr>
          <w:noProof/>
          <w:szCs w:val="24"/>
        </w:rPr>
      </w:pPr>
      <w:r w:rsidRPr="00717812">
        <w:rPr>
          <w:noProof/>
          <w:szCs w:val="24"/>
        </w:rPr>
        <w:t>{Tanner2009} Khan, D., Anthony, D., Paton, J.: ‘Waterlow score to predict patients at risk of developing Clostridium difficile-associated disease’; Journal of Hospital Infection, Vol. 71, No. 3 (2009), pp. 239–244. https://doi.org/10.1016/j.jhin.2008.11.017</w:t>
      </w:r>
    </w:p>
    <w:p w14:paraId="2A9B5B23" w14:textId="77777777" w:rsidR="00717812" w:rsidRPr="00717812" w:rsidRDefault="00717812" w:rsidP="00717812">
      <w:pPr>
        <w:widowControl w:val="0"/>
        <w:autoSpaceDE w:val="0"/>
        <w:autoSpaceDN w:val="0"/>
        <w:adjustRightInd w:val="0"/>
        <w:rPr>
          <w:noProof/>
          <w:szCs w:val="24"/>
        </w:rPr>
      </w:pPr>
      <w:r w:rsidRPr="00717812">
        <w:rPr>
          <w:noProof/>
          <w:szCs w:val="24"/>
        </w:rPr>
        <w:t>{van Kleef2014} Green, N., Goldenberg, S. D., Robotham, J. V., Cookson, B., Jit, M., Edmunds, W. J., Deeny, S. R.: ‘Excess length of stay and mortality due to Clostridium difficile infection: A multi-state modelling approach’; Journal of Hospital Infection, Vol. 88, No. 4 (2014), pp. 213–217. https://doi.org/10.1016/j.jhin.2014.08.008</w:t>
      </w:r>
    </w:p>
    <w:p w14:paraId="25042169" w14:textId="77777777" w:rsidR="00717812" w:rsidRPr="00717812" w:rsidRDefault="00717812" w:rsidP="00717812">
      <w:pPr>
        <w:widowControl w:val="0"/>
        <w:autoSpaceDE w:val="0"/>
        <w:autoSpaceDN w:val="0"/>
        <w:adjustRightInd w:val="0"/>
        <w:rPr>
          <w:noProof/>
          <w:szCs w:val="24"/>
        </w:rPr>
      </w:pPr>
      <w:r w:rsidRPr="00717812">
        <w:rPr>
          <w:noProof/>
          <w:szCs w:val="24"/>
        </w:rPr>
        <w:t>{Wiens2014} Campbell, W.: ‘Learning Data-Driven Patient Risk Stratification Models for Clostridium difficile’; Open Forum Infectious Diseases, Vol. 1, No. 2 (2014), pp. 1–9. https://doi.org/10.1093/ofid/ofu045</w:t>
      </w:r>
    </w:p>
    <w:p w14:paraId="2A828EDD" w14:textId="77777777" w:rsidR="00717812" w:rsidRPr="00717812" w:rsidRDefault="00717812" w:rsidP="00717812">
      <w:pPr>
        <w:widowControl w:val="0"/>
        <w:autoSpaceDE w:val="0"/>
        <w:autoSpaceDN w:val="0"/>
        <w:adjustRightInd w:val="0"/>
        <w:rPr>
          <w:noProof/>
          <w:szCs w:val="24"/>
        </w:rPr>
      </w:pPr>
      <w:r w:rsidRPr="00717812">
        <w:rPr>
          <w:noProof/>
          <w:szCs w:val="24"/>
        </w:rPr>
        <w:t>{Wilcox1996} Cunniffe, J. G., Trundle, C., Redpath, C.: ‘Financial burden of hospital-acquired Clostridium difficile infection.’; The Journal of Hospital Infection, Vol. 34, No. 1 (1996), pp. 23–30. https://doi.org/10.1016/S0195-6701(96)90122-X</w:t>
      </w:r>
    </w:p>
    <w:p w14:paraId="6DAF8654" w14:textId="77777777" w:rsidR="00717812" w:rsidRPr="00717812" w:rsidRDefault="00717812" w:rsidP="00717812">
      <w:pPr>
        <w:widowControl w:val="0"/>
        <w:autoSpaceDE w:val="0"/>
        <w:autoSpaceDN w:val="0"/>
        <w:adjustRightInd w:val="0"/>
        <w:rPr>
          <w:noProof/>
          <w:szCs w:val="24"/>
        </w:rPr>
      </w:pPr>
      <w:r w:rsidRPr="00717812">
        <w:rPr>
          <w:noProof/>
          <w:szCs w:val="24"/>
        </w:rPr>
        <w:t>{Zhang2016} Palazuelos-Munoz, S., Balsells, E. M., Nair, H., Chit, A., Kyaw, M. H., Crobach, M., et al.: ‘Cost of hospital management of Clostridium difficile infection in United States—a meta-analysis and modelling study’; BMC Infectious Diseases, Vol. 16, No. 1 (2016), p. 447. https://doi.org/10.1186/s12879-016-1786-6</w:t>
      </w:r>
    </w:p>
    <w:p w14:paraId="01C140C0" w14:textId="77777777" w:rsidR="00717812" w:rsidRPr="00717812" w:rsidRDefault="00717812" w:rsidP="00717812">
      <w:pPr>
        <w:widowControl w:val="0"/>
        <w:autoSpaceDE w:val="0"/>
        <w:autoSpaceDN w:val="0"/>
        <w:adjustRightInd w:val="0"/>
        <w:rPr>
          <w:noProof/>
        </w:rPr>
      </w:pPr>
      <w:r w:rsidRPr="00717812">
        <w:rPr>
          <w:noProof/>
          <w:szCs w:val="24"/>
        </w:rPr>
        <w:t>{Zimlichman2013} Henderson, D., Tamir, O., Franz, C., Song, P., Yamin, C. K., Keohane, C., et al.: ‘Health care-associated infections: a meta-analysis of costs and financial impact on the US health care system.’; JAMA Internal Medicine, Vol. 173, No. 22 (2013), pp. 2039–46. https://doi.org/10.1001/jamainternmed.2013.9763</w:t>
      </w:r>
    </w:p>
    <w:p w14:paraId="5C60CF8B" w14:textId="3D431875" w:rsidR="0078030F" w:rsidRDefault="00FA14BF" w:rsidP="00717812">
      <w:pPr>
        <w:widowControl w:val="0"/>
        <w:autoSpaceDE w:val="0"/>
        <w:autoSpaceDN w:val="0"/>
        <w:adjustRightInd w:val="0"/>
        <w:ind w:left="640" w:hanging="640"/>
      </w:pPr>
      <w:r>
        <w:fldChar w:fldCharType="end"/>
      </w:r>
      <w:r w:rsidR="00ED1D26">
        <w:br w:type="page"/>
      </w:r>
    </w:p>
    <w:p w14:paraId="0906EE87" w14:textId="77777777" w:rsidR="00ED1D26" w:rsidRDefault="002314C5" w:rsidP="00837464">
      <w:pPr>
        <w:pStyle w:val="Heading1"/>
      </w:pPr>
      <w:r>
        <w:lastRenderedPageBreak/>
        <w:t>Tables</w:t>
      </w:r>
    </w:p>
    <w:p w14:paraId="69F95B27" w14:textId="77777777" w:rsidR="005F4988" w:rsidRDefault="002314C5" w:rsidP="002314C5">
      <w:pPr>
        <w:pStyle w:val="Normal2"/>
        <w:contextualSpacing/>
        <w:divId w:val="1194727850"/>
      </w:pPr>
      <w:r w:rsidRPr="005F4988">
        <w:rPr>
          <w:b/>
        </w:rPr>
        <w:t>Table 1.</w:t>
      </w:r>
      <w:r w:rsidR="009902A9">
        <w:t xml:space="preserve"> Demographic Characteristics</w:t>
      </w:r>
      <w:r w:rsidR="003A48FE">
        <w:t xml:space="preserve"> of </w:t>
      </w:r>
      <w:r w:rsidR="009902A9">
        <w:t>the S</w:t>
      </w:r>
      <w:r w:rsidR="003A48FE">
        <w:t xml:space="preserve">tudy </w:t>
      </w:r>
      <w:r w:rsidR="009902A9">
        <w:t>Population and Matched C</w:t>
      </w:r>
      <w:r w:rsidR="003A48FE">
        <w:t>ohort</w:t>
      </w:r>
      <w:r w:rsidR="009902A9">
        <w:t>s</w:t>
      </w:r>
    </w:p>
    <w:tbl>
      <w:tblPr>
        <w:tblStyle w:val="LightShading"/>
        <w:tblW w:w="9659" w:type="dxa"/>
        <w:tblLayout w:type="fixed"/>
        <w:tblLook w:val="04A0" w:firstRow="1" w:lastRow="0" w:firstColumn="1" w:lastColumn="0" w:noHBand="0" w:noVBand="1"/>
      </w:tblPr>
      <w:tblGrid>
        <w:gridCol w:w="1389"/>
        <w:gridCol w:w="1330"/>
        <w:gridCol w:w="1299"/>
        <w:gridCol w:w="1001"/>
        <w:gridCol w:w="1151"/>
        <w:gridCol w:w="1228"/>
        <w:gridCol w:w="1070"/>
        <w:gridCol w:w="1191"/>
      </w:tblGrid>
      <w:tr w:rsidR="006B4E19" w:rsidRPr="006B4E19" w14:paraId="0AF7B929" w14:textId="77777777" w:rsidTr="00C417E6">
        <w:trPr>
          <w:cnfStyle w:val="100000000000" w:firstRow="1" w:lastRow="0" w:firstColumn="0" w:lastColumn="0" w:oddVBand="0" w:evenVBand="0" w:oddHBand="0"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1389" w:type="dxa"/>
            <w:vMerge w:val="restart"/>
            <w:tcBorders>
              <w:bottom w:val="nil"/>
            </w:tcBorders>
            <w:shd w:val="clear" w:color="auto" w:fill="auto"/>
            <w:tcMar>
              <w:left w:w="29" w:type="dxa"/>
              <w:right w:w="29" w:type="dxa"/>
            </w:tcMar>
            <w:vAlign w:val="bottom"/>
          </w:tcPr>
          <w:p w14:paraId="1E2AC428" w14:textId="77777777" w:rsidR="00943DB7" w:rsidRPr="006B4E19" w:rsidRDefault="00943DB7" w:rsidP="009902A9">
            <w:pPr>
              <w:pStyle w:val="Normal2"/>
              <w:spacing w:line="276" w:lineRule="auto"/>
              <w:contextualSpacing/>
              <w:rPr>
                <w:sz w:val="20"/>
              </w:rPr>
            </w:pPr>
          </w:p>
        </w:tc>
        <w:tc>
          <w:tcPr>
            <w:tcW w:w="1330" w:type="dxa"/>
            <w:vMerge w:val="restart"/>
            <w:tcBorders>
              <w:bottom w:val="single" w:sz="4" w:space="0" w:color="auto"/>
            </w:tcBorders>
            <w:shd w:val="clear" w:color="auto" w:fill="auto"/>
            <w:tcMar>
              <w:left w:w="29" w:type="dxa"/>
              <w:right w:w="29" w:type="dxa"/>
            </w:tcMar>
            <w:vAlign w:val="bottom"/>
          </w:tcPr>
          <w:p w14:paraId="69B3F5F7" w14:textId="77777777" w:rsidR="00943DB7" w:rsidRPr="006B4E19" w:rsidRDefault="00442AEA" w:rsidP="009902A9">
            <w:pPr>
              <w:pStyle w:val="Normal2"/>
              <w:spacing w:line="276" w:lineRule="auto"/>
              <w:contextualSpacing/>
              <w:cnfStyle w:val="100000000000" w:firstRow="1" w:lastRow="0" w:firstColumn="0" w:lastColumn="0" w:oddVBand="0" w:evenVBand="0" w:oddHBand="0" w:evenHBand="0" w:firstRowFirstColumn="0" w:firstRowLastColumn="0" w:lastRowFirstColumn="0" w:lastRowLastColumn="0"/>
              <w:rPr>
                <w:b w:val="0"/>
                <w:sz w:val="20"/>
              </w:rPr>
            </w:pPr>
            <w:r w:rsidRPr="006B4E19">
              <w:rPr>
                <w:b w:val="0"/>
                <w:sz w:val="20"/>
              </w:rPr>
              <w:t>No. (%)</w:t>
            </w:r>
          </w:p>
        </w:tc>
        <w:tc>
          <w:tcPr>
            <w:tcW w:w="6940" w:type="dxa"/>
            <w:gridSpan w:val="6"/>
            <w:tcMar>
              <w:left w:w="29" w:type="dxa"/>
              <w:right w:w="29" w:type="dxa"/>
            </w:tcMar>
            <w:vAlign w:val="bottom"/>
          </w:tcPr>
          <w:p w14:paraId="37EFF0DA" w14:textId="77777777" w:rsidR="00943DB7" w:rsidRPr="006B4E19" w:rsidRDefault="00943DB7" w:rsidP="009902A9">
            <w:pPr>
              <w:pStyle w:val="Normal2"/>
              <w:spacing w:line="276" w:lineRule="auto"/>
              <w:contextualSpacing/>
              <w:cnfStyle w:val="100000000000" w:firstRow="1" w:lastRow="0" w:firstColumn="0" w:lastColumn="0" w:oddVBand="0" w:evenVBand="0" w:oddHBand="0" w:evenHBand="0" w:firstRowFirstColumn="0" w:firstRowLastColumn="0" w:lastRowFirstColumn="0" w:lastRowLastColumn="0"/>
              <w:rPr>
                <w:sz w:val="20"/>
              </w:rPr>
            </w:pPr>
            <w:r w:rsidRPr="006B4E19">
              <w:rPr>
                <w:sz w:val="20"/>
              </w:rPr>
              <w:t>Matched cohorts for each CDI case definition</w:t>
            </w:r>
          </w:p>
        </w:tc>
      </w:tr>
      <w:tr w:rsidR="006B4E19" w:rsidRPr="006B4E19" w14:paraId="50B78A31" w14:textId="77777777" w:rsidTr="00C417E6">
        <w:trPr>
          <w:cnfStyle w:val="000000100000" w:firstRow="0" w:lastRow="0" w:firstColumn="0" w:lastColumn="0" w:oddVBand="0" w:evenVBand="0" w:oddHBand="1" w:evenHBand="0" w:firstRowFirstColumn="0" w:firstRowLastColumn="0" w:lastRowFirstColumn="0" w:lastRowLastColumn="0"/>
          <w:trHeight w:val="142"/>
        </w:trPr>
        <w:tc>
          <w:tcPr>
            <w:cnfStyle w:val="001000000000" w:firstRow="0" w:lastRow="0" w:firstColumn="1" w:lastColumn="0" w:oddVBand="0" w:evenVBand="0" w:oddHBand="0" w:evenHBand="0" w:firstRowFirstColumn="0" w:firstRowLastColumn="0" w:lastRowFirstColumn="0" w:lastRowLastColumn="0"/>
            <w:tcW w:w="1389" w:type="dxa"/>
            <w:vMerge/>
            <w:tcBorders>
              <w:top w:val="nil"/>
              <w:bottom w:val="nil"/>
            </w:tcBorders>
            <w:shd w:val="clear" w:color="auto" w:fill="auto"/>
            <w:tcMar>
              <w:left w:w="29" w:type="dxa"/>
              <w:right w:w="29" w:type="dxa"/>
            </w:tcMar>
            <w:vAlign w:val="bottom"/>
          </w:tcPr>
          <w:p w14:paraId="5C8704D4" w14:textId="77777777" w:rsidR="006B4E19" w:rsidRPr="006B4E19" w:rsidRDefault="006B4E19" w:rsidP="009902A9">
            <w:pPr>
              <w:pStyle w:val="Normal2"/>
              <w:keepNext/>
              <w:keepLines/>
              <w:spacing w:after="200" w:line="276" w:lineRule="auto"/>
              <w:contextualSpacing/>
              <w:rPr>
                <w:sz w:val="20"/>
              </w:rPr>
            </w:pPr>
          </w:p>
        </w:tc>
        <w:tc>
          <w:tcPr>
            <w:tcW w:w="1330" w:type="dxa"/>
            <w:vMerge/>
            <w:tcBorders>
              <w:top w:val="nil"/>
              <w:bottom w:val="single" w:sz="4" w:space="0" w:color="auto"/>
            </w:tcBorders>
            <w:shd w:val="clear" w:color="auto" w:fill="auto"/>
            <w:tcMar>
              <w:left w:w="29" w:type="dxa"/>
              <w:right w:w="29" w:type="dxa"/>
            </w:tcMar>
            <w:vAlign w:val="bottom"/>
          </w:tcPr>
          <w:p w14:paraId="42D115ED" w14:textId="77777777" w:rsidR="006B4E19" w:rsidRPr="006B4E19" w:rsidDel="00854E53" w:rsidRDefault="006B4E19" w:rsidP="009902A9">
            <w:pPr>
              <w:pStyle w:val="Normal2"/>
              <w:keepNext/>
              <w:keepLines/>
              <w:spacing w:after="200" w:line="276" w:lineRule="auto"/>
              <w:contextualSpacing/>
              <w:cnfStyle w:val="000000100000" w:firstRow="0" w:lastRow="0" w:firstColumn="0" w:lastColumn="0" w:oddVBand="0" w:evenVBand="0" w:oddHBand="1" w:evenHBand="0" w:firstRowFirstColumn="0" w:firstRowLastColumn="0" w:lastRowFirstColumn="0" w:lastRowLastColumn="0"/>
              <w:rPr>
                <w:sz w:val="20"/>
              </w:rPr>
            </w:pPr>
          </w:p>
        </w:tc>
        <w:tc>
          <w:tcPr>
            <w:tcW w:w="3451" w:type="dxa"/>
            <w:gridSpan w:val="3"/>
            <w:tcBorders>
              <w:top w:val="single" w:sz="4" w:space="0" w:color="auto"/>
              <w:bottom w:val="single" w:sz="4" w:space="0" w:color="auto"/>
            </w:tcBorders>
            <w:shd w:val="clear" w:color="auto" w:fill="auto"/>
            <w:tcMar>
              <w:left w:w="29" w:type="dxa"/>
              <w:right w:w="29" w:type="dxa"/>
            </w:tcMar>
            <w:vAlign w:val="bottom"/>
          </w:tcPr>
          <w:p w14:paraId="6A4307ED" w14:textId="77777777" w:rsidR="006B4E19" w:rsidRPr="006B4E19" w:rsidRDefault="006B4E19" w:rsidP="009902A9">
            <w:pPr>
              <w:pStyle w:val="Normal2"/>
              <w:spacing w:line="276" w:lineRule="auto"/>
              <w:contextualSpacing/>
              <w:cnfStyle w:val="000000100000" w:firstRow="0" w:lastRow="0" w:firstColumn="0" w:lastColumn="0" w:oddVBand="0" w:evenVBand="0" w:oddHBand="1" w:evenHBand="0" w:firstRowFirstColumn="0" w:firstRowLastColumn="0" w:lastRowFirstColumn="0" w:lastRowLastColumn="0"/>
              <w:rPr>
                <w:sz w:val="20"/>
              </w:rPr>
            </w:pPr>
            <w:r>
              <w:rPr>
                <w:sz w:val="20"/>
              </w:rPr>
              <w:t xml:space="preserve">i. </w:t>
            </w:r>
            <w:proofErr w:type="gramStart"/>
            <w:r w:rsidRPr="006B4E19">
              <w:rPr>
                <w:sz w:val="20"/>
              </w:rPr>
              <w:t>by</w:t>
            </w:r>
            <w:proofErr w:type="gramEnd"/>
            <w:r w:rsidRPr="006B4E19">
              <w:rPr>
                <w:sz w:val="20"/>
              </w:rPr>
              <w:t xml:space="preserve"> ICD-9 code</w:t>
            </w:r>
          </w:p>
        </w:tc>
        <w:tc>
          <w:tcPr>
            <w:tcW w:w="3489" w:type="dxa"/>
            <w:gridSpan w:val="3"/>
            <w:tcBorders>
              <w:top w:val="single" w:sz="4" w:space="0" w:color="auto"/>
              <w:bottom w:val="single" w:sz="4" w:space="0" w:color="auto"/>
            </w:tcBorders>
            <w:shd w:val="clear" w:color="auto" w:fill="auto"/>
            <w:tcMar>
              <w:left w:w="29" w:type="dxa"/>
              <w:right w:w="29" w:type="dxa"/>
            </w:tcMar>
            <w:vAlign w:val="bottom"/>
          </w:tcPr>
          <w:p w14:paraId="2893FF58" w14:textId="77777777" w:rsidR="006B4E19" w:rsidRPr="006B4E19" w:rsidRDefault="006B4E19" w:rsidP="009902A9">
            <w:pPr>
              <w:pStyle w:val="Normal2"/>
              <w:spacing w:line="276" w:lineRule="auto"/>
              <w:contextualSpacing/>
              <w:cnfStyle w:val="000000100000" w:firstRow="0" w:lastRow="0" w:firstColumn="0" w:lastColumn="0" w:oddVBand="0" w:evenVBand="0" w:oddHBand="1" w:evenHBand="0" w:firstRowFirstColumn="0" w:firstRowLastColumn="0" w:lastRowFirstColumn="0" w:lastRowLastColumn="0"/>
              <w:rPr>
                <w:sz w:val="20"/>
              </w:rPr>
            </w:pPr>
            <w:r>
              <w:rPr>
                <w:sz w:val="20"/>
              </w:rPr>
              <w:t xml:space="preserve">ii. </w:t>
            </w:r>
            <w:proofErr w:type="gramStart"/>
            <w:r w:rsidRPr="006B4E19">
              <w:rPr>
                <w:sz w:val="20"/>
              </w:rPr>
              <w:t>by</w:t>
            </w:r>
            <w:proofErr w:type="gramEnd"/>
            <w:r w:rsidRPr="006B4E19">
              <w:rPr>
                <w:sz w:val="20"/>
              </w:rPr>
              <w:t xml:space="preserve"> EIA (+)</w:t>
            </w:r>
          </w:p>
        </w:tc>
      </w:tr>
      <w:tr w:rsidR="006B4E19" w:rsidRPr="006B4E19" w14:paraId="58AD6403" w14:textId="77777777" w:rsidTr="00C417E6">
        <w:trPr>
          <w:trHeight w:val="107"/>
        </w:trPr>
        <w:tc>
          <w:tcPr>
            <w:cnfStyle w:val="001000000000" w:firstRow="0" w:lastRow="0" w:firstColumn="1" w:lastColumn="0" w:oddVBand="0" w:evenVBand="0" w:oddHBand="0" w:evenHBand="0" w:firstRowFirstColumn="0" w:firstRowLastColumn="0" w:lastRowFirstColumn="0" w:lastRowLastColumn="0"/>
            <w:tcW w:w="1389" w:type="dxa"/>
            <w:vMerge/>
            <w:tcBorders>
              <w:top w:val="nil"/>
              <w:bottom w:val="nil"/>
            </w:tcBorders>
            <w:shd w:val="clear" w:color="auto" w:fill="auto"/>
            <w:tcMar>
              <w:left w:w="29" w:type="dxa"/>
              <w:right w:w="29" w:type="dxa"/>
            </w:tcMar>
            <w:vAlign w:val="bottom"/>
          </w:tcPr>
          <w:p w14:paraId="2C3D4E9F" w14:textId="77777777" w:rsidR="006B4E19" w:rsidRPr="006B4E19" w:rsidRDefault="006B4E19" w:rsidP="009902A9">
            <w:pPr>
              <w:pStyle w:val="Normal2"/>
              <w:keepNext/>
              <w:keepLines/>
              <w:spacing w:after="200" w:line="276" w:lineRule="auto"/>
              <w:contextualSpacing/>
              <w:rPr>
                <w:sz w:val="20"/>
              </w:rPr>
            </w:pPr>
          </w:p>
        </w:tc>
        <w:tc>
          <w:tcPr>
            <w:tcW w:w="1330" w:type="dxa"/>
            <w:vMerge/>
            <w:tcBorders>
              <w:top w:val="nil"/>
              <w:bottom w:val="single" w:sz="4" w:space="0" w:color="auto"/>
            </w:tcBorders>
            <w:shd w:val="clear" w:color="auto" w:fill="auto"/>
            <w:tcMar>
              <w:left w:w="29" w:type="dxa"/>
              <w:right w:w="29" w:type="dxa"/>
            </w:tcMar>
            <w:vAlign w:val="bottom"/>
          </w:tcPr>
          <w:p w14:paraId="46FDF4EA" w14:textId="77777777" w:rsidR="006B4E19" w:rsidRPr="006B4E19" w:rsidDel="00854E53" w:rsidRDefault="006B4E19" w:rsidP="009902A9">
            <w:pPr>
              <w:pStyle w:val="Normal2"/>
              <w:keepNext/>
              <w:keepLines/>
              <w:spacing w:after="200" w:line="276" w:lineRule="auto"/>
              <w:contextualSpacing/>
              <w:cnfStyle w:val="000000000000" w:firstRow="0" w:lastRow="0" w:firstColumn="0" w:lastColumn="0" w:oddVBand="0" w:evenVBand="0" w:oddHBand="0" w:evenHBand="0" w:firstRowFirstColumn="0" w:firstRowLastColumn="0" w:lastRowFirstColumn="0" w:lastRowLastColumn="0"/>
              <w:rPr>
                <w:sz w:val="20"/>
              </w:rPr>
            </w:pPr>
          </w:p>
        </w:tc>
        <w:tc>
          <w:tcPr>
            <w:tcW w:w="2300" w:type="dxa"/>
            <w:gridSpan w:val="2"/>
            <w:tcBorders>
              <w:top w:val="single" w:sz="4" w:space="0" w:color="auto"/>
              <w:bottom w:val="single" w:sz="4" w:space="0" w:color="auto"/>
            </w:tcBorders>
            <w:shd w:val="clear" w:color="auto" w:fill="auto"/>
            <w:tcMar>
              <w:left w:w="29" w:type="dxa"/>
              <w:right w:w="29" w:type="dxa"/>
            </w:tcMar>
            <w:vAlign w:val="bottom"/>
          </w:tcPr>
          <w:p w14:paraId="17A995F8" w14:textId="77777777" w:rsidR="006B4E19" w:rsidRPr="006B4E19" w:rsidRDefault="006B4E19" w:rsidP="009902A9">
            <w:pPr>
              <w:pStyle w:val="Normal2"/>
              <w:spacing w:line="276" w:lineRule="auto"/>
              <w:contextualSpacing/>
              <w:cnfStyle w:val="000000000000" w:firstRow="0" w:lastRow="0" w:firstColumn="0" w:lastColumn="0" w:oddVBand="0" w:evenVBand="0" w:oddHBand="0" w:evenHBand="0" w:firstRowFirstColumn="0" w:firstRowLastColumn="0" w:lastRowFirstColumn="0" w:lastRowLastColumn="0"/>
              <w:rPr>
                <w:sz w:val="20"/>
              </w:rPr>
            </w:pPr>
            <w:r w:rsidRPr="006B4E19">
              <w:rPr>
                <w:sz w:val="20"/>
              </w:rPr>
              <w:t>No. (%)</w:t>
            </w:r>
          </w:p>
        </w:tc>
        <w:tc>
          <w:tcPr>
            <w:tcW w:w="1151" w:type="dxa"/>
            <w:vMerge w:val="restart"/>
            <w:tcBorders>
              <w:top w:val="single" w:sz="4" w:space="0" w:color="auto"/>
            </w:tcBorders>
            <w:shd w:val="clear" w:color="auto" w:fill="auto"/>
            <w:tcMar>
              <w:left w:w="29" w:type="dxa"/>
              <w:right w:w="29" w:type="dxa"/>
            </w:tcMar>
            <w:vAlign w:val="bottom"/>
          </w:tcPr>
          <w:p w14:paraId="5FEB0037" w14:textId="77777777" w:rsidR="006B4E19" w:rsidRPr="006B4E19" w:rsidRDefault="006B4E19" w:rsidP="00F80619">
            <w:pPr>
              <w:pStyle w:val="Normal2"/>
              <w:spacing w:line="276" w:lineRule="auto"/>
              <w:contextualSpacing/>
              <w:cnfStyle w:val="000000000000" w:firstRow="0" w:lastRow="0" w:firstColumn="0" w:lastColumn="0" w:oddVBand="0" w:evenVBand="0" w:oddHBand="0" w:evenHBand="0" w:firstRowFirstColumn="0" w:firstRowLastColumn="0" w:lastRowFirstColumn="0" w:lastRowLastColumn="0"/>
              <w:rPr>
                <w:i/>
                <w:sz w:val="20"/>
              </w:rPr>
            </w:pPr>
            <w:r w:rsidRPr="006B4E19">
              <w:rPr>
                <w:sz w:val="20"/>
              </w:rPr>
              <w:t xml:space="preserve">SMD after matching </w:t>
            </w:r>
            <w:r w:rsidR="006B5830">
              <w:rPr>
                <w:sz w:val="20"/>
              </w:rPr>
              <w:br/>
            </w:r>
            <w:r w:rsidRPr="006B4E19">
              <w:rPr>
                <w:sz w:val="20"/>
              </w:rPr>
              <w:t>(</w:t>
            </w:r>
            <w:r w:rsidRPr="006B4E19">
              <w:rPr>
                <w:i/>
                <w:sz w:val="20"/>
              </w:rPr>
              <w:t>P</w:t>
            </w:r>
            <w:r w:rsidRPr="006B4E19">
              <w:rPr>
                <w:sz w:val="20"/>
              </w:rPr>
              <w:t xml:space="preserve"> value)</w:t>
            </w:r>
          </w:p>
        </w:tc>
        <w:tc>
          <w:tcPr>
            <w:tcW w:w="2298" w:type="dxa"/>
            <w:gridSpan w:val="2"/>
            <w:tcBorders>
              <w:top w:val="single" w:sz="4" w:space="0" w:color="auto"/>
              <w:bottom w:val="single" w:sz="4" w:space="0" w:color="auto"/>
            </w:tcBorders>
            <w:shd w:val="clear" w:color="auto" w:fill="auto"/>
            <w:tcMar>
              <w:left w:w="29" w:type="dxa"/>
              <w:right w:w="29" w:type="dxa"/>
            </w:tcMar>
            <w:vAlign w:val="bottom"/>
          </w:tcPr>
          <w:p w14:paraId="557435DD" w14:textId="77777777" w:rsidR="006B4E19" w:rsidRPr="006B4E19" w:rsidRDefault="006B4E19" w:rsidP="009902A9">
            <w:pPr>
              <w:pStyle w:val="Normal2"/>
              <w:spacing w:line="276" w:lineRule="auto"/>
              <w:contextualSpacing/>
              <w:cnfStyle w:val="000000000000" w:firstRow="0" w:lastRow="0" w:firstColumn="0" w:lastColumn="0" w:oddVBand="0" w:evenVBand="0" w:oddHBand="0" w:evenHBand="0" w:firstRowFirstColumn="0" w:firstRowLastColumn="0" w:lastRowFirstColumn="0" w:lastRowLastColumn="0"/>
              <w:rPr>
                <w:sz w:val="20"/>
              </w:rPr>
            </w:pPr>
            <w:r w:rsidRPr="006B4E19">
              <w:rPr>
                <w:sz w:val="20"/>
              </w:rPr>
              <w:t>No. (%)</w:t>
            </w:r>
          </w:p>
        </w:tc>
        <w:tc>
          <w:tcPr>
            <w:tcW w:w="1191" w:type="dxa"/>
            <w:vMerge w:val="restart"/>
            <w:tcBorders>
              <w:top w:val="single" w:sz="4" w:space="0" w:color="auto"/>
            </w:tcBorders>
            <w:shd w:val="clear" w:color="auto" w:fill="auto"/>
            <w:tcMar>
              <w:left w:w="29" w:type="dxa"/>
              <w:right w:w="29" w:type="dxa"/>
            </w:tcMar>
            <w:vAlign w:val="bottom"/>
          </w:tcPr>
          <w:p w14:paraId="66435119" w14:textId="77777777" w:rsidR="006B4E19" w:rsidRPr="006B4E19" w:rsidRDefault="006B4E19" w:rsidP="00527F94">
            <w:pPr>
              <w:pStyle w:val="Normal2"/>
              <w:spacing w:line="276" w:lineRule="auto"/>
              <w:contextualSpacing/>
              <w:cnfStyle w:val="000000000000" w:firstRow="0" w:lastRow="0" w:firstColumn="0" w:lastColumn="0" w:oddVBand="0" w:evenVBand="0" w:oddHBand="0" w:evenHBand="0" w:firstRowFirstColumn="0" w:firstRowLastColumn="0" w:lastRowFirstColumn="0" w:lastRowLastColumn="0"/>
              <w:rPr>
                <w:sz w:val="20"/>
              </w:rPr>
            </w:pPr>
            <w:r w:rsidRPr="006B4E19">
              <w:rPr>
                <w:sz w:val="20"/>
              </w:rPr>
              <w:t>SMD after matching</w:t>
            </w:r>
          </w:p>
          <w:p w14:paraId="3F8B28EA" w14:textId="77777777" w:rsidR="006B4E19" w:rsidRPr="006B4E19" w:rsidRDefault="006B4E19" w:rsidP="00527F94">
            <w:pPr>
              <w:pStyle w:val="Normal2"/>
              <w:spacing w:line="276" w:lineRule="auto"/>
              <w:contextualSpacing/>
              <w:cnfStyle w:val="000000000000" w:firstRow="0" w:lastRow="0" w:firstColumn="0" w:lastColumn="0" w:oddVBand="0" w:evenVBand="0" w:oddHBand="0" w:evenHBand="0" w:firstRowFirstColumn="0" w:firstRowLastColumn="0" w:lastRowFirstColumn="0" w:lastRowLastColumn="0"/>
              <w:rPr>
                <w:sz w:val="20"/>
              </w:rPr>
            </w:pPr>
            <w:r w:rsidRPr="006B4E19">
              <w:rPr>
                <w:sz w:val="20"/>
              </w:rPr>
              <w:t>(</w:t>
            </w:r>
            <w:r w:rsidRPr="006B4E19">
              <w:rPr>
                <w:i/>
                <w:sz w:val="20"/>
              </w:rPr>
              <w:t xml:space="preserve">P </w:t>
            </w:r>
            <w:r w:rsidRPr="006B4E19">
              <w:rPr>
                <w:sz w:val="20"/>
              </w:rPr>
              <w:t>value)</w:t>
            </w:r>
          </w:p>
        </w:tc>
      </w:tr>
      <w:tr w:rsidR="006B4E19" w:rsidRPr="006B4E19" w14:paraId="5D096A43" w14:textId="77777777" w:rsidTr="00C417E6">
        <w:trPr>
          <w:cnfStyle w:val="000000100000" w:firstRow="0" w:lastRow="0" w:firstColumn="0" w:lastColumn="0" w:oddVBand="0" w:evenVBand="0" w:oddHBand="1" w:evenHBand="0" w:firstRowFirstColumn="0" w:firstRowLastColumn="0" w:lastRowFirstColumn="0" w:lastRowLastColumn="0"/>
          <w:trHeight w:val="225"/>
        </w:trPr>
        <w:tc>
          <w:tcPr>
            <w:cnfStyle w:val="001000000000" w:firstRow="0" w:lastRow="0" w:firstColumn="1" w:lastColumn="0" w:oddVBand="0" w:evenVBand="0" w:oddHBand="0" w:evenHBand="0" w:firstRowFirstColumn="0" w:firstRowLastColumn="0" w:lastRowFirstColumn="0" w:lastRowLastColumn="0"/>
            <w:tcW w:w="1389" w:type="dxa"/>
            <w:tcBorders>
              <w:top w:val="nil"/>
              <w:bottom w:val="single" w:sz="4" w:space="0" w:color="auto"/>
            </w:tcBorders>
            <w:shd w:val="clear" w:color="auto" w:fill="auto"/>
            <w:tcMar>
              <w:left w:w="29" w:type="dxa"/>
              <w:right w:w="29" w:type="dxa"/>
            </w:tcMar>
            <w:vAlign w:val="bottom"/>
          </w:tcPr>
          <w:p w14:paraId="0EE29A1D" w14:textId="77777777" w:rsidR="006B4E19" w:rsidRPr="006B4E19" w:rsidRDefault="006B4E19" w:rsidP="00A016B5">
            <w:pPr>
              <w:pStyle w:val="Normal2"/>
              <w:spacing w:line="276" w:lineRule="auto"/>
              <w:contextualSpacing/>
              <w:rPr>
                <w:b w:val="0"/>
                <w:sz w:val="20"/>
              </w:rPr>
            </w:pPr>
            <w:r w:rsidRPr="006B4E19">
              <w:rPr>
                <w:b w:val="0"/>
                <w:sz w:val="20"/>
              </w:rPr>
              <w:t>Characteristic</w:t>
            </w:r>
          </w:p>
        </w:tc>
        <w:tc>
          <w:tcPr>
            <w:tcW w:w="1330" w:type="dxa"/>
            <w:tcBorders>
              <w:top w:val="single" w:sz="4" w:space="0" w:color="auto"/>
              <w:bottom w:val="single" w:sz="4" w:space="0" w:color="auto"/>
            </w:tcBorders>
            <w:shd w:val="clear" w:color="auto" w:fill="auto"/>
            <w:tcMar>
              <w:left w:w="29" w:type="dxa"/>
              <w:right w:w="29" w:type="dxa"/>
            </w:tcMar>
            <w:vAlign w:val="bottom"/>
          </w:tcPr>
          <w:p w14:paraId="263F07E7" w14:textId="77777777" w:rsidR="006B4E19" w:rsidRPr="006B4E19" w:rsidRDefault="006B4E19" w:rsidP="009902A9">
            <w:pPr>
              <w:pStyle w:val="Normal2"/>
              <w:spacing w:line="276" w:lineRule="auto"/>
              <w:contextualSpacing/>
              <w:cnfStyle w:val="000000100000" w:firstRow="0" w:lastRow="0" w:firstColumn="0" w:lastColumn="0" w:oddVBand="0" w:evenVBand="0" w:oddHBand="1" w:evenHBand="0" w:firstRowFirstColumn="0" w:firstRowLastColumn="0" w:lastRowFirstColumn="0" w:lastRowLastColumn="0"/>
              <w:rPr>
                <w:b/>
                <w:sz w:val="20"/>
              </w:rPr>
            </w:pPr>
            <w:r w:rsidRPr="006B4E19">
              <w:rPr>
                <w:b/>
                <w:sz w:val="20"/>
              </w:rPr>
              <w:t>All patients</w:t>
            </w:r>
          </w:p>
          <w:p w14:paraId="5B1EF9B0" w14:textId="77777777" w:rsidR="006B4E19" w:rsidRPr="006B4E19" w:rsidRDefault="006B4E19" w:rsidP="009902A9">
            <w:pPr>
              <w:pStyle w:val="Normal2"/>
              <w:spacing w:line="276" w:lineRule="auto"/>
              <w:contextualSpacing/>
              <w:cnfStyle w:val="000000100000" w:firstRow="0" w:lastRow="0" w:firstColumn="0" w:lastColumn="0" w:oddVBand="0" w:evenVBand="0" w:oddHBand="1" w:evenHBand="0" w:firstRowFirstColumn="0" w:firstRowLastColumn="0" w:lastRowFirstColumn="0" w:lastRowLastColumn="0"/>
              <w:rPr>
                <w:sz w:val="20"/>
              </w:rPr>
            </w:pPr>
            <w:r w:rsidRPr="006B4E19">
              <w:rPr>
                <w:sz w:val="20"/>
              </w:rPr>
              <w:t>(</w:t>
            </w:r>
            <w:proofErr w:type="gramStart"/>
            <w:r w:rsidRPr="006B4E19">
              <w:rPr>
                <w:sz w:val="20"/>
              </w:rPr>
              <w:t>n</w:t>
            </w:r>
            <w:proofErr w:type="gramEnd"/>
            <w:r w:rsidRPr="006B4E19">
              <w:rPr>
                <w:sz w:val="20"/>
              </w:rPr>
              <w:t>=171 936)</w:t>
            </w:r>
          </w:p>
        </w:tc>
        <w:tc>
          <w:tcPr>
            <w:tcW w:w="1299" w:type="dxa"/>
            <w:tcBorders>
              <w:top w:val="single" w:sz="4" w:space="0" w:color="auto"/>
              <w:bottom w:val="single" w:sz="4" w:space="0" w:color="auto"/>
            </w:tcBorders>
            <w:shd w:val="clear" w:color="auto" w:fill="auto"/>
            <w:tcMar>
              <w:left w:w="29" w:type="dxa"/>
              <w:right w:w="29" w:type="dxa"/>
            </w:tcMar>
            <w:vAlign w:val="bottom"/>
          </w:tcPr>
          <w:p w14:paraId="4E5DCDCC" w14:textId="77777777" w:rsidR="006B4E19" w:rsidRPr="006B4E19" w:rsidRDefault="006B4E19" w:rsidP="009902A9">
            <w:pPr>
              <w:pStyle w:val="Normal2"/>
              <w:spacing w:line="276" w:lineRule="auto"/>
              <w:contextualSpacing/>
              <w:cnfStyle w:val="000000100000" w:firstRow="0" w:lastRow="0" w:firstColumn="0" w:lastColumn="0" w:oddVBand="0" w:evenVBand="0" w:oddHBand="1" w:evenHBand="0" w:firstRowFirstColumn="0" w:firstRowLastColumn="0" w:lastRowFirstColumn="0" w:lastRowLastColumn="0"/>
              <w:rPr>
                <w:sz w:val="20"/>
              </w:rPr>
            </w:pPr>
            <w:r w:rsidRPr="006B4E19">
              <w:rPr>
                <w:sz w:val="20"/>
              </w:rPr>
              <w:t>All controls</w:t>
            </w:r>
          </w:p>
          <w:p w14:paraId="7FACE46C" w14:textId="77777777" w:rsidR="006B4E19" w:rsidRPr="006B4E19" w:rsidRDefault="006B4E19" w:rsidP="00386AAB">
            <w:pPr>
              <w:pStyle w:val="Normal2"/>
              <w:spacing w:line="276" w:lineRule="auto"/>
              <w:contextualSpacing/>
              <w:cnfStyle w:val="000000100000" w:firstRow="0" w:lastRow="0" w:firstColumn="0" w:lastColumn="0" w:oddVBand="0" w:evenVBand="0" w:oddHBand="1" w:evenHBand="0" w:firstRowFirstColumn="0" w:firstRowLastColumn="0" w:lastRowFirstColumn="0" w:lastRowLastColumn="0"/>
              <w:rPr>
                <w:sz w:val="20"/>
              </w:rPr>
            </w:pPr>
            <w:r w:rsidRPr="006B4E19">
              <w:rPr>
                <w:sz w:val="20"/>
              </w:rPr>
              <w:t>(</w:t>
            </w:r>
            <w:proofErr w:type="gramStart"/>
            <w:r w:rsidRPr="006B4E19">
              <w:rPr>
                <w:sz w:val="20"/>
              </w:rPr>
              <w:t>n</w:t>
            </w:r>
            <w:proofErr w:type="gramEnd"/>
            <w:r w:rsidRPr="006B4E19">
              <w:rPr>
                <w:sz w:val="20"/>
              </w:rPr>
              <w:t>=171 356)</w:t>
            </w:r>
          </w:p>
        </w:tc>
        <w:tc>
          <w:tcPr>
            <w:tcW w:w="1001" w:type="dxa"/>
            <w:tcBorders>
              <w:top w:val="single" w:sz="4" w:space="0" w:color="auto"/>
              <w:bottom w:val="single" w:sz="4" w:space="0" w:color="auto"/>
            </w:tcBorders>
            <w:shd w:val="clear" w:color="auto" w:fill="auto"/>
            <w:tcMar>
              <w:left w:w="29" w:type="dxa"/>
              <w:right w:w="29" w:type="dxa"/>
            </w:tcMar>
            <w:vAlign w:val="bottom"/>
          </w:tcPr>
          <w:p w14:paraId="26C3F0DB" w14:textId="77777777" w:rsidR="006B4E19" w:rsidRPr="006B4E19" w:rsidRDefault="006B4E19" w:rsidP="00C03F91">
            <w:pPr>
              <w:pStyle w:val="Normal2"/>
              <w:spacing w:line="276" w:lineRule="auto"/>
              <w:contextualSpacing/>
              <w:cnfStyle w:val="000000100000" w:firstRow="0" w:lastRow="0" w:firstColumn="0" w:lastColumn="0" w:oddVBand="0" w:evenVBand="0" w:oddHBand="1" w:evenHBand="0" w:firstRowFirstColumn="0" w:firstRowLastColumn="0" w:lastRowFirstColumn="0" w:lastRowLastColumn="0"/>
              <w:rPr>
                <w:sz w:val="20"/>
              </w:rPr>
            </w:pPr>
            <w:r w:rsidRPr="006B4E19">
              <w:rPr>
                <w:sz w:val="20"/>
              </w:rPr>
              <w:t>Matched cases &amp; controls</w:t>
            </w:r>
            <w:r w:rsidRPr="006B4E19">
              <w:rPr>
                <w:sz w:val="20"/>
                <w:vertAlign w:val="superscript"/>
              </w:rPr>
              <w:t>a</w:t>
            </w:r>
            <w:r w:rsidRPr="006B4E19">
              <w:rPr>
                <w:sz w:val="20"/>
              </w:rPr>
              <w:t xml:space="preserve"> (n=</w:t>
            </w:r>
            <w:r w:rsidR="00C03F91">
              <w:rPr>
                <w:sz w:val="20"/>
              </w:rPr>
              <w:t>489</w:t>
            </w:r>
            <w:r w:rsidRPr="006B4E19">
              <w:rPr>
                <w:sz w:val="20"/>
              </w:rPr>
              <w:t xml:space="preserve">) </w:t>
            </w:r>
          </w:p>
        </w:tc>
        <w:tc>
          <w:tcPr>
            <w:tcW w:w="1151" w:type="dxa"/>
            <w:vMerge/>
            <w:tcBorders>
              <w:bottom w:val="single" w:sz="4" w:space="0" w:color="auto"/>
            </w:tcBorders>
            <w:shd w:val="clear" w:color="auto" w:fill="auto"/>
            <w:tcMar>
              <w:left w:w="29" w:type="dxa"/>
              <w:right w:w="29" w:type="dxa"/>
            </w:tcMar>
            <w:vAlign w:val="bottom"/>
          </w:tcPr>
          <w:p w14:paraId="45FBD182" w14:textId="77777777" w:rsidR="006B4E19" w:rsidRPr="006B4E19" w:rsidRDefault="006B4E19" w:rsidP="009902A9">
            <w:pPr>
              <w:pStyle w:val="Normal2"/>
              <w:spacing w:line="276" w:lineRule="auto"/>
              <w:contextualSpacing/>
              <w:cnfStyle w:val="000000100000" w:firstRow="0" w:lastRow="0" w:firstColumn="0" w:lastColumn="0" w:oddVBand="0" w:evenVBand="0" w:oddHBand="1" w:evenHBand="0" w:firstRowFirstColumn="0" w:firstRowLastColumn="0" w:lastRowFirstColumn="0" w:lastRowLastColumn="0"/>
              <w:rPr>
                <w:sz w:val="20"/>
              </w:rPr>
            </w:pPr>
          </w:p>
        </w:tc>
        <w:tc>
          <w:tcPr>
            <w:tcW w:w="1228" w:type="dxa"/>
            <w:tcBorders>
              <w:top w:val="single" w:sz="4" w:space="0" w:color="auto"/>
              <w:bottom w:val="single" w:sz="4" w:space="0" w:color="auto"/>
            </w:tcBorders>
            <w:shd w:val="clear" w:color="auto" w:fill="auto"/>
            <w:tcMar>
              <w:left w:w="29" w:type="dxa"/>
              <w:right w:w="29" w:type="dxa"/>
            </w:tcMar>
            <w:vAlign w:val="bottom"/>
          </w:tcPr>
          <w:p w14:paraId="68A13ACC" w14:textId="77777777" w:rsidR="006B4E19" w:rsidRPr="006B4E19" w:rsidRDefault="006B4E19" w:rsidP="00386AAB">
            <w:pPr>
              <w:pStyle w:val="Normal2"/>
              <w:spacing w:line="276" w:lineRule="auto"/>
              <w:contextualSpacing/>
              <w:cnfStyle w:val="000000100000" w:firstRow="0" w:lastRow="0" w:firstColumn="0" w:lastColumn="0" w:oddVBand="0" w:evenVBand="0" w:oddHBand="1" w:evenHBand="0" w:firstRowFirstColumn="0" w:firstRowLastColumn="0" w:lastRowFirstColumn="0" w:lastRowLastColumn="0"/>
              <w:rPr>
                <w:sz w:val="20"/>
              </w:rPr>
            </w:pPr>
            <w:r w:rsidRPr="006B4E19">
              <w:rPr>
                <w:sz w:val="20"/>
              </w:rPr>
              <w:t>All controls (n= 73 647)</w:t>
            </w:r>
          </w:p>
        </w:tc>
        <w:tc>
          <w:tcPr>
            <w:tcW w:w="1070" w:type="dxa"/>
            <w:tcBorders>
              <w:top w:val="single" w:sz="4" w:space="0" w:color="auto"/>
              <w:bottom w:val="single" w:sz="4" w:space="0" w:color="auto"/>
            </w:tcBorders>
            <w:shd w:val="clear" w:color="auto" w:fill="auto"/>
            <w:tcMar>
              <w:left w:w="29" w:type="dxa"/>
              <w:right w:w="29" w:type="dxa"/>
            </w:tcMar>
            <w:vAlign w:val="bottom"/>
          </w:tcPr>
          <w:p w14:paraId="0C598465" w14:textId="77777777" w:rsidR="006B4E19" w:rsidRPr="006B4E19" w:rsidRDefault="006B4E19" w:rsidP="00C03F91">
            <w:pPr>
              <w:pStyle w:val="Normal2"/>
              <w:spacing w:line="276" w:lineRule="auto"/>
              <w:contextualSpacing/>
              <w:cnfStyle w:val="000000100000" w:firstRow="0" w:lastRow="0" w:firstColumn="0" w:lastColumn="0" w:oddVBand="0" w:evenVBand="0" w:oddHBand="1" w:evenHBand="0" w:firstRowFirstColumn="0" w:firstRowLastColumn="0" w:lastRowFirstColumn="0" w:lastRowLastColumn="0"/>
              <w:rPr>
                <w:sz w:val="20"/>
              </w:rPr>
            </w:pPr>
            <w:r w:rsidRPr="006B4E19">
              <w:rPr>
                <w:sz w:val="20"/>
              </w:rPr>
              <w:t>Matched cases &amp; controls</w:t>
            </w:r>
            <w:r w:rsidRPr="006B4E19">
              <w:rPr>
                <w:sz w:val="20"/>
                <w:vertAlign w:val="superscript"/>
              </w:rPr>
              <w:t>a</w:t>
            </w:r>
            <w:r w:rsidRPr="006B4E19">
              <w:rPr>
                <w:sz w:val="20"/>
              </w:rPr>
              <w:t xml:space="preserve"> (n=</w:t>
            </w:r>
            <w:r w:rsidR="00C03F91">
              <w:rPr>
                <w:sz w:val="20"/>
              </w:rPr>
              <w:t>274</w:t>
            </w:r>
            <w:r w:rsidRPr="006B4E19">
              <w:rPr>
                <w:sz w:val="20"/>
              </w:rPr>
              <w:t xml:space="preserve">) </w:t>
            </w:r>
          </w:p>
        </w:tc>
        <w:tc>
          <w:tcPr>
            <w:tcW w:w="1191" w:type="dxa"/>
            <w:vMerge/>
            <w:tcBorders>
              <w:bottom w:val="single" w:sz="4" w:space="0" w:color="auto"/>
            </w:tcBorders>
            <w:shd w:val="clear" w:color="auto" w:fill="auto"/>
            <w:tcMar>
              <w:left w:w="29" w:type="dxa"/>
              <w:right w:w="29" w:type="dxa"/>
            </w:tcMar>
            <w:vAlign w:val="bottom"/>
          </w:tcPr>
          <w:p w14:paraId="6138D9D3" w14:textId="77777777" w:rsidR="006B4E19" w:rsidRPr="006B4E19" w:rsidRDefault="006B4E19" w:rsidP="009902A9">
            <w:pPr>
              <w:pStyle w:val="Normal2"/>
              <w:spacing w:line="276" w:lineRule="auto"/>
              <w:contextualSpacing/>
              <w:cnfStyle w:val="000000100000" w:firstRow="0" w:lastRow="0" w:firstColumn="0" w:lastColumn="0" w:oddVBand="0" w:evenVBand="0" w:oddHBand="1" w:evenHBand="0" w:firstRowFirstColumn="0" w:firstRowLastColumn="0" w:lastRowFirstColumn="0" w:lastRowLastColumn="0"/>
              <w:rPr>
                <w:sz w:val="20"/>
              </w:rPr>
            </w:pPr>
          </w:p>
        </w:tc>
      </w:tr>
      <w:tr w:rsidR="006B4E19" w:rsidRPr="006B4E19" w14:paraId="2AB9AE31" w14:textId="77777777" w:rsidTr="00C417E6">
        <w:trPr>
          <w:trHeight w:val="92"/>
        </w:trPr>
        <w:tc>
          <w:tcPr>
            <w:cnfStyle w:val="001000000000" w:firstRow="0" w:lastRow="0" w:firstColumn="1" w:lastColumn="0" w:oddVBand="0" w:evenVBand="0" w:oddHBand="0" w:evenHBand="0" w:firstRowFirstColumn="0" w:firstRowLastColumn="0" w:lastRowFirstColumn="0" w:lastRowLastColumn="0"/>
            <w:tcW w:w="1389" w:type="dxa"/>
            <w:shd w:val="clear" w:color="auto" w:fill="auto"/>
            <w:tcMar>
              <w:left w:w="29" w:type="dxa"/>
              <w:right w:w="29" w:type="dxa"/>
            </w:tcMar>
            <w:vAlign w:val="bottom"/>
          </w:tcPr>
          <w:p w14:paraId="4D3E7AC9" w14:textId="77777777" w:rsidR="006B4E19" w:rsidRPr="006B4E19" w:rsidRDefault="006B4E19" w:rsidP="00A016B5">
            <w:pPr>
              <w:pStyle w:val="Normal2"/>
              <w:spacing w:line="360" w:lineRule="auto"/>
              <w:contextualSpacing/>
              <w:rPr>
                <w:b w:val="0"/>
                <w:sz w:val="20"/>
              </w:rPr>
            </w:pPr>
            <w:r w:rsidRPr="006B4E19">
              <w:rPr>
                <w:b w:val="0"/>
                <w:sz w:val="20"/>
              </w:rPr>
              <w:t>Female sex</w:t>
            </w:r>
          </w:p>
        </w:tc>
        <w:tc>
          <w:tcPr>
            <w:tcW w:w="1330" w:type="dxa"/>
            <w:shd w:val="clear" w:color="auto" w:fill="auto"/>
            <w:tcMar>
              <w:left w:w="29" w:type="dxa"/>
              <w:right w:w="29" w:type="dxa"/>
            </w:tcMar>
            <w:vAlign w:val="bottom"/>
          </w:tcPr>
          <w:p w14:paraId="70F940D1" w14:textId="77777777" w:rsidR="006B4E19" w:rsidRPr="006B4E19" w:rsidRDefault="006B4E19" w:rsidP="00D80CA8">
            <w:pPr>
              <w:pStyle w:val="Normal2"/>
              <w:spacing w:line="360" w:lineRule="auto"/>
              <w:contextualSpacing/>
              <w:cnfStyle w:val="000000000000" w:firstRow="0" w:lastRow="0" w:firstColumn="0" w:lastColumn="0" w:oddVBand="0" w:evenVBand="0" w:oddHBand="0" w:evenHBand="0" w:firstRowFirstColumn="0" w:firstRowLastColumn="0" w:lastRowFirstColumn="0" w:lastRowLastColumn="0"/>
              <w:rPr>
                <w:sz w:val="20"/>
              </w:rPr>
            </w:pPr>
            <w:r w:rsidRPr="006B4E19">
              <w:rPr>
                <w:sz w:val="20"/>
              </w:rPr>
              <w:t>101 964 (59)</w:t>
            </w:r>
          </w:p>
        </w:tc>
        <w:tc>
          <w:tcPr>
            <w:tcW w:w="1299" w:type="dxa"/>
            <w:shd w:val="clear" w:color="auto" w:fill="auto"/>
            <w:tcMar>
              <w:left w:w="29" w:type="dxa"/>
              <w:right w:w="29" w:type="dxa"/>
            </w:tcMar>
            <w:vAlign w:val="bottom"/>
          </w:tcPr>
          <w:p w14:paraId="25387CED" w14:textId="77777777" w:rsidR="006B4E19" w:rsidRPr="006B4E19" w:rsidRDefault="006B4E19" w:rsidP="003B1B37">
            <w:pPr>
              <w:pStyle w:val="Normal2"/>
              <w:spacing w:line="360" w:lineRule="auto"/>
              <w:contextualSpacing/>
              <w:cnfStyle w:val="000000000000" w:firstRow="0" w:lastRow="0" w:firstColumn="0" w:lastColumn="0" w:oddVBand="0" w:evenVBand="0" w:oddHBand="0" w:evenHBand="0" w:firstRowFirstColumn="0" w:firstRowLastColumn="0" w:lastRowFirstColumn="0" w:lastRowLastColumn="0"/>
              <w:rPr>
                <w:sz w:val="20"/>
              </w:rPr>
            </w:pPr>
            <w:r w:rsidRPr="006B4E19">
              <w:rPr>
                <w:sz w:val="20"/>
              </w:rPr>
              <w:t>101 638 (</w:t>
            </w:r>
            <w:r w:rsidR="003B1B37">
              <w:rPr>
                <w:sz w:val="20"/>
              </w:rPr>
              <w:t>59</w:t>
            </w:r>
            <w:r w:rsidRPr="006B4E19">
              <w:rPr>
                <w:sz w:val="20"/>
              </w:rPr>
              <w:t>)</w:t>
            </w:r>
          </w:p>
        </w:tc>
        <w:tc>
          <w:tcPr>
            <w:tcW w:w="1001" w:type="dxa"/>
            <w:shd w:val="clear" w:color="auto" w:fill="auto"/>
            <w:tcMar>
              <w:left w:w="29" w:type="dxa"/>
              <w:right w:w="29" w:type="dxa"/>
            </w:tcMar>
            <w:vAlign w:val="bottom"/>
          </w:tcPr>
          <w:p w14:paraId="031D5243" w14:textId="77777777" w:rsidR="006B4E19" w:rsidRPr="006B4E19" w:rsidRDefault="00CC450C" w:rsidP="00A016B5">
            <w:pPr>
              <w:pStyle w:val="Normal2"/>
              <w:spacing w:line="360" w:lineRule="auto"/>
              <w:contextualSpacing/>
              <w:cnfStyle w:val="000000000000" w:firstRow="0" w:lastRow="0" w:firstColumn="0" w:lastColumn="0" w:oddVBand="0" w:evenVBand="0" w:oddHBand="0" w:evenHBand="0" w:firstRowFirstColumn="0" w:firstRowLastColumn="0" w:lastRowFirstColumn="0" w:lastRowLastColumn="0"/>
              <w:rPr>
                <w:sz w:val="20"/>
              </w:rPr>
            </w:pPr>
            <w:r>
              <w:rPr>
                <w:sz w:val="20"/>
              </w:rPr>
              <w:t>278</w:t>
            </w:r>
            <w:r w:rsidR="006B4E19" w:rsidRPr="006B4E19">
              <w:rPr>
                <w:sz w:val="20"/>
              </w:rPr>
              <w:t xml:space="preserve"> (57)</w:t>
            </w:r>
          </w:p>
        </w:tc>
        <w:tc>
          <w:tcPr>
            <w:tcW w:w="1151" w:type="dxa"/>
            <w:shd w:val="clear" w:color="auto" w:fill="auto"/>
            <w:tcMar>
              <w:left w:w="29" w:type="dxa"/>
              <w:right w:w="29" w:type="dxa"/>
            </w:tcMar>
            <w:vAlign w:val="bottom"/>
          </w:tcPr>
          <w:p w14:paraId="16E996BB" w14:textId="77777777" w:rsidR="006B4E19" w:rsidRPr="006B4E19" w:rsidRDefault="006B4E19" w:rsidP="00F80619">
            <w:pPr>
              <w:pStyle w:val="Normal2"/>
              <w:spacing w:line="360" w:lineRule="auto"/>
              <w:contextualSpacing/>
              <w:cnfStyle w:val="000000000000" w:firstRow="0" w:lastRow="0" w:firstColumn="0" w:lastColumn="0" w:oddVBand="0" w:evenVBand="0" w:oddHBand="0" w:evenHBand="0" w:firstRowFirstColumn="0" w:firstRowLastColumn="0" w:lastRowFirstColumn="0" w:lastRowLastColumn="0"/>
              <w:rPr>
                <w:sz w:val="20"/>
              </w:rPr>
            </w:pPr>
            <w:r w:rsidRPr="006B4E19">
              <w:rPr>
                <w:sz w:val="20"/>
              </w:rPr>
              <w:t>0 (1)</w:t>
            </w:r>
          </w:p>
        </w:tc>
        <w:tc>
          <w:tcPr>
            <w:tcW w:w="1228" w:type="dxa"/>
            <w:shd w:val="clear" w:color="auto" w:fill="auto"/>
            <w:tcMar>
              <w:left w:w="29" w:type="dxa"/>
              <w:right w:w="29" w:type="dxa"/>
            </w:tcMar>
            <w:vAlign w:val="bottom"/>
          </w:tcPr>
          <w:p w14:paraId="1A4834DE" w14:textId="77777777" w:rsidR="006B4E19" w:rsidRPr="006B4E19" w:rsidRDefault="006B4E19" w:rsidP="00D80CA8">
            <w:pPr>
              <w:pStyle w:val="Normal2"/>
              <w:spacing w:line="360" w:lineRule="auto"/>
              <w:contextualSpacing/>
              <w:cnfStyle w:val="000000000000" w:firstRow="0" w:lastRow="0" w:firstColumn="0" w:lastColumn="0" w:oddVBand="0" w:evenVBand="0" w:oddHBand="0" w:evenHBand="0" w:firstRowFirstColumn="0" w:firstRowLastColumn="0" w:lastRowFirstColumn="0" w:lastRowLastColumn="0"/>
              <w:rPr>
                <w:sz w:val="20"/>
              </w:rPr>
            </w:pPr>
            <w:r w:rsidRPr="006B4E19">
              <w:rPr>
                <w:sz w:val="20"/>
              </w:rPr>
              <w:t>44 132 (60)</w:t>
            </w:r>
          </w:p>
        </w:tc>
        <w:tc>
          <w:tcPr>
            <w:tcW w:w="1070" w:type="dxa"/>
            <w:shd w:val="clear" w:color="auto" w:fill="auto"/>
            <w:tcMar>
              <w:left w:w="29" w:type="dxa"/>
              <w:right w:w="29" w:type="dxa"/>
            </w:tcMar>
            <w:vAlign w:val="bottom"/>
          </w:tcPr>
          <w:p w14:paraId="5F20E437" w14:textId="77777777" w:rsidR="006B4E19" w:rsidRPr="006B4E19" w:rsidRDefault="00CC450C" w:rsidP="00A016B5">
            <w:pPr>
              <w:pStyle w:val="Normal2"/>
              <w:spacing w:line="360" w:lineRule="auto"/>
              <w:contextualSpacing/>
              <w:cnfStyle w:val="000000000000" w:firstRow="0" w:lastRow="0" w:firstColumn="0" w:lastColumn="0" w:oddVBand="0" w:evenVBand="0" w:oddHBand="0" w:evenHBand="0" w:firstRowFirstColumn="0" w:firstRowLastColumn="0" w:lastRowFirstColumn="0" w:lastRowLastColumn="0"/>
              <w:rPr>
                <w:sz w:val="20"/>
              </w:rPr>
            </w:pPr>
            <w:r>
              <w:rPr>
                <w:sz w:val="20"/>
              </w:rPr>
              <w:t>145</w:t>
            </w:r>
            <w:r w:rsidR="006B4E19" w:rsidRPr="006B4E19">
              <w:rPr>
                <w:sz w:val="20"/>
              </w:rPr>
              <w:t xml:space="preserve"> (53)</w:t>
            </w:r>
          </w:p>
        </w:tc>
        <w:tc>
          <w:tcPr>
            <w:tcW w:w="1191" w:type="dxa"/>
            <w:shd w:val="clear" w:color="auto" w:fill="auto"/>
            <w:tcMar>
              <w:left w:w="29" w:type="dxa"/>
              <w:right w:w="29" w:type="dxa"/>
            </w:tcMar>
            <w:vAlign w:val="bottom"/>
          </w:tcPr>
          <w:p w14:paraId="0BDFFB55" w14:textId="77777777" w:rsidR="006B4E19" w:rsidRPr="006B4E19" w:rsidRDefault="006B4E19" w:rsidP="00A016B5">
            <w:pPr>
              <w:pStyle w:val="Normal2"/>
              <w:spacing w:line="360" w:lineRule="auto"/>
              <w:contextualSpacing/>
              <w:cnfStyle w:val="000000000000" w:firstRow="0" w:lastRow="0" w:firstColumn="0" w:lastColumn="0" w:oddVBand="0" w:evenVBand="0" w:oddHBand="0" w:evenHBand="0" w:firstRowFirstColumn="0" w:firstRowLastColumn="0" w:lastRowFirstColumn="0" w:lastRowLastColumn="0"/>
              <w:rPr>
                <w:sz w:val="20"/>
              </w:rPr>
            </w:pPr>
            <w:r w:rsidRPr="006B4E19">
              <w:rPr>
                <w:sz w:val="20"/>
              </w:rPr>
              <w:t>0 (1)</w:t>
            </w:r>
          </w:p>
        </w:tc>
      </w:tr>
      <w:tr w:rsidR="006B4E19" w:rsidRPr="006B4E19" w14:paraId="1D885251" w14:textId="77777777" w:rsidTr="00C417E6">
        <w:trPr>
          <w:cnfStyle w:val="000000100000" w:firstRow="0" w:lastRow="0" w:firstColumn="0" w:lastColumn="0" w:oddVBand="0" w:evenVBand="0" w:oddHBand="1" w:evenHBand="0" w:firstRowFirstColumn="0" w:firstRowLastColumn="0" w:lastRowFirstColumn="0" w:lastRowLastColumn="0"/>
          <w:trHeight w:val="92"/>
        </w:trPr>
        <w:tc>
          <w:tcPr>
            <w:cnfStyle w:val="001000000000" w:firstRow="0" w:lastRow="0" w:firstColumn="1" w:lastColumn="0" w:oddVBand="0" w:evenVBand="0" w:oddHBand="0" w:evenHBand="0" w:firstRowFirstColumn="0" w:firstRowLastColumn="0" w:lastRowFirstColumn="0" w:lastRowLastColumn="0"/>
            <w:tcW w:w="1389" w:type="dxa"/>
            <w:shd w:val="clear" w:color="auto" w:fill="auto"/>
            <w:tcMar>
              <w:left w:w="29" w:type="dxa"/>
              <w:right w:w="29" w:type="dxa"/>
            </w:tcMar>
            <w:vAlign w:val="bottom"/>
          </w:tcPr>
          <w:p w14:paraId="305C5E20" w14:textId="77777777" w:rsidR="006B4E19" w:rsidRPr="006B4E19" w:rsidRDefault="006B4E19" w:rsidP="00A016B5">
            <w:pPr>
              <w:pStyle w:val="Normal2"/>
              <w:spacing w:line="360" w:lineRule="auto"/>
              <w:contextualSpacing/>
              <w:rPr>
                <w:b w:val="0"/>
                <w:sz w:val="20"/>
              </w:rPr>
            </w:pPr>
            <w:r w:rsidRPr="006B4E19">
              <w:rPr>
                <w:b w:val="0"/>
                <w:sz w:val="20"/>
              </w:rPr>
              <w:t>Age</w:t>
            </w:r>
            <w:r w:rsidRPr="006B4E19">
              <w:rPr>
                <w:b w:val="0"/>
                <w:sz w:val="20"/>
                <w:vertAlign w:val="superscript"/>
              </w:rPr>
              <w:t>b</w:t>
            </w:r>
          </w:p>
        </w:tc>
        <w:tc>
          <w:tcPr>
            <w:tcW w:w="1330" w:type="dxa"/>
            <w:shd w:val="clear" w:color="auto" w:fill="auto"/>
            <w:tcMar>
              <w:left w:w="29" w:type="dxa"/>
              <w:right w:w="29" w:type="dxa"/>
            </w:tcMar>
            <w:vAlign w:val="bottom"/>
          </w:tcPr>
          <w:p w14:paraId="6293C0AC" w14:textId="77777777" w:rsidR="006B4E19" w:rsidRPr="006B4E19" w:rsidRDefault="006B4E19" w:rsidP="00A016B5">
            <w:pPr>
              <w:pStyle w:val="Normal2"/>
              <w:spacing w:line="360" w:lineRule="auto"/>
              <w:contextualSpacing/>
              <w:cnfStyle w:val="000000100000" w:firstRow="0" w:lastRow="0" w:firstColumn="0" w:lastColumn="0" w:oddVBand="0" w:evenVBand="0" w:oddHBand="1" w:evenHBand="0" w:firstRowFirstColumn="0" w:firstRowLastColumn="0" w:lastRowFirstColumn="0" w:lastRowLastColumn="0"/>
              <w:rPr>
                <w:sz w:val="20"/>
              </w:rPr>
            </w:pPr>
          </w:p>
        </w:tc>
        <w:tc>
          <w:tcPr>
            <w:tcW w:w="1299" w:type="dxa"/>
            <w:shd w:val="clear" w:color="auto" w:fill="auto"/>
            <w:tcMar>
              <w:left w:w="29" w:type="dxa"/>
              <w:right w:w="29" w:type="dxa"/>
            </w:tcMar>
            <w:vAlign w:val="bottom"/>
          </w:tcPr>
          <w:p w14:paraId="59537886" w14:textId="77777777" w:rsidR="006B4E19" w:rsidRPr="006B4E19" w:rsidRDefault="006B4E19" w:rsidP="00A016B5">
            <w:pPr>
              <w:pStyle w:val="Normal2"/>
              <w:spacing w:line="360" w:lineRule="auto"/>
              <w:contextualSpacing/>
              <w:cnfStyle w:val="000000100000" w:firstRow="0" w:lastRow="0" w:firstColumn="0" w:lastColumn="0" w:oddVBand="0" w:evenVBand="0" w:oddHBand="1" w:evenHBand="0" w:firstRowFirstColumn="0" w:firstRowLastColumn="0" w:lastRowFirstColumn="0" w:lastRowLastColumn="0"/>
              <w:rPr>
                <w:sz w:val="20"/>
              </w:rPr>
            </w:pPr>
          </w:p>
        </w:tc>
        <w:tc>
          <w:tcPr>
            <w:tcW w:w="1001" w:type="dxa"/>
            <w:shd w:val="clear" w:color="auto" w:fill="auto"/>
            <w:tcMar>
              <w:left w:w="29" w:type="dxa"/>
              <w:right w:w="29" w:type="dxa"/>
            </w:tcMar>
            <w:vAlign w:val="bottom"/>
          </w:tcPr>
          <w:p w14:paraId="7243980D" w14:textId="77777777" w:rsidR="006B4E19" w:rsidRPr="006B4E19" w:rsidRDefault="006B4E19" w:rsidP="00A016B5">
            <w:pPr>
              <w:pStyle w:val="Normal2"/>
              <w:spacing w:line="360" w:lineRule="auto"/>
              <w:contextualSpacing/>
              <w:cnfStyle w:val="000000100000" w:firstRow="0" w:lastRow="0" w:firstColumn="0" w:lastColumn="0" w:oddVBand="0" w:evenVBand="0" w:oddHBand="1" w:evenHBand="0" w:firstRowFirstColumn="0" w:firstRowLastColumn="0" w:lastRowFirstColumn="0" w:lastRowLastColumn="0"/>
              <w:rPr>
                <w:sz w:val="20"/>
              </w:rPr>
            </w:pPr>
          </w:p>
        </w:tc>
        <w:tc>
          <w:tcPr>
            <w:tcW w:w="1151" w:type="dxa"/>
            <w:shd w:val="clear" w:color="auto" w:fill="auto"/>
            <w:tcMar>
              <w:left w:w="29" w:type="dxa"/>
              <w:right w:w="29" w:type="dxa"/>
            </w:tcMar>
            <w:vAlign w:val="bottom"/>
          </w:tcPr>
          <w:p w14:paraId="262D0FBA" w14:textId="77777777" w:rsidR="006B4E19" w:rsidRPr="006B4E19" w:rsidRDefault="006B4E19" w:rsidP="00A016B5">
            <w:pPr>
              <w:pStyle w:val="Normal2"/>
              <w:spacing w:line="360" w:lineRule="auto"/>
              <w:contextualSpacing/>
              <w:cnfStyle w:val="000000100000" w:firstRow="0" w:lastRow="0" w:firstColumn="0" w:lastColumn="0" w:oddVBand="0" w:evenVBand="0" w:oddHBand="1" w:evenHBand="0" w:firstRowFirstColumn="0" w:firstRowLastColumn="0" w:lastRowFirstColumn="0" w:lastRowLastColumn="0"/>
              <w:rPr>
                <w:sz w:val="20"/>
              </w:rPr>
            </w:pPr>
          </w:p>
        </w:tc>
        <w:tc>
          <w:tcPr>
            <w:tcW w:w="1228" w:type="dxa"/>
            <w:shd w:val="clear" w:color="auto" w:fill="auto"/>
            <w:tcMar>
              <w:left w:w="29" w:type="dxa"/>
              <w:right w:w="29" w:type="dxa"/>
            </w:tcMar>
            <w:vAlign w:val="bottom"/>
          </w:tcPr>
          <w:p w14:paraId="29C126B7" w14:textId="77777777" w:rsidR="006B4E19" w:rsidRPr="006B4E19" w:rsidRDefault="006B4E19" w:rsidP="00A016B5">
            <w:pPr>
              <w:pStyle w:val="Normal2"/>
              <w:spacing w:line="360" w:lineRule="auto"/>
              <w:contextualSpacing/>
              <w:cnfStyle w:val="000000100000" w:firstRow="0" w:lastRow="0" w:firstColumn="0" w:lastColumn="0" w:oddVBand="0" w:evenVBand="0" w:oddHBand="1" w:evenHBand="0" w:firstRowFirstColumn="0" w:firstRowLastColumn="0" w:lastRowFirstColumn="0" w:lastRowLastColumn="0"/>
              <w:rPr>
                <w:sz w:val="20"/>
              </w:rPr>
            </w:pPr>
          </w:p>
        </w:tc>
        <w:tc>
          <w:tcPr>
            <w:tcW w:w="1070" w:type="dxa"/>
            <w:shd w:val="clear" w:color="auto" w:fill="auto"/>
            <w:tcMar>
              <w:left w:w="29" w:type="dxa"/>
              <w:right w:w="29" w:type="dxa"/>
            </w:tcMar>
            <w:vAlign w:val="bottom"/>
          </w:tcPr>
          <w:p w14:paraId="71F713A4" w14:textId="77777777" w:rsidR="006B4E19" w:rsidRPr="006B4E19" w:rsidRDefault="006B4E19" w:rsidP="00A016B5">
            <w:pPr>
              <w:pStyle w:val="Normal2"/>
              <w:spacing w:line="360" w:lineRule="auto"/>
              <w:contextualSpacing/>
              <w:cnfStyle w:val="000000100000" w:firstRow="0" w:lastRow="0" w:firstColumn="0" w:lastColumn="0" w:oddVBand="0" w:evenVBand="0" w:oddHBand="1" w:evenHBand="0" w:firstRowFirstColumn="0" w:firstRowLastColumn="0" w:lastRowFirstColumn="0" w:lastRowLastColumn="0"/>
              <w:rPr>
                <w:sz w:val="20"/>
              </w:rPr>
            </w:pPr>
          </w:p>
        </w:tc>
        <w:tc>
          <w:tcPr>
            <w:tcW w:w="1191" w:type="dxa"/>
            <w:shd w:val="clear" w:color="auto" w:fill="auto"/>
            <w:tcMar>
              <w:left w:w="29" w:type="dxa"/>
              <w:right w:w="29" w:type="dxa"/>
            </w:tcMar>
            <w:vAlign w:val="bottom"/>
          </w:tcPr>
          <w:p w14:paraId="2EB980A0" w14:textId="77777777" w:rsidR="006B4E19" w:rsidRPr="006B4E19" w:rsidRDefault="006B4E19" w:rsidP="00A016B5">
            <w:pPr>
              <w:pStyle w:val="Normal2"/>
              <w:spacing w:line="360" w:lineRule="auto"/>
              <w:contextualSpacing/>
              <w:cnfStyle w:val="000000100000" w:firstRow="0" w:lastRow="0" w:firstColumn="0" w:lastColumn="0" w:oddVBand="0" w:evenVBand="0" w:oddHBand="1" w:evenHBand="0" w:firstRowFirstColumn="0" w:firstRowLastColumn="0" w:lastRowFirstColumn="0" w:lastRowLastColumn="0"/>
              <w:rPr>
                <w:sz w:val="20"/>
              </w:rPr>
            </w:pPr>
          </w:p>
        </w:tc>
      </w:tr>
      <w:tr w:rsidR="006B4E19" w:rsidRPr="006B4E19" w14:paraId="11244132" w14:textId="77777777" w:rsidTr="00C417E6">
        <w:trPr>
          <w:trHeight w:val="92"/>
        </w:trPr>
        <w:tc>
          <w:tcPr>
            <w:cnfStyle w:val="001000000000" w:firstRow="0" w:lastRow="0" w:firstColumn="1" w:lastColumn="0" w:oddVBand="0" w:evenVBand="0" w:oddHBand="0" w:evenHBand="0" w:firstRowFirstColumn="0" w:firstRowLastColumn="0" w:lastRowFirstColumn="0" w:lastRowLastColumn="0"/>
            <w:tcW w:w="1389" w:type="dxa"/>
            <w:shd w:val="clear" w:color="auto" w:fill="auto"/>
            <w:tcMar>
              <w:left w:w="29" w:type="dxa"/>
              <w:right w:w="29" w:type="dxa"/>
            </w:tcMar>
            <w:vAlign w:val="bottom"/>
          </w:tcPr>
          <w:p w14:paraId="11CABF40" w14:textId="77777777" w:rsidR="006B4E19" w:rsidRPr="006B4E19" w:rsidRDefault="006B4E19" w:rsidP="00A016B5">
            <w:pPr>
              <w:pStyle w:val="Normal2"/>
              <w:spacing w:line="360" w:lineRule="auto"/>
              <w:contextualSpacing/>
              <w:rPr>
                <w:b w:val="0"/>
                <w:sz w:val="20"/>
              </w:rPr>
            </w:pPr>
            <w:r w:rsidRPr="006B4E19">
              <w:rPr>
                <w:b w:val="0"/>
                <w:sz w:val="20"/>
              </w:rPr>
              <w:t xml:space="preserve">  18-29</w:t>
            </w:r>
          </w:p>
        </w:tc>
        <w:tc>
          <w:tcPr>
            <w:tcW w:w="1330" w:type="dxa"/>
            <w:shd w:val="clear" w:color="auto" w:fill="auto"/>
            <w:tcMar>
              <w:left w:w="29" w:type="dxa"/>
              <w:right w:w="29" w:type="dxa"/>
            </w:tcMar>
            <w:vAlign w:val="bottom"/>
          </w:tcPr>
          <w:p w14:paraId="2A17BB37" w14:textId="77777777" w:rsidR="006B4E19" w:rsidRPr="006B4E19" w:rsidRDefault="006B4E19" w:rsidP="00D80CA8">
            <w:pPr>
              <w:pStyle w:val="Normal2"/>
              <w:spacing w:line="360" w:lineRule="auto"/>
              <w:contextualSpacing/>
              <w:cnfStyle w:val="000000000000" w:firstRow="0" w:lastRow="0" w:firstColumn="0" w:lastColumn="0" w:oddVBand="0" w:evenVBand="0" w:oddHBand="0" w:evenHBand="0" w:firstRowFirstColumn="0" w:firstRowLastColumn="0" w:lastRowFirstColumn="0" w:lastRowLastColumn="0"/>
              <w:rPr>
                <w:sz w:val="20"/>
              </w:rPr>
            </w:pPr>
            <w:r w:rsidRPr="006B4E19">
              <w:rPr>
                <w:sz w:val="20"/>
              </w:rPr>
              <w:t>22 344 (13)</w:t>
            </w:r>
          </w:p>
        </w:tc>
        <w:tc>
          <w:tcPr>
            <w:tcW w:w="1299" w:type="dxa"/>
            <w:shd w:val="clear" w:color="auto" w:fill="auto"/>
            <w:tcMar>
              <w:left w:w="29" w:type="dxa"/>
              <w:right w:w="29" w:type="dxa"/>
            </w:tcMar>
            <w:vAlign w:val="bottom"/>
          </w:tcPr>
          <w:p w14:paraId="6B75F2F6" w14:textId="77777777" w:rsidR="006B4E19" w:rsidRPr="006B4E19" w:rsidRDefault="006B4E19" w:rsidP="007E446D">
            <w:pPr>
              <w:pStyle w:val="Normal2"/>
              <w:spacing w:line="360" w:lineRule="auto"/>
              <w:contextualSpacing/>
              <w:cnfStyle w:val="000000000000" w:firstRow="0" w:lastRow="0" w:firstColumn="0" w:lastColumn="0" w:oddVBand="0" w:evenVBand="0" w:oddHBand="0" w:evenHBand="0" w:firstRowFirstColumn="0" w:firstRowLastColumn="0" w:lastRowFirstColumn="0" w:lastRowLastColumn="0"/>
              <w:rPr>
                <w:sz w:val="20"/>
              </w:rPr>
            </w:pPr>
            <w:r w:rsidRPr="006B4E19">
              <w:rPr>
                <w:sz w:val="20"/>
              </w:rPr>
              <w:t>22 266 (13)</w:t>
            </w:r>
          </w:p>
        </w:tc>
        <w:tc>
          <w:tcPr>
            <w:tcW w:w="1001" w:type="dxa"/>
            <w:shd w:val="clear" w:color="auto" w:fill="auto"/>
            <w:tcMar>
              <w:left w:w="29" w:type="dxa"/>
              <w:right w:w="29" w:type="dxa"/>
            </w:tcMar>
            <w:vAlign w:val="bottom"/>
          </w:tcPr>
          <w:p w14:paraId="26F6BA3C" w14:textId="77777777" w:rsidR="006B4E19" w:rsidRPr="006B4E19" w:rsidRDefault="009A0A46" w:rsidP="009A0A46">
            <w:pPr>
              <w:pStyle w:val="Normal2"/>
              <w:spacing w:line="360" w:lineRule="auto"/>
              <w:contextualSpacing/>
              <w:cnfStyle w:val="000000000000" w:firstRow="0" w:lastRow="0" w:firstColumn="0" w:lastColumn="0" w:oddVBand="0" w:evenVBand="0" w:oddHBand="0" w:evenHBand="0" w:firstRowFirstColumn="0" w:firstRowLastColumn="0" w:lastRowFirstColumn="0" w:lastRowLastColumn="0"/>
              <w:rPr>
                <w:sz w:val="20"/>
              </w:rPr>
            </w:pPr>
            <w:r>
              <w:rPr>
                <w:sz w:val="20"/>
              </w:rPr>
              <w:t>69</w:t>
            </w:r>
            <w:r w:rsidR="006B4E19" w:rsidRPr="006B4E19">
              <w:rPr>
                <w:sz w:val="20"/>
              </w:rPr>
              <w:t xml:space="preserve"> (</w:t>
            </w:r>
            <w:r>
              <w:rPr>
                <w:sz w:val="20"/>
              </w:rPr>
              <w:t>14</w:t>
            </w:r>
            <w:r w:rsidR="006B4E19" w:rsidRPr="006B4E19">
              <w:rPr>
                <w:sz w:val="20"/>
              </w:rPr>
              <w:t>)</w:t>
            </w:r>
          </w:p>
        </w:tc>
        <w:tc>
          <w:tcPr>
            <w:tcW w:w="1151" w:type="dxa"/>
            <w:vMerge w:val="restart"/>
            <w:shd w:val="clear" w:color="auto" w:fill="auto"/>
            <w:tcMar>
              <w:left w:w="29" w:type="dxa"/>
              <w:right w:w="29" w:type="dxa"/>
            </w:tcMar>
            <w:vAlign w:val="center"/>
          </w:tcPr>
          <w:p w14:paraId="625354CE" w14:textId="77777777" w:rsidR="006B4E19" w:rsidRPr="006B4E19" w:rsidRDefault="00C417E6" w:rsidP="00C417E6">
            <w:pPr>
              <w:pStyle w:val="Normal2"/>
              <w:spacing w:line="360" w:lineRule="auto"/>
              <w:contextualSpacing/>
              <w:cnfStyle w:val="000000000000" w:firstRow="0" w:lastRow="0" w:firstColumn="0" w:lastColumn="0" w:oddVBand="0" w:evenVBand="0" w:oddHBand="0" w:evenHBand="0" w:firstRowFirstColumn="0" w:firstRowLastColumn="0" w:lastRowFirstColumn="0" w:lastRowLastColumn="0"/>
              <w:rPr>
                <w:sz w:val="20"/>
              </w:rPr>
            </w:pPr>
            <w:r>
              <w:rPr>
                <w:sz w:val="20"/>
              </w:rPr>
              <w:t>0.016</w:t>
            </w:r>
            <w:r w:rsidR="006B4E19" w:rsidRPr="006B4E19">
              <w:rPr>
                <w:sz w:val="20"/>
              </w:rPr>
              <w:t xml:space="preserve"> (0.</w:t>
            </w:r>
            <w:r>
              <w:rPr>
                <w:sz w:val="20"/>
              </w:rPr>
              <w:t>86</w:t>
            </w:r>
            <w:r w:rsidR="006B4E19" w:rsidRPr="006B4E19">
              <w:rPr>
                <w:sz w:val="20"/>
              </w:rPr>
              <w:t>)</w:t>
            </w:r>
          </w:p>
        </w:tc>
        <w:tc>
          <w:tcPr>
            <w:tcW w:w="1228" w:type="dxa"/>
            <w:shd w:val="clear" w:color="auto" w:fill="auto"/>
            <w:tcMar>
              <w:left w:w="29" w:type="dxa"/>
              <w:right w:w="29" w:type="dxa"/>
            </w:tcMar>
            <w:vAlign w:val="bottom"/>
          </w:tcPr>
          <w:p w14:paraId="31E947D7" w14:textId="77777777" w:rsidR="006B4E19" w:rsidRPr="006B4E19" w:rsidRDefault="006B4E19" w:rsidP="007E446D">
            <w:pPr>
              <w:pStyle w:val="Normal2"/>
              <w:spacing w:line="360" w:lineRule="auto"/>
              <w:contextualSpacing/>
              <w:cnfStyle w:val="000000000000" w:firstRow="0" w:lastRow="0" w:firstColumn="0" w:lastColumn="0" w:oddVBand="0" w:evenVBand="0" w:oddHBand="0" w:evenHBand="0" w:firstRowFirstColumn="0" w:firstRowLastColumn="0" w:lastRowFirstColumn="0" w:lastRowLastColumn="0"/>
              <w:rPr>
                <w:sz w:val="20"/>
              </w:rPr>
            </w:pPr>
            <w:r w:rsidRPr="006B4E19">
              <w:rPr>
                <w:sz w:val="20"/>
              </w:rPr>
              <w:t>9 552 (13)</w:t>
            </w:r>
          </w:p>
        </w:tc>
        <w:tc>
          <w:tcPr>
            <w:tcW w:w="1070" w:type="dxa"/>
            <w:shd w:val="clear" w:color="auto" w:fill="auto"/>
            <w:tcMar>
              <w:left w:w="29" w:type="dxa"/>
              <w:right w:w="29" w:type="dxa"/>
            </w:tcMar>
            <w:vAlign w:val="bottom"/>
          </w:tcPr>
          <w:p w14:paraId="5D75D740" w14:textId="77777777" w:rsidR="006B4E19" w:rsidRPr="006B4E19" w:rsidRDefault="009A0A46" w:rsidP="009A0A46">
            <w:pPr>
              <w:pStyle w:val="Normal2"/>
              <w:spacing w:line="360" w:lineRule="auto"/>
              <w:contextualSpacing/>
              <w:cnfStyle w:val="000000000000" w:firstRow="0" w:lastRow="0" w:firstColumn="0" w:lastColumn="0" w:oddVBand="0" w:evenVBand="0" w:oddHBand="0" w:evenHBand="0" w:firstRowFirstColumn="0" w:firstRowLastColumn="0" w:lastRowFirstColumn="0" w:lastRowLastColumn="0"/>
              <w:rPr>
                <w:sz w:val="20"/>
              </w:rPr>
            </w:pPr>
            <w:r>
              <w:rPr>
                <w:sz w:val="20"/>
              </w:rPr>
              <w:t>22</w:t>
            </w:r>
            <w:r w:rsidR="006B4E19" w:rsidRPr="006B4E19">
              <w:rPr>
                <w:sz w:val="20"/>
              </w:rPr>
              <w:t xml:space="preserve"> (</w:t>
            </w:r>
            <w:r>
              <w:rPr>
                <w:sz w:val="20"/>
              </w:rPr>
              <w:t>8</w:t>
            </w:r>
            <w:r w:rsidR="006B4E19" w:rsidRPr="006B4E19">
              <w:rPr>
                <w:sz w:val="20"/>
              </w:rPr>
              <w:t>)</w:t>
            </w:r>
          </w:p>
        </w:tc>
        <w:tc>
          <w:tcPr>
            <w:tcW w:w="1191" w:type="dxa"/>
            <w:vMerge w:val="restart"/>
            <w:shd w:val="clear" w:color="auto" w:fill="auto"/>
            <w:tcMar>
              <w:left w:w="29" w:type="dxa"/>
              <w:right w:w="29" w:type="dxa"/>
            </w:tcMar>
            <w:vAlign w:val="center"/>
          </w:tcPr>
          <w:p w14:paraId="0CCF8B6B" w14:textId="77777777" w:rsidR="006B4E19" w:rsidRPr="006B4E19" w:rsidRDefault="00C417E6" w:rsidP="00C417E6">
            <w:pPr>
              <w:pStyle w:val="Normal2"/>
              <w:spacing w:line="360" w:lineRule="auto"/>
              <w:contextualSpacing/>
              <w:cnfStyle w:val="000000000000" w:firstRow="0" w:lastRow="0" w:firstColumn="0" w:lastColumn="0" w:oddVBand="0" w:evenVBand="0" w:oddHBand="0" w:evenHBand="0" w:firstRowFirstColumn="0" w:firstRowLastColumn="0" w:lastRowFirstColumn="0" w:lastRowLastColumn="0"/>
              <w:rPr>
                <w:sz w:val="20"/>
              </w:rPr>
            </w:pPr>
            <w:r>
              <w:rPr>
                <w:sz w:val="20"/>
              </w:rPr>
              <w:t>0.018</w:t>
            </w:r>
            <w:r w:rsidR="006B4E19" w:rsidRPr="006B4E19">
              <w:rPr>
                <w:sz w:val="20"/>
              </w:rPr>
              <w:t xml:space="preserve"> (0.</w:t>
            </w:r>
            <w:r>
              <w:rPr>
                <w:sz w:val="20"/>
              </w:rPr>
              <w:t>79</w:t>
            </w:r>
            <w:r w:rsidR="006B4E19" w:rsidRPr="006B4E19">
              <w:rPr>
                <w:sz w:val="20"/>
              </w:rPr>
              <w:t>)</w:t>
            </w:r>
          </w:p>
        </w:tc>
      </w:tr>
      <w:tr w:rsidR="006B4E19" w:rsidRPr="006B4E19" w14:paraId="5D977437" w14:textId="77777777" w:rsidTr="00C417E6">
        <w:trPr>
          <w:cnfStyle w:val="000000100000" w:firstRow="0" w:lastRow="0" w:firstColumn="0" w:lastColumn="0" w:oddVBand="0" w:evenVBand="0" w:oddHBand="1" w:evenHBand="0" w:firstRowFirstColumn="0" w:firstRowLastColumn="0" w:lastRowFirstColumn="0" w:lastRowLastColumn="0"/>
          <w:trHeight w:val="92"/>
        </w:trPr>
        <w:tc>
          <w:tcPr>
            <w:cnfStyle w:val="001000000000" w:firstRow="0" w:lastRow="0" w:firstColumn="1" w:lastColumn="0" w:oddVBand="0" w:evenVBand="0" w:oddHBand="0" w:evenHBand="0" w:firstRowFirstColumn="0" w:firstRowLastColumn="0" w:lastRowFirstColumn="0" w:lastRowLastColumn="0"/>
            <w:tcW w:w="1389" w:type="dxa"/>
            <w:shd w:val="clear" w:color="auto" w:fill="auto"/>
            <w:tcMar>
              <w:left w:w="29" w:type="dxa"/>
              <w:right w:w="29" w:type="dxa"/>
            </w:tcMar>
            <w:vAlign w:val="bottom"/>
          </w:tcPr>
          <w:p w14:paraId="36E5CCEB" w14:textId="77777777" w:rsidR="006B4E19" w:rsidRPr="006B4E19" w:rsidRDefault="006B4E19" w:rsidP="00A016B5">
            <w:pPr>
              <w:pStyle w:val="Normal2"/>
              <w:spacing w:line="360" w:lineRule="auto"/>
              <w:contextualSpacing/>
              <w:rPr>
                <w:b w:val="0"/>
                <w:sz w:val="20"/>
              </w:rPr>
            </w:pPr>
            <w:r w:rsidRPr="006B4E19">
              <w:rPr>
                <w:b w:val="0"/>
                <w:sz w:val="20"/>
              </w:rPr>
              <w:t xml:space="preserve">  30-44</w:t>
            </w:r>
          </w:p>
        </w:tc>
        <w:tc>
          <w:tcPr>
            <w:tcW w:w="1330" w:type="dxa"/>
            <w:shd w:val="clear" w:color="auto" w:fill="auto"/>
            <w:tcMar>
              <w:left w:w="29" w:type="dxa"/>
              <w:right w:w="29" w:type="dxa"/>
            </w:tcMar>
            <w:vAlign w:val="bottom"/>
          </w:tcPr>
          <w:p w14:paraId="28F31E3A" w14:textId="77777777" w:rsidR="006B4E19" w:rsidRPr="006B4E19" w:rsidRDefault="006B4E19" w:rsidP="00D80CA8">
            <w:pPr>
              <w:pStyle w:val="Normal2"/>
              <w:spacing w:line="360" w:lineRule="auto"/>
              <w:contextualSpacing/>
              <w:cnfStyle w:val="000000100000" w:firstRow="0" w:lastRow="0" w:firstColumn="0" w:lastColumn="0" w:oddVBand="0" w:evenVBand="0" w:oddHBand="1" w:evenHBand="0" w:firstRowFirstColumn="0" w:firstRowLastColumn="0" w:lastRowFirstColumn="0" w:lastRowLastColumn="0"/>
              <w:rPr>
                <w:sz w:val="20"/>
              </w:rPr>
            </w:pPr>
            <w:r w:rsidRPr="006B4E19">
              <w:rPr>
                <w:sz w:val="20"/>
              </w:rPr>
              <w:t>39 003 (23)</w:t>
            </w:r>
          </w:p>
        </w:tc>
        <w:tc>
          <w:tcPr>
            <w:tcW w:w="1299" w:type="dxa"/>
            <w:shd w:val="clear" w:color="auto" w:fill="auto"/>
            <w:tcMar>
              <w:left w:w="29" w:type="dxa"/>
              <w:right w:w="29" w:type="dxa"/>
            </w:tcMar>
            <w:vAlign w:val="bottom"/>
          </w:tcPr>
          <w:p w14:paraId="11DB5C28" w14:textId="77777777" w:rsidR="006B4E19" w:rsidRPr="006B4E19" w:rsidRDefault="006B4E19" w:rsidP="007E446D">
            <w:pPr>
              <w:pStyle w:val="Normal2"/>
              <w:spacing w:line="360" w:lineRule="auto"/>
              <w:contextualSpacing/>
              <w:cnfStyle w:val="000000100000" w:firstRow="0" w:lastRow="0" w:firstColumn="0" w:lastColumn="0" w:oddVBand="0" w:evenVBand="0" w:oddHBand="1" w:evenHBand="0" w:firstRowFirstColumn="0" w:firstRowLastColumn="0" w:lastRowFirstColumn="0" w:lastRowLastColumn="0"/>
              <w:rPr>
                <w:sz w:val="20"/>
              </w:rPr>
            </w:pPr>
            <w:r w:rsidRPr="006B4E19">
              <w:rPr>
                <w:sz w:val="20"/>
              </w:rPr>
              <w:t>38 898 (23)</w:t>
            </w:r>
          </w:p>
        </w:tc>
        <w:tc>
          <w:tcPr>
            <w:tcW w:w="1001" w:type="dxa"/>
            <w:shd w:val="clear" w:color="auto" w:fill="auto"/>
            <w:tcMar>
              <w:left w:w="29" w:type="dxa"/>
              <w:right w:w="29" w:type="dxa"/>
            </w:tcMar>
            <w:vAlign w:val="bottom"/>
          </w:tcPr>
          <w:p w14:paraId="276B3024" w14:textId="77777777" w:rsidR="006B4E19" w:rsidRPr="006B4E19" w:rsidRDefault="009A0A46" w:rsidP="009A0A46">
            <w:pPr>
              <w:pStyle w:val="Normal2"/>
              <w:spacing w:line="360" w:lineRule="auto"/>
              <w:contextualSpacing/>
              <w:cnfStyle w:val="000000100000" w:firstRow="0" w:lastRow="0" w:firstColumn="0" w:lastColumn="0" w:oddVBand="0" w:evenVBand="0" w:oddHBand="1" w:evenHBand="0" w:firstRowFirstColumn="0" w:firstRowLastColumn="0" w:lastRowFirstColumn="0" w:lastRowLastColumn="0"/>
              <w:rPr>
                <w:sz w:val="20"/>
              </w:rPr>
            </w:pPr>
            <w:r>
              <w:rPr>
                <w:sz w:val="20"/>
              </w:rPr>
              <w:t>86</w:t>
            </w:r>
            <w:r w:rsidR="006B4E19" w:rsidRPr="006B4E19">
              <w:rPr>
                <w:sz w:val="20"/>
              </w:rPr>
              <w:t xml:space="preserve"> (</w:t>
            </w:r>
            <w:r>
              <w:rPr>
                <w:sz w:val="20"/>
              </w:rPr>
              <w:t>18</w:t>
            </w:r>
            <w:r w:rsidR="006B4E19" w:rsidRPr="006B4E19">
              <w:rPr>
                <w:sz w:val="20"/>
              </w:rPr>
              <w:t>)</w:t>
            </w:r>
          </w:p>
        </w:tc>
        <w:tc>
          <w:tcPr>
            <w:tcW w:w="1151" w:type="dxa"/>
            <w:vMerge/>
            <w:shd w:val="clear" w:color="auto" w:fill="auto"/>
            <w:tcMar>
              <w:left w:w="29" w:type="dxa"/>
              <w:right w:w="29" w:type="dxa"/>
            </w:tcMar>
            <w:vAlign w:val="bottom"/>
          </w:tcPr>
          <w:p w14:paraId="5622A51A" w14:textId="77777777" w:rsidR="006B4E19" w:rsidRPr="006B4E19" w:rsidRDefault="006B4E19" w:rsidP="00A016B5">
            <w:pPr>
              <w:pStyle w:val="Normal2"/>
              <w:spacing w:line="360" w:lineRule="auto"/>
              <w:contextualSpacing/>
              <w:cnfStyle w:val="000000100000" w:firstRow="0" w:lastRow="0" w:firstColumn="0" w:lastColumn="0" w:oddVBand="0" w:evenVBand="0" w:oddHBand="1" w:evenHBand="0" w:firstRowFirstColumn="0" w:firstRowLastColumn="0" w:lastRowFirstColumn="0" w:lastRowLastColumn="0"/>
              <w:rPr>
                <w:sz w:val="20"/>
              </w:rPr>
            </w:pPr>
          </w:p>
        </w:tc>
        <w:tc>
          <w:tcPr>
            <w:tcW w:w="1228" w:type="dxa"/>
            <w:shd w:val="clear" w:color="auto" w:fill="auto"/>
            <w:tcMar>
              <w:left w:w="29" w:type="dxa"/>
              <w:right w:w="29" w:type="dxa"/>
            </w:tcMar>
            <w:vAlign w:val="bottom"/>
          </w:tcPr>
          <w:p w14:paraId="0A24AFFD" w14:textId="77777777" w:rsidR="006B4E19" w:rsidRPr="006B4E19" w:rsidRDefault="006B4E19" w:rsidP="007E446D">
            <w:pPr>
              <w:pStyle w:val="Normal2"/>
              <w:spacing w:line="360" w:lineRule="auto"/>
              <w:contextualSpacing/>
              <w:cnfStyle w:val="000000100000" w:firstRow="0" w:lastRow="0" w:firstColumn="0" w:lastColumn="0" w:oddVBand="0" w:evenVBand="0" w:oddHBand="1" w:evenHBand="0" w:firstRowFirstColumn="0" w:firstRowLastColumn="0" w:lastRowFirstColumn="0" w:lastRowLastColumn="0"/>
              <w:rPr>
                <w:sz w:val="20"/>
              </w:rPr>
            </w:pPr>
            <w:r w:rsidRPr="006B4E19">
              <w:rPr>
                <w:sz w:val="20"/>
              </w:rPr>
              <w:t>16 451 (22)</w:t>
            </w:r>
          </w:p>
        </w:tc>
        <w:tc>
          <w:tcPr>
            <w:tcW w:w="1070" w:type="dxa"/>
            <w:shd w:val="clear" w:color="auto" w:fill="auto"/>
            <w:tcMar>
              <w:left w:w="29" w:type="dxa"/>
              <w:right w:w="29" w:type="dxa"/>
            </w:tcMar>
            <w:vAlign w:val="bottom"/>
          </w:tcPr>
          <w:p w14:paraId="3C8032B6" w14:textId="77777777" w:rsidR="006B4E19" w:rsidRPr="006B4E19" w:rsidRDefault="009A0A46" w:rsidP="009A0A46">
            <w:pPr>
              <w:pStyle w:val="Normal2"/>
              <w:spacing w:line="360" w:lineRule="auto"/>
              <w:contextualSpacing/>
              <w:cnfStyle w:val="000000100000" w:firstRow="0" w:lastRow="0" w:firstColumn="0" w:lastColumn="0" w:oddVBand="0" w:evenVBand="0" w:oddHBand="1" w:evenHBand="0" w:firstRowFirstColumn="0" w:firstRowLastColumn="0" w:lastRowFirstColumn="0" w:lastRowLastColumn="0"/>
              <w:rPr>
                <w:sz w:val="20"/>
              </w:rPr>
            </w:pPr>
            <w:r>
              <w:rPr>
                <w:sz w:val="20"/>
              </w:rPr>
              <w:t>26</w:t>
            </w:r>
            <w:r w:rsidR="006B4E19" w:rsidRPr="006B4E19">
              <w:rPr>
                <w:sz w:val="20"/>
              </w:rPr>
              <w:t xml:space="preserve"> (</w:t>
            </w:r>
            <w:r>
              <w:rPr>
                <w:sz w:val="20"/>
              </w:rPr>
              <w:t>9</w:t>
            </w:r>
            <w:r w:rsidR="006B4E19" w:rsidRPr="006B4E19">
              <w:rPr>
                <w:sz w:val="20"/>
              </w:rPr>
              <w:t>)</w:t>
            </w:r>
          </w:p>
        </w:tc>
        <w:tc>
          <w:tcPr>
            <w:tcW w:w="1191" w:type="dxa"/>
            <w:vMerge/>
            <w:shd w:val="clear" w:color="auto" w:fill="auto"/>
            <w:tcMar>
              <w:left w:w="29" w:type="dxa"/>
              <w:right w:w="29" w:type="dxa"/>
            </w:tcMar>
            <w:vAlign w:val="bottom"/>
          </w:tcPr>
          <w:p w14:paraId="1D2633A1" w14:textId="77777777" w:rsidR="006B4E19" w:rsidRPr="006B4E19" w:rsidRDefault="006B4E19" w:rsidP="00A016B5">
            <w:pPr>
              <w:pStyle w:val="Normal2"/>
              <w:spacing w:line="360" w:lineRule="auto"/>
              <w:contextualSpacing/>
              <w:cnfStyle w:val="000000100000" w:firstRow="0" w:lastRow="0" w:firstColumn="0" w:lastColumn="0" w:oddVBand="0" w:evenVBand="0" w:oddHBand="1" w:evenHBand="0" w:firstRowFirstColumn="0" w:firstRowLastColumn="0" w:lastRowFirstColumn="0" w:lastRowLastColumn="0"/>
              <w:rPr>
                <w:sz w:val="20"/>
              </w:rPr>
            </w:pPr>
          </w:p>
        </w:tc>
      </w:tr>
      <w:tr w:rsidR="006B4E19" w:rsidRPr="006B4E19" w14:paraId="60164EB2" w14:textId="77777777" w:rsidTr="00C417E6">
        <w:trPr>
          <w:trHeight w:val="92"/>
        </w:trPr>
        <w:tc>
          <w:tcPr>
            <w:cnfStyle w:val="001000000000" w:firstRow="0" w:lastRow="0" w:firstColumn="1" w:lastColumn="0" w:oddVBand="0" w:evenVBand="0" w:oddHBand="0" w:evenHBand="0" w:firstRowFirstColumn="0" w:firstRowLastColumn="0" w:lastRowFirstColumn="0" w:lastRowLastColumn="0"/>
            <w:tcW w:w="1389" w:type="dxa"/>
            <w:shd w:val="clear" w:color="auto" w:fill="auto"/>
            <w:tcMar>
              <w:left w:w="29" w:type="dxa"/>
              <w:right w:w="29" w:type="dxa"/>
            </w:tcMar>
            <w:vAlign w:val="bottom"/>
          </w:tcPr>
          <w:p w14:paraId="16523BD3" w14:textId="77777777" w:rsidR="006B4E19" w:rsidRPr="006B4E19" w:rsidRDefault="006B4E19" w:rsidP="00A016B5">
            <w:pPr>
              <w:pStyle w:val="Normal2"/>
              <w:spacing w:line="360" w:lineRule="auto"/>
              <w:contextualSpacing/>
              <w:rPr>
                <w:b w:val="0"/>
                <w:sz w:val="20"/>
              </w:rPr>
            </w:pPr>
            <w:r w:rsidRPr="006B4E19">
              <w:rPr>
                <w:b w:val="0"/>
                <w:sz w:val="20"/>
              </w:rPr>
              <w:t xml:space="preserve">  45-59</w:t>
            </w:r>
          </w:p>
        </w:tc>
        <w:tc>
          <w:tcPr>
            <w:tcW w:w="1330" w:type="dxa"/>
            <w:shd w:val="clear" w:color="auto" w:fill="auto"/>
            <w:tcMar>
              <w:left w:w="29" w:type="dxa"/>
              <w:right w:w="29" w:type="dxa"/>
            </w:tcMar>
            <w:vAlign w:val="bottom"/>
          </w:tcPr>
          <w:p w14:paraId="6BCDB8F5" w14:textId="77777777" w:rsidR="006B4E19" w:rsidRPr="006B4E19" w:rsidRDefault="006B4E19" w:rsidP="00D80CA8">
            <w:pPr>
              <w:pStyle w:val="Normal2"/>
              <w:spacing w:line="360" w:lineRule="auto"/>
              <w:contextualSpacing/>
              <w:cnfStyle w:val="000000000000" w:firstRow="0" w:lastRow="0" w:firstColumn="0" w:lastColumn="0" w:oddVBand="0" w:evenVBand="0" w:oddHBand="0" w:evenHBand="0" w:firstRowFirstColumn="0" w:firstRowLastColumn="0" w:lastRowFirstColumn="0" w:lastRowLastColumn="0"/>
              <w:rPr>
                <w:sz w:val="20"/>
              </w:rPr>
            </w:pPr>
            <w:r w:rsidRPr="006B4E19">
              <w:rPr>
                <w:sz w:val="20"/>
              </w:rPr>
              <w:t>37 234 (22)</w:t>
            </w:r>
          </w:p>
        </w:tc>
        <w:tc>
          <w:tcPr>
            <w:tcW w:w="1299" w:type="dxa"/>
            <w:shd w:val="clear" w:color="auto" w:fill="auto"/>
            <w:tcMar>
              <w:left w:w="29" w:type="dxa"/>
              <w:right w:w="29" w:type="dxa"/>
            </w:tcMar>
            <w:vAlign w:val="bottom"/>
          </w:tcPr>
          <w:p w14:paraId="4E3D8EC2" w14:textId="77777777" w:rsidR="006B4E19" w:rsidRPr="006B4E19" w:rsidRDefault="006B4E19" w:rsidP="007E446D">
            <w:pPr>
              <w:pStyle w:val="Normal2"/>
              <w:spacing w:line="360" w:lineRule="auto"/>
              <w:contextualSpacing/>
              <w:cnfStyle w:val="000000000000" w:firstRow="0" w:lastRow="0" w:firstColumn="0" w:lastColumn="0" w:oddVBand="0" w:evenVBand="0" w:oddHBand="0" w:evenHBand="0" w:firstRowFirstColumn="0" w:firstRowLastColumn="0" w:lastRowFirstColumn="0" w:lastRowLastColumn="0"/>
              <w:rPr>
                <w:sz w:val="20"/>
              </w:rPr>
            </w:pPr>
            <w:r w:rsidRPr="006B4E19">
              <w:rPr>
                <w:sz w:val="20"/>
              </w:rPr>
              <w:t>37 129 (22)</w:t>
            </w:r>
          </w:p>
        </w:tc>
        <w:tc>
          <w:tcPr>
            <w:tcW w:w="1001" w:type="dxa"/>
            <w:shd w:val="clear" w:color="auto" w:fill="auto"/>
            <w:tcMar>
              <w:left w:w="29" w:type="dxa"/>
              <w:right w:w="29" w:type="dxa"/>
            </w:tcMar>
            <w:vAlign w:val="bottom"/>
          </w:tcPr>
          <w:p w14:paraId="2A9A76C7" w14:textId="77777777" w:rsidR="006B4E19" w:rsidRPr="006B4E19" w:rsidRDefault="009A0A46" w:rsidP="007E446D">
            <w:pPr>
              <w:pStyle w:val="Normal2"/>
              <w:spacing w:line="360" w:lineRule="auto"/>
              <w:contextualSpacing/>
              <w:cnfStyle w:val="000000000000" w:firstRow="0" w:lastRow="0" w:firstColumn="0" w:lastColumn="0" w:oddVBand="0" w:evenVBand="0" w:oddHBand="0" w:evenHBand="0" w:firstRowFirstColumn="0" w:firstRowLastColumn="0" w:lastRowFirstColumn="0" w:lastRowLastColumn="0"/>
              <w:rPr>
                <w:sz w:val="20"/>
              </w:rPr>
            </w:pPr>
            <w:r>
              <w:rPr>
                <w:sz w:val="20"/>
              </w:rPr>
              <w:t>90</w:t>
            </w:r>
            <w:r w:rsidR="006B4E19" w:rsidRPr="006B4E19">
              <w:rPr>
                <w:sz w:val="20"/>
              </w:rPr>
              <w:t xml:space="preserve"> (18)</w:t>
            </w:r>
          </w:p>
        </w:tc>
        <w:tc>
          <w:tcPr>
            <w:tcW w:w="1151" w:type="dxa"/>
            <w:vMerge/>
            <w:shd w:val="clear" w:color="auto" w:fill="auto"/>
            <w:tcMar>
              <w:left w:w="29" w:type="dxa"/>
              <w:right w:w="29" w:type="dxa"/>
            </w:tcMar>
            <w:vAlign w:val="bottom"/>
          </w:tcPr>
          <w:p w14:paraId="02CB8305" w14:textId="77777777" w:rsidR="006B4E19" w:rsidRPr="006B4E19" w:rsidRDefault="006B4E19" w:rsidP="00A016B5">
            <w:pPr>
              <w:pStyle w:val="Normal2"/>
              <w:spacing w:line="360" w:lineRule="auto"/>
              <w:contextualSpacing/>
              <w:cnfStyle w:val="000000000000" w:firstRow="0" w:lastRow="0" w:firstColumn="0" w:lastColumn="0" w:oddVBand="0" w:evenVBand="0" w:oddHBand="0" w:evenHBand="0" w:firstRowFirstColumn="0" w:firstRowLastColumn="0" w:lastRowFirstColumn="0" w:lastRowLastColumn="0"/>
              <w:rPr>
                <w:sz w:val="20"/>
              </w:rPr>
            </w:pPr>
          </w:p>
        </w:tc>
        <w:tc>
          <w:tcPr>
            <w:tcW w:w="1228" w:type="dxa"/>
            <w:shd w:val="clear" w:color="auto" w:fill="auto"/>
            <w:tcMar>
              <w:left w:w="29" w:type="dxa"/>
              <w:right w:w="29" w:type="dxa"/>
            </w:tcMar>
            <w:vAlign w:val="bottom"/>
          </w:tcPr>
          <w:p w14:paraId="546DF84F" w14:textId="77777777" w:rsidR="006B4E19" w:rsidRPr="006B4E19" w:rsidRDefault="006B4E19" w:rsidP="007E446D">
            <w:pPr>
              <w:pStyle w:val="Normal2"/>
              <w:spacing w:line="360" w:lineRule="auto"/>
              <w:contextualSpacing/>
              <w:cnfStyle w:val="000000000000" w:firstRow="0" w:lastRow="0" w:firstColumn="0" w:lastColumn="0" w:oddVBand="0" w:evenVBand="0" w:oddHBand="0" w:evenHBand="0" w:firstRowFirstColumn="0" w:firstRowLastColumn="0" w:lastRowFirstColumn="0" w:lastRowLastColumn="0"/>
              <w:rPr>
                <w:sz w:val="20"/>
              </w:rPr>
            </w:pPr>
            <w:r w:rsidRPr="006B4E19">
              <w:rPr>
                <w:sz w:val="20"/>
              </w:rPr>
              <w:t>15 956 (22)</w:t>
            </w:r>
          </w:p>
        </w:tc>
        <w:tc>
          <w:tcPr>
            <w:tcW w:w="1070" w:type="dxa"/>
            <w:shd w:val="clear" w:color="auto" w:fill="auto"/>
            <w:tcMar>
              <w:left w:w="29" w:type="dxa"/>
              <w:right w:w="29" w:type="dxa"/>
            </w:tcMar>
            <w:vAlign w:val="bottom"/>
          </w:tcPr>
          <w:p w14:paraId="19DBCFF6" w14:textId="77777777" w:rsidR="006B4E19" w:rsidRPr="006B4E19" w:rsidRDefault="009A0A46" w:rsidP="007E446D">
            <w:pPr>
              <w:pStyle w:val="Normal2"/>
              <w:spacing w:line="360" w:lineRule="auto"/>
              <w:contextualSpacing/>
              <w:cnfStyle w:val="000000000000" w:firstRow="0" w:lastRow="0" w:firstColumn="0" w:lastColumn="0" w:oddVBand="0" w:evenVBand="0" w:oddHBand="0" w:evenHBand="0" w:firstRowFirstColumn="0" w:firstRowLastColumn="0" w:lastRowFirstColumn="0" w:lastRowLastColumn="0"/>
              <w:rPr>
                <w:sz w:val="20"/>
              </w:rPr>
            </w:pPr>
            <w:r>
              <w:rPr>
                <w:sz w:val="20"/>
              </w:rPr>
              <w:t>58</w:t>
            </w:r>
            <w:r w:rsidR="006B4E19" w:rsidRPr="006B4E19">
              <w:rPr>
                <w:sz w:val="20"/>
              </w:rPr>
              <w:t xml:space="preserve"> (21)</w:t>
            </w:r>
          </w:p>
        </w:tc>
        <w:tc>
          <w:tcPr>
            <w:tcW w:w="1191" w:type="dxa"/>
            <w:vMerge/>
            <w:shd w:val="clear" w:color="auto" w:fill="auto"/>
            <w:tcMar>
              <w:left w:w="29" w:type="dxa"/>
              <w:right w:w="29" w:type="dxa"/>
            </w:tcMar>
            <w:vAlign w:val="bottom"/>
          </w:tcPr>
          <w:p w14:paraId="20C5D202" w14:textId="77777777" w:rsidR="006B4E19" w:rsidRPr="006B4E19" w:rsidRDefault="006B4E19" w:rsidP="00A016B5">
            <w:pPr>
              <w:pStyle w:val="Normal2"/>
              <w:spacing w:line="360" w:lineRule="auto"/>
              <w:contextualSpacing/>
              <w:cnfStyle w:val="000000000000" w:firstRow="0" w:lastRow="0" w:firstColumn="0" w:lastColumn="0" w:oddVBand="0" w:evenVBand="0" w:oddHBand="0" w:evenHBand="0" w:firstRowFirstColumn="0" w:firstRowLastColumn="0" w:lastRowFirstColumn="0" w:lastRowLastColumn="0"/>
              <w:rPr>
                <w:sz w:val="20"/>
              </w:rPr>
            </w:pPr>
          </w:p>
        </w:tc>
      </w:tr>
      <w:tr w:rsidR="006B4E19" w:rsidRPr="006B4E19" w14:paraId="2E704254" w14:textId="77777777" w:rsidTr="00C417E6">
        <w:trPr>
          <w:cnfStyle w:val="000000100000" w:firstRow="0" w:lastRow="0" w:firstColumn="0" w:lastColumn="0" w:oddVBand="0" w:evenVBand="0" w:oddHBand="1" w:evenHBand="0" w:firstRowFirstColumn="0" w:firstRowLastColumn="0" w:lastRowFirstColumn="0" w:lastRowLastColumn="0"/>
          <w:trHeight w:val="92"/>
        </w:trPr>
        <w:tc>
          <w:tcPr>
            <w:cnfStyle w:val="001000000000" w:firstRow="0" w:lastRow="0" w:firstColumn="1" w:lastColumn="0" w:oddVBand="0" w:evenVBand="0" w:oddHBand="0" w:evenHBand="0" w:firstRowFirstColumn="0" w:firstRowLastColumn="0" w:lastRowFirstColumn="0" w:lastRowLastColumn="0"/>
            <w:tcW w:w="1389" w:type="dxa"/>
            <w:shd w:val="clear" w:color="auto" w:fill="auto"/>
            <w:tcMar>
              <w:left w:w="29" w:type="dxa"/>
              <w:right w:w="29" w:type="dxa"/>
            </w:tcMar>
            <w:vAlign w:val="bottom"/>
          </w:tcPr>
          <w:p w14:paraId="52D5F6CD" w14:textId="77777777" w:rsidR="006B4E19" w:rsidRPr="006B4E19" w:rsidRDefault="006B4E19" w:rsidP="00A016B5">
            <w:pPr>
              <w:pStyle w:val="Normal2"/>
              <w:spacing w:line="360" w:lineRule="auto"/>
              <w:contextualSpacing/>
              <w:rPr>
                <w:b w:val="0"/>
                <w:sz w:val="20"/>
              </w:rPr>
            </w:pPr>
            <w:r w:rsidRPr="006B4E19">
              <w:rPr>
                <w:b w:val="0"/>
                <w:sz w:val="20"/>
              </w:rPr>
              <w:t xml:space="preserve">  60-74</w:t>
            </w:r>
          </w:p>
        </w:tc>
        <w:tc>
          <w:tcPr>
            <w:tcW w:w="1330" w:type="dxa"/>
            <w:shd w:val="clear" w:color="auto" w:fill="auto"/>
            <w:tcMar>
              <w:left w:w="29" w:type="dxa"/>
              <w:right w:w="29" w:type="dxa"/>
            </w:tcMar>
            <w:vAlign w:val="bottom"/>
          </w:tcPr>
          <w:p w14:paraId="756A0524" w14:textId="77777777" w:rsidR="006B4E19" w:rsidRPr="006B4E19" w:rsidRDefault="006B4E19" w:rsidP="00D80CA8">
            <w:pPr>
              <w:pStyle w:val="Normal2"/>
              <w:spacing w:line="360" w:lineRule="auto"/>
              <w:contextualSpacing/>
              <w:cnfStyle w:val="000000100000" w:firstRow="0" w:lastRow="0" w:firstColumn="0" w:lastColumn="0" w:oddVBand="0" w:evenVBand="0" w:oddHBand="1" w:evenHBand="0" w:firstRowFirstColumn="0" w:firstRowLastColumn="0" w:lastRowFirstColumn="0" w:lastRowLastColumn="0"/>
              <w:rPr>
                <w:sz w:val="20"/>
              </w:rPr>
            </w:pPr>
            <w:r w:rsidRPr="006B4E19">
              <w:rPr>
                <w:sz w:val="20"/>
              </w:rPr>
              <w:t>43 946 (26)</w:t>
            </w:r>
          </w:p>
        </w:tc>
        <w:tc>
          <w:tcPr>
            <w:tcW w:w="1299" w:type="dxa"/>
            <w:shd w:val="clear" w:color="auto" w:fill="auto"/>
            <w:tcMar>
              <w:left w:w="29" w:type="dxa"/>
              <w:right w:w="29" w:type="dxa"/>
            </w:tcMar>
            <w:vAlign w:val="bottom"/>
          </w:tcPr>
          <w:p w14:paraId="7F541AC7" w14:textId="77777777" w:rsidR="006B4E19" w:rsidRPr="006B4E19" w:rsidRDefault="006B4E19" w:rsidP="007E446D">
            <w:pPr>
              <w:pStyle w:val="Normal2"/>
              <w:spacing w:line="360" w:lineRule="auto"/>
              <w:contextualSpacing/>
              <w:cnfStyle w:val="000000100000" w:firstRow="0" w:lastRow="0" w:firstColumn="0" w:lastColumn="0" w:oddVBand="0" w:evenVBand="0" w:oddHBand="1" w:evenHBand="0" w:firstRowFirstColumn="0" w:firstRowLastColumn="0" w:lastRowFirstColumn="0" w:lastRowLastColumn="0"/>
              <w:rPr>
                <w:sz w:val="20"/>
              </w:rPr>
            </w:pPr>
            <w:r w:rsidRPr="006B4E19">
              <w:rPr>
                <w:sz w:val="20"/>
              </w:rPr>
              <w:t>43 802 (26)</w:t>
            </w:r>
          </w:p>
        </w:tc>
        <w:tc>
          <w:tcPr>
            <w:tcW w:w="1001" w:type="dxa"/>
            <w:shd w:val="clear" w:color="auto" w:fill="auto"/>
            <w:tcMar>
              <w:left w:w="29" w:type="dxa"/>
              <w:right w:w="29" w:type="dxa"/>
            </w:tcMar>
            <w:vAlign w:val="bottom"/>
          </w:tcPr>
          <w:p w14:paraId="5894494A" w14:textId="77777777" w:rsidR="006B4E19" w:rsidRPr="006B4E19" w:rsidRDefault="009A0A46" w:rsidP="007E446D">
            <w:pPr>
              <w:pStyle w:val="Normal2"/>
              <w:spacing w:line="360" w:lineRule="auto"/>
              <w:contextualSpacing/>
              <w:cnfStyle w:val="000000100000" w:firstRow="0" w:lastRow="0" w:firstColumn="0" w:lastColumn="0" w:oddVBand="0" w:evenVBand="0" w:oddHBand="1" w:evenHBand="0" w:firstRowFirstColumn="0" w:firstRowLastColumn="0" w:lastRowFirstColumn="0" w:lastRowLastColumn="0"/>
              <w:rPr>
                <w:sz w:val="20"/>
              </w:rPr>
            </w:pPr>
            <w:r>
              <w:rPr>
                <w:sz w:val="20"/>
              </w:rPr>
              <w:t>122</w:t>
            </w:r>
            <w:r w:rsidR="006B4E19" w:rsidRPr="006B4E19">
              <w:rPr>
                <w:sz w:val="20"/>
              </w:rPr>
              <w:t xml:space="preserve"> (25)</w:t>
            </w:r>
          </w:p>
        </w:tc>
        <w:tc>
          <w:tcPr>
            <w:tcW w:w="1151" w:type="dxa"/>
            <w:vMerge/>
            <w:shd w:val="clear" w:color="auto" w:fill="auto"/>
            <w:tcMar>
              <w:left w:w="29" w:type="dxa"/>
              <w:right w:w="29" w:type="dxa"/>
            </w:tcMar>
            <w:vAlign w:val="bottom"/>
          </w:tcPr>
          <w:p w14:paraId="4BCC859B" w14:textId="77777777" w:rsidR="006B4E19" w:rsidRPr="006B4E19" w:rsidRDefault="006B4E19" w:rsidP="00A016B5">
            <w:pPr>
              <w:pStyle w:val="Normal2"/>
              <w:spacing w:line="360" w:lineRule="auto"/>
              <w:contextualSpacing/>
              <w:cnfStyle w:val="000000100000" w:firstRow="0" w:lastRow="0" w:firstColumn="0" w:lastColumn="0" w:oddVBand="0" w:evenVBand="0" w:oddHBand="1" w:evenHBand="0" w:firstRowFirstColumn="0" w:firstRowLastColumn="0" w:lastRowFirstColumn="0" w:lastRowLastColumn="0"/>
              <w:rPr>
                <w:sz w:val="20"/>
              </w:rPr>
            </w:pPr>
          </w:p>
        </w:tc>
        <w:tc>
          <w:tcPr>
            <w:tcW w:w="1228" w:type="dxa"/>
            <w:shd w:val="clear" w:color="auto" w:fill="auto"/>
            <w:tcMar>
              <w:left w:w="29" w:type="dxa"/>
              <w:right w:w="29" w:type="dxa"/>
            </w:tcMar>
            <w:vAlign w:val="bottom"/>
          </w:tcPr>
          <w:p w14:paraId="002E7077" w14:textId="77777777" w:rsidR="006B4E19" w:rsidRPr="006B4E19" w:rsidRDefault="006B4E19" w:rsidP="007E446D">
            <w:pPr>
              <w:pStyle w:val="Normal2"/>
              <w:spacing w:line="360" w:lineRule="auto"/>
              <w:contextualSpacing/>
              <w:cnfStyle w:val="000000100000" w:firstRow="0" w:lastRow="0" w:firstColumn="0" w:lastColumn="0" w:oddVBand="0" w:evenVBand="0" w:oddHBand="1" w:evenHBand="0" w:firstRowFirstColumn="0" w:firstRowLastColumn="0" w:lastRowFirstColumn="0" w:lastRowLastColumn="0"/>
              <w:rPr>
                <w:sz w:val="20"/>
              </w:rPr>
            </w:pPr>
            <w:r w:rsidRPr="006B4E19">
              <w:rPr>
                <w:sz w:val="20"/>
              </w:rPr>
              <w:t>18 407 (25)</w:t>
            </w:r>
          </w:p>
        </w:tc>
        <w:tc>
          <w:tcPr>
            <w:tcW w:w="1070" w:type="dxa"/>
            <w:shd w:val="clear" w:color="auto" w:fill="auto"/>
            <w:tcMar>
              <w:left w:w="29" w:type="dxa"/>
              <w:right w:w="29" w:type="dxa"/>
            </w:tcMar>
            <w:vAlign w:val="bottom"/>
          </w:tcPr>
          <w:p w14:paraId="109D40F4" w14:textId="77777777" w:rsidR="006B4E19" w:rsidRPr="006B4E19" w:rsidRDefault="009A0A46" w:rsidP="007E446D">
            <w:pPr>
              <w:pStyle w:val="Normal2"/>
              <w:spacing w:line="360" w:lineRule="auto"/>
              <w:contextualSpacing/>
              <w:cnfStyle w:val="000000100000" w:firstRow="0" w:lastRow="0" w:firstColumn="0" w:lastColumn="0" w:oddVBand="0" w:evenVBand="0" w:oddHBand="1" w:evenHBand="0" w:firstRowFirstColumn="0" w:firstRowLastColumn="0" w:lastRowFirstColumn="0" w:lastRowLastColumn="0"/>
              <w:rPr>
                <w:sz w:val="20"/>
              </w:rPr>
            </w:pPr>
            <w:r>
              <w:rPr>
                <w:sz w:val="20"/>
              </w:rPr>
              <w:t>83</w:t>
            </w:r>
            <w:r w:rsidR="006B4E19" w:rsidRPr="006B4E19">
              <w:rPr>
                <w:sz w:val="20"/>
              </w:rPr>
              <w:t xml:space="preserve"> (30)</w:t>
            </w:r>
          </w:p>
        </w:tc>
        <w:tc>
          <w:tcPr>
            <w:tcW w:w="1191" w:type="dxa"/>
            <w:vMerge/>
            <w:shd w:val="clear" w:color="auto" w:fill="auto"/>
            <w:tcMar>
              <w:left w:w="29" w:type="dxa"/>
              <w:right w:w="29" w:type="dxa"/>
            </w:tcMar>
            <w:vAlign w:val="bottom"/>
          </w:tcPr>
          <w:p w14:paraId="7BD17B33" w14:textId="77777777" w:rsidR="006B4E19" w:rsidRPr="006B4E19" w:rsidRDefault="006B4E19" w:rsidP="00A016B5">
            <w:pPr>
              <w:pStyle w:val="Normal2"/>
              <w:spacing w:line="360" w:lineRule="auto"/>
              <w:contextualSpacing/>
              <w:cnfStyle w:val="000000100000" w:firstRow="0" w:lastRow="0" w:firstColumn="0" w:lastColumn="0" w:oddVBand="0" w:evenVBand="0" w:oddHBand="1" w:evenHBand="0" w:firstRowFirstColumn="0" w:firstRowLastColumn="0" w:lastRowFirstColumn="0" w:lastRowLastColumn="0"/>
              <w:rPr>
                <w:sz w:val="20"/>
              </w:rPr>
            </w:pPr>
          </w:p>
        </w:tc>
      </w:tr>
      <w:tr w:rsidR="006B4E19" w:rsidRPr="006B4E19" w14:paraId="76328738" w14:textId="77777777" w:rsidTr="00C417E6">
        <w:trPr>
          <w:trHeight w:val="92"/>
        </w:trPr>
        <w:tc>
          <w:tcPr>
            <w:cnfStyle w:val="001000000000" w:firstRow="0" w:lastRow="0" w:firstColumn="1" w:lastColumn="0" w:oddVBand="0" w:evenVBand="0" w:oddHBand="0" w:evenHBand="0" w:firstRowFirstColumn="0" w:firstRowLastColumn="0" w:lastRowFirstColumn="0" w:lastRowLastColumn="0"/>
            <w:tcW w:w="1389" w:type="dxa"/>
            <w:shd w:val="clear" w:color="auto" w:fill="auto"/>
            <w:tcMar>
              <w:left w:w="29" w:type="dxa"/>
              <w:right w:w="29" w:type="dxa"/>
            </w:tcMar>
            <w:vAlign w:val="bottom"/>
          </w:tcPr>
          <w:p w14:paraId="23AD64AA" w14:textId="77777777" w:rsidR="006B4E19" w:rsidRPr="006B4E19" w:rsidRDefault="006B4E19" w:rsidP="00A016B5">
            <w:pPr>
              <w:pStyle w:val="Normal2"/>
              <w:spacing w:line="360" w:lineRule="auto"/>
              <w:contextualSpacing/>
              <w:rPr>
                <w:b w:val="0"/>
                <w:sz w:val="20"/>
              </w:rPr>
            </w:pPr>
            <w:r w:rsidRPr="006B4E19">
              <w:rPr>
                <w:b w:val="0"/>
                <w:sz w:val="20"/>
              </w:rPr>
              <w:t xml:space="preserve">  75-90</w:t>
            </w:r>
          </w:p>
        </w:tc>
        <w:tc>
          <w:tcPr>
            <w:tcW w:w="1330" w:type="dxa"/>
            <w:shd w:val="clear" w:color="auto" w:fill="auto"/>
            <w:tcMar>
              <w:left w:w="29" w:type="dxa"/>
              <w:right w:w="29" w:type="dxa"/>
            </w:tcMar>
            <w:vAlign w:val="bottom"/>
          </w:tcPr>
          <w:p w14:paraId="4DFB808F" w14:textId="77777777" w:rsidR="006B4E19" w:rsidRPr="006B4E19" w:rsidRDefault="006B4E19" w:rsidP="00D80CA8">
            <w:pPr>
              <w:pStyle w:val="Normal2"/>
              <w:spacing w:line="360" w:lineRule="auto"/>
              <w:contextualSpacing/>
              <w:cnfStyle w:val="000000000000" w:firstRow="0" w:lastRow="0" w:firstColumn="0" w:lastColumn="0" w:oddVBand="0" w:evenVBand="0" w:oddHBand="0" w:evenHBand="0" w:firstRowFirstColumn="0" w:firstRowLastColumn="0" w:lastRowFirstColumn="0" w:lastRowLastColumn="0"/>
              <w:rPr>
                <w:sz w:val="20"/>
              </w:rPr>
            </w:pPr>
            <w:r w:rsidRPr="006B4E19">
              <w:rPr>
                <w:sz w:val="20"/>
              </w:rPr>
              <w:t>26 167 (15)</w:t>
            </w:r>
          </w:p>
        </w:tc>
        <w:tc>
          <w:tcPr>
            <w:tcW w:w="1299" w:type="dxa"/>
            <w:shd w:val="clear" w:color="auto" w:fill="auto"/>
            <w:tcMar>
              <w:left w:w="29" w:type="dxa"/>
              <w:right w:w="29" w:type="dxa"/>
            </w:tcMar>
            <w:vAlign w:val="bottom"/>
          </w:tcPr>
          <w:p w14:paraId="447FCDA2" w14:textId="77777777" w:rsidR="006B4E19" w:rsidRPr="006B4E19" w:rsidRDefault="006B4E19" w:rsidP="007E446D">
            <w:pPr>
              <w:pStyle w:val="Normal2"/>
              <w:spacing w:line="360" w:lineRule="auto"/>
              <w:contextualSpacing/>
              <w:cnfStyle w:val="000000000000" w:firstRow="0" w:lastRow="0" w:firstColumn="0" w:lastColumn="0" w:oddVBand="0" w:evenVBand="0" w:oddHBand="0" w:evenHBand="0" w:firstRowFirstColumn="0" w:firstRowLastColumn="0" w:lastRowFirstColumn="0" w:lastRowLastColumn="0"/>
              <w:rPr>
                <w:sz w:val="20"/>
              </w:rPr>
            </w:pPr>
            <w:r w:rsidRPr="006B4E19">
              <w:rPr>
                <w:sz w:val="20"/>
              </w:rPr>
              <w:t>26 041 (15)</w:t>
            </w:r>
          </w:p>
        </w:tc>
        <w:tc>
          <w:tcPr>
            <w:tcW w:w="1001" w:type="dxa"/>
            <w:shd w:val="clear" w:color="auto" w:fill="auto"/>
            <w:tcMar>
              <w:left w:w="29" w:type="dxa"/>
              <w:right w:w="29" w:type="dxa"/>
            </w:tcMar>
            <w:vAlign w:val="bottom"/>
          </w:tcPr>
          <w:p w14:paraId="760097F7" w14:textId="77777777" w:rsidR="006B4E19" w:rsidRPr="006B4E19" w:rsidRDefault="009A0A46" w:rsidP="00A016B5">
            <w:pPr>
              <w:pStyle w:val="Normal2"/>
              <w:spacing w:line="360" w:lineRule="auto"/>
              <w:contextualSpacing/>
              <w:cnfStyle w:val="000000000000" w:firstRow="0" w:lastRow="0" w:firstColumn="0" w:lastColumn="0" w:oddVBand="0" w:evenVBand="0" w:oddHBand="0" w:evenHBand="0" w:firstRowFirstColumn="0" w:firstRowLastColumn="0" w:lastRowFirstColumn="0" w:lastRowLastColumn="0"/>
              <w:rPr>
                <w:sz w:val="20"/>
              </w:rPr>
            </w:pPr>
            <w:r>
              <w:rPr>
                <w:sz w:val="20"/>
              </w:rPr>
              <w:t>106</w:t>
            </w:r>
            <w:r w:rsidR="006B4E19" w:rsidRPr="006B4E19">
              <w:rPr>
                <w:sz w:val="20"/>
              </w:rPr>
              <w:t xml:space="preserve"> (22)</w:t>
            </w:r>
          </w:p>
        </w:tc>
        <w:tc>
          <w:tcPr>
            <w:tcW w:w="1151" w:type="dxa"/>
            <w:vMerge/>
            <w:shd w:val="clear" w:color="auto" w:fill="auto"/>
            <w:tcMar>
              <w:left w:w="29" w:type="dxa"/>
              <w:right w:w="29" w:type="dxa"/>
            </w:tcMar>
            <w:vAlign w:val="bottom"/>
          </w:tcPr>
          <w:p w14:paraId="0FD2CFF3" w14:textId="77777777" w:rsidR="006B4E19" w:rsidRPr="006B4E19" w:rsidRDefault="006B4E19" w:rsidP="00A016B5">
            <w:pPr>
              <w:pStyle w:val="Normal2"/>
              <w:spacing w:line="360" w:lineRule="auto"/>
              <w:contextualSpacing/>
              <w:cnfStyle w:val="000000000000" w:firstRow="0" w:lastRow="0" w:firstColumn="0" w:lastColumn="0" w:oddVBand="0" w:evenVBand="0" w:oddHBand="0" w:evenHBand="0" w:firstRowFirstColumn="0" w:firstRowLastColumn="0" w:lastRowFirstColumn="0" w:lastRowLastColumn="0"/>
              <w:rPr>
                <w:sz w:val="20"/>
              </w:rPr>
            </w:pPr>
          </w:p>
        </w:tc>
        <w:tc>
          <w:tcPr>
            <w:tcW w:w="1228" w:type="dxa"/>
            <w:shd w:val="clear" w:color="auto" w:fill="auto"/>
            <w:tcMar>
              <w:left w:w="29" w:type="dxa"/>
              <w:right w:w="29" w:type="dxa"/>
            </w:tcMar>
            <w:vAlign w:val="bottom"/>
          </w:tcPr>
          <w:p w14:paraId="25806270" w14:textId="77777777" w:rsidR="006B4E19" w:rsidRPr="006B4E19" w:rsidRDefault="006B4E19" w:rsidP="007E446D">
            <w:pPr>
              <w:pStyle w:val="Normal2"/>
              <w:spacing w:line="360" w:lineRule="auto"/>
              <w:contextualSpacing/>
              <w:cnfStyle w:val="000000000000" w:firstRow="0" w:lastRow="0" w:firstColumn="0" w:lastColumn="0" w:oddVBand="0" w:evenVBand="0" w:oddHBand="0" w:evenHBand="0" w:firstRowFirstColumn="0" w:firstRowLastColumn="0" w:lastRowFirstColumn="0" w:lastRowLastColumn="0"/>
              <w:rPr>
                <w:sz w:val="20"/>
              </w:rPr>
            </w:pPr>
            <w:r w:rsidRPr="006B4E19">
              <w:rPr>
                <w:sz w:val="20"/>
              </w:rPr>
              <w:t>11 817 (16)</w:t>
            </w:r>
          </w:p>
        </w:tc>
        <w:tc>
          <w:tcPr>
            <w:tcW w:w="1070" w:type="dxa"/>
            <w:shd w:val="clear" w:color="auto" w:fill="auto"/>
            <w:tcMar>
              <w:left w:w="29" w:type="dxa"/>
              <w:right w:w="29" w:type="dxa"/>
            </w:tcMar>
            <w:vAlign w:val="bottom"/>
          </w:tcPr>
          <w:p w14:paraId="494D2F44" w14:textId="77777777" w:rsidR="006B4E19" w:rsidRPr="006B4E19" w:rsidRDefault="009A0A46" w:rsidP="007E446D">
            <w:pPr>
              <w:pStyle w:val="Normal2"/>
              <w:spacing w:line="360" w:lineRule="auto"/>
              <w:contextualSpacing/>
              <w:cnfStyle w:val="000000000000" w:firstRow="0" w:lastRow="0" w:firstColumn="0" w:lastColumn="0" w:oddVBand="0" w:evenVBand="0" w:oddHBand="0" w:evenHBand="0" w:firstRowFirstColumn="0" w:firstRowLastColumn="0" w:lastRowFirstColumn="0" w:lastRowLastColumn="0"/>
              <w:rPr>
                <w:sz w:val="20"/>
              </w:rPr>
            </w:pPr>
            <w:r>
              <w:rPr>
                <w:sz w:val="20"/>
              </w:rPr>
              <w:t>70</w:t>
            </w:r>
            <w:r w:rsidR="006B4E19" w:rsidRPr="006B4E19">
              <w:rPr>
                <w:sz w:val="20"/>
              </w:rPr>
              <w:t xml:space="preserve"> (</w:t>
            </w:r>
            <w:r>
              <w:rPr>
                <w:sz w:val="20"/>
              </w:rPr>
              <w:t>26</w:t>
            </w:r>
            <w:r w:rsidR="006B4E19" w:rsidRPr="006B4E19">
              <w:rPr>
                <w:sz w:val="20"/>
              </w:rPr>
              <w:t>)</w:t>
            </w:r>
          </w:p>
        </w:tc>
        <w:tc>
          <w:tcPr>
            <w:tcW w:w="1191" w:type="dxa"/>
            <w:vMerge/>
            <w:shd w:val="clear" w:color="auto" w:fill="auto"/>
            <w:tcMar>
              <w:left w:w="29" w:type="dxa"/>
              <w:right w:w="29" w:type="dxa"/>
            </w:tcMar>
            <w:vAlign w:val="bottom"/>
          </w:tcPr>
          <w:p w14:paraId="311B0F9B" w14:textId="77777777" w:rsidR="006B4E19" w:rsidRPr="006B4E19" w:rsidRDefault="006B4E19" w:rsidP="00A016B5">
            <w:pPr>
              <w:pStyle w:val="Normal2"/>
              <w:spacing w:line="360" w:lineRule="auto"/>
              <w:contextualSpacing/>
              <w:cnfStyle w:val="000000000000" w:firstRow="0" w:lastRow="0" w:firstColumn="0" w:lastColumn="0" w:oddVBand="0" w:evenVBand="0" w:oddHBand="0" w:evenHBand="0" w:firstRowFirstColumn="0" w:firstRowLastColumn="0" w:lastRowFirstColumn="0" w:lastRowLastColumn="0"/>
              <w:rPr>
                <w:sz w:val="20"/>
              </w:rPr>
            </w:pPr>
          </w:p>
        </w:tc>
      </w:tr>
      <w:tr w:rsidR="006B4E19" w:rsidRPr="006B4E19" w14:paraId="0C7B81DA" w14:textId="77777777" w:rsidTr="00C417E6">
        <w:trPr>
          <w:cnfStyle w:val="000000100000" w:firstRow="0" w:lastRow="0" w:firstColumn="0" w:lastColumn="0" w:oddVBand="0" w:evenVBand="0" w:oddHBand="1" w:evenHBand="0" w:firstRowFirstColumn="0" w:firstRowLastColumn="0" w:lastRowFirstColumn="0" w:lastRowLastColumn="0"/>
          <w:trHeight w:val="92"/>
        </w:trPr>
        <w:tc>
          <w:tcPr>
            <w:cnfStyle w:val="001000000000" w:firstRow="0" w:lastRow="0" w:firstColumn="1" w:lastColumn="0" w:oddVBand="0" w:evenVBand="0" w:oddHBand="0" w:evenHBand="0" w:firstRowFirstColumn="0" w:firstRowLastColumn="0" w:lastRowFirstColumn="0" w:lastRowLastColumn="0"/>
            <w:tcW w:w="1389" w:type="dxa"/>
            <w:shd w:val="clear" w:color="auto" w:fill="auto"/>
            <w:tcMar>
              <w:left w:w="29" w:type="dxa"/>
              <w:right w:w="29" w:type="dxa"/>
            </w:tcMar>
            <w:vAlign w:val="bottom"/>
          </w:tcPr>
          <w:p w14:paraId="0B7A6E5A" w14:textId="77777777" w:rsidR="006B4E19" w:rsidRPr="006B4E19" w:rsidRDefault="006B4E19" w:rsidP="00A016B5">
            <w:pPr>
              <w:pStyle w:val="Normal2"/>
              <w:spacing w:line="360" w:lineRule="auto"/>
              <w:contextualSpacing/>
              <w:rPr>
                <w:b w:val="0"/>
                <w:sz w:val="20"/>
              </w:rPr>
            </w:pPr>
            <w:r w:rsidRPr="006B4E19">
              <w:rPr>
                <w:b w:val="0"/>
                <w:sz w:val="20"/>
              </w:rPr>
              <w:t xml:space="preserve">  ≥90</w:t>
            </w:r>
          </w:p>
        </w:tc>
        <w:tc>
          <w:tcPr>
            <w:tcW w:w="1330" w:type="dxa"/>
            <w:shd w:val="clear" w:color="auto" w:fill="auto"/>
            <w:tcMar>
              <w:left w:w="29" w:type="dxa"/>
              <w:right w:w="29" w:type="dxa"/>
            </w:tcMar>
            <w:vAlign w:val="bottom"/>
          </w:tcPr>
          <w:p w14:paraId="72E821AC" w14:textId="77777777" w:rsidR="006B4E19" w:rsidRPr="006B4E19" w:rsidRDefault="006B4E19" w:rsidP="00D80CA8">
            <w:pPr>
              <w:pStyle w:val="Normal2"/>
              <w:spacing w:line="360" w:lineRule="auto"/>
              <w:contextualSpacing/>
              <w:cnfStyle w:val="000000100000" w:firstRow="0" w:lastRow="0" w:firstColumn="0" w:lastColumn="0" w:oddVBand="0" w:evenVBand="0" w:oddHBand="1" w:evenHBand="0" w:firstRowFirstColumn="0" w:firstRowLastColumn="0" w:lastRowFirstColumn="0" w:lastRowLastColumn="0"/>
              <w:rPr>
                <w:sz w:val="20"/>
              </w:rPr>
            </w:pPr>
            <w:r w:rsidRPr="006B4E19">
              <w:rPr>
                <w:sz w:val="20"/>
              </w:rPr>
              <w:t>3 244 (2)</w:t>
            </w:r>
          </w:p>
        </w:tc>
        <w:tc>
          <w:tcPr>
            <w:tcW w:w="1299" w:type="dxa"/>
            <w:shd w:val="clear" w:color="auto" w:fill="auto"/>
            <w:tcMar>
              <w:left w:w="29" w:type="dxa"/>
              <w:right w:w="29" w:type="dxa"/>
            </w:tcMar>
            <w:vAlign w:val="bottom"/>
          </w:tcPr>
          <w:p w14:paraId="4E60BF6A" w14:textId="77777777" w:rsidR="006B4E19" w:rsidRPr="006B4E19" w:rsidRDefault="006B4E19" w:rsidP="007E446D">
            <w:pPr>
              <w:pStyle w:val="Normal2"/>
              <w:spacing w:line="360" w:lineRule="auto"/>
              <w:contextualSpacing/>
              <w:cnfStyle w:val="000000100000" w:firstRow="0" w:lastRow="0" w:firstColumn="0" w:lastColumn="0" w:oddVBand="0" w:evenVBand="0" w:oddHBand="1" w:evenHBand="0" w:firstRowFirstColumn="0" w:firstRowLastColumn="0" w:lastRowFirstColumn="0" w:lastRowLastColumn="0"/>
              <w:rPr>
                <w:sz w:val="20"/>
              </w:rPr>
            </w:pPr>
            <w:r w:rsidRPr="006B4E19">
              <w:rPr>
                <w:sz w:val="20"/>
              </w:rPr>
              <w:t>3 220 (2)</w:t>
            </w:r>
          </w:p>
        </w:tc>
        <w:tc>
          <w:tcPr>
            <w:tcW w:w="1001" w:type="dxa"/>
            <w:shd w:val="clear" w:color="auto" w:fill="auto"/>
            <w:tcMar>
              <w:left w:w="29" w:type="dxa"/>
              <w:right w:w="29" w:type="dxa"/>
            </w:tcMar>
            <w:vAlign w:val="bottom"/>
          </w:tcPr>
          <w:p w14:paraId="709C3021" w14:textId="77777777" w:rsidR="006B4E19" w:rsidRPr="006B4E19" w:rsidRDefault="009A0A46" w:rsidP="009A0A46">
            <w:pPr>
              <w:pStyle w:val="Normal2"/>
              <w:spacing w:line="360" w:lineRule="auto"/>
              <w:contextualSpacing/>
              <w:cnfStyle w:val="000000100000" w:firstRow="0" w:lastRow="0" w:firstColumn="0" w:lastColumn="0" w:oddVBand="0" w:evenVBand="0" w:oddHBand="1" w:evenHBand="0" w:firstRowFirstColumn="0" w:firstRowLastColumn="0" w:lastRowFirstColumn="0" w:lastRowLastColumn="0"/>
              <w:rPr>
                <w:sz w:val="20"/>
              </w:rPr>
            </w:pPr>
            <w:r>
              <w:rPr>
                <w:sz w:val="20"/>
              </w:rPr>
              <w:t>16</w:t>
            </w:r>
            <w:r w:rsidR="006B4E19" w:rsidRPr="006B4E19">
              <w:rPr>
                <w:sz w:val="20"/>
              </w:rPr>
              <w:t xml:space="preserve"> (</w:t>
            </w:r>
            <w:r>
              <w:rPr>
                <w:sz w:val="20"/>
              </w:rPr>
              <w:t>3</w:t>
            </w:r>
            <w:r w:rsidR="006B4E19" w:rsidRPr="006B4E19">
              <w:rPr>
                <w:sz w:val="20"/>
              </w:rPr>
              <w:t>)</w:t>
            </w:r>
          </w:p>
        </w:tc>
        <w:tc>
          <w:tcPr>
            <w:tcW w:w="1151" w:type="dxa"/>
            <w:vMerge/>
            <w:shd w:val="clear" w:color="auto" w:fill="auto"/>
            <w:tcMar>
              <w:left w:w="29" w:type="dxa"/>
              <w:right w:w="29" w:type="dxa"/>
            </w:tcMar>
            <w:vAlign w:val="bottom"/>
          </w:tcPr>
          <w:p w14:paraId="32EF4E09" w14:textId="77777777" w:rsidR="006B4E19" w:rsidRPr="006B4E19" w:rsidRDefault="006B4E19" w:rsidP="00A016B5">
            <w:pPr>
              <w:pStyle w:val="Normal2"/>
              <w:spacing w:line="360" w:lineRule="auto"/>
              <w:contextualSpacing/>
              <w:cnfStyle w:val="000000100000" w:firstRow="0" w:lastRow="0" w:firstColumn="0" w:lastColumn="0" w:oddVBand="0" w:evenVBand="0" w:oddHBand="1" w:evenHBand="0" w:firstRowFirstColumn="0" w:firstRowLastColumn="0" w:lastRowFirstColumn="0" w:lastRowLastColumn="0"/>
              <w:rPr>
                <w:sz w:val="20"/>
              </w:rPr>
            </w:pPr>
          </w:p>
        </w:tc>
        <w:tc>
          <w:tcPr>
            <w:tcW w:w="1228" w:type="dxa"/>
            <w:shd w:val="clear" w:color="auto" w:fill="auto"/>
            <w:tcMar>
              <w:left w:w="29" w:type="dxa"/>
              <w:right w:w="29" w:type="dxa"/>
            </w:tcMar>
            <w:vAlign w:val="bottom"/>
          </w:tcPr>
          <w:p w14:paraId="2191866A" w14:textId="77777777" w:rsidR="006B4E19" w:rsidRPr="006B4E19" w:rsidRDefault="006B4E19" w:rsidP="007E446D">
            <w:pPr>
              <w:pStyle w:val="Normal2"/>
              <w:spacing w:line="360" w:lineRule="auto"/>
              <w:contextualSpacing/>
              <w:cnfStyle w:val="000000100000" w:firstRow="0" w:lastRow="0" w:firstColumn="0" w:lastColumn="0" w:oddVBand="0" w:evenVBand="0" w:oddHBand="1" w:evenHBand="0" w:firstRowFirstColumn="0" w:firstRowLastColumn="0" w:lastRowFirstColumn="0" w:lastRowLastColumn="0"/>
              <w:rPr>
                <w:sz w:val="20"/>
              </w:rPr>
            </w:pPr>
            <w:r w:rsidRPr="006B4E19">
              <w:rPr>
                <w:sz w:val="20"/>
              </w:rPr>
              <w:t>1 464 (2)</w:t>
            </w:r>
          </w:p>
        </w:tc>
        <w:tc>
          <w:tcPr>
            <w:tcW w:w="1070" w:type="dxa"/>
            <w:shd w:val="clear" w:color="auto" w:fill="auto"/>
            <w:tcMar>
              <w:left w:w="29" w:type="dxa"/>
              <w:right w:w="29" w:type="dxa"/>
            </w:tcMar>
            <w:vAlign w:val="bottom"/>
          </w:tcPr>
          <w:p w14:paraId="66DE4D7F" w14:textId="77777777" w:rsidR="006B4E19" w:rsidRPr="006B4E19" w:rsidRDefault="009A0A46" w:rsidP="00A016B5">
            <w:pPr>
              <w:pStyle w:val="Normal2"/>
              <w:spacing w:line="360" w:lineRule="auto"/>
              <w:contextualSpacing/>
              <w:cnfStyle w:val="000000100000" w:firstRow="0" w:lastRow="0" w:firstColumn="0" w:lastColumn="0" w:oddVBand="0" w:evenVBand="0" w:oddHBand="1" w:evenHBand="0" w:firstRowFirstColumn="0" w:firstRowLastColumn="0" w:lastRowFirstColumn="0" w:lastRowLastColumn="0"/>
              <w:rPr>
                <w:sz w:val="20"/>
              </w:rPr>
            </w:pPr>
            <w:r>
              <w:rPr>
                <w:sz w:val="20"/>
              </w:rPr>
              <w:t>15 (5</w:t>
            </w:r>
            <w:r w:rsidR="006B4E19" w:rsidRPr="006B4E19">
              <w:rPr>
                <w:sz w:val="20"/>
              </w:rPr>
              <w:t>)</w:t>
            </w:r>
          </w:p>
        </w:tc>
        <w:tc>
          <w:tcPr>
            <w:tcW w:w="1191" w:type="dxa"/>
            <w:vMerge/>
            <w:shd w:val="clear" w:color="auto" w:fill="auto"/>
            <w:tcMar>
              <w:left w:w="29" w:type="dxa"/>
              <w:right w:w="29" w:type="dxa"/>
            </w:tcMar>
            <w:vAlign w:val="bottom"/>
          </w:tcPr>
          <w:p w14:paraId="794FFBCB" w14:textId="77777777" w:rsidR="006B4E19" w:rsidRPr="006B4E19" w:rsidRDefault="006B4E19" w:rsidP="00A016B5">
            <w:pPr>
              <w:pStyle w:val="Normal2"/>
              <w:spacing w:line="360" w:lineRule="auto"/>
              <w:contextualSpacing/>
              <w:cnfStyle w:val="000000100000" w:firstRow="0" w:lastRow="0" w:firstColumn="0" w:lastColumn="0" w:oddVBand="0" w:evenVBand="0" w:oddHBand="1" w:evenHBand="0" w:firstRowFirstColumn="0" w:firstRowLastColumn="0" w:lastRowFirstColumn="0" w:lastRowLastColumn="0"/>
              <w:rPr>
                <w:sz w:val="20"/>
              </w:rPr>
            </w:pPr>
          </w:p>
        </w:tc>
      </w:tr>
    </w:tbl>
    <w:p w14:paraId="79313945" w14:textId="77777777" w:rsidR="00C211BA" w:rsidRPr="00F35C8D" w:rsidRDefault="00C211BA" w:rsidP="002314C5">
      <w:pPr>
        <w:pStyle w:val="Normal2"/>
        <w:contextualSpacing/>
        <w:divId w:val="1194727850"/>
      </w:pPr>
    </w:p>
    <w:p w14:paraId="706F0B4B" w14:textId="77777777" w:rsidR="00783AA0" w:rsidRPr="00F35C8D" w:rsidRDefault="00783AA0" w:rsidP="002314C5">
      <w:pPr>
        <w:pStyle w:val="Normal2"/>
        <w:contextualSpacing/>
        <w:divId w:val="1194727850"/>
        <w:rPr>
          <w:i/>
        </w:rPr>
      </w:pPr>
      <w:r w:rsidRPr="00F35C8D">
        <w:rPr>
          <w:i/>
        </w:rPr>
        <w:t>(Table 1 cont.)</w:t>
      </w:r>
    </w:p>
    <w:tbl>
      <w:tblPr>
        <w:tblStyle w:val="LightShading"/>
        <w:tblW w:w="8492" w:type="dxa"/>
        <w:tblLayout w:type="fixed"/>
        <w:tblLook w:val="04A0" w:firstRow="1" w:lastRow="0" w:firstColumn="1" w:lastColumn="0" w:noHBand="0" w:noVBand="1"/>
      </w:tblPr>
      <w:tblGrid>
        <w:gridCol w:w="1415"/>
        <w:gridCol w:w="1406"/>
        <w:gridCol w:w="988"/>
        <w:gridCol w:w="1188"/>
        <w:gridCol w:w="1329"/>
        <w:gridCol w:w="1019"/>
        <w:gridCol w:w="1147"/>
      </w:tblGrid>
      <w:tr w:rsidR="006B4E19" w:rsidRPr="006B4E19" w14:paraId="547D020A" w14:textId="77777777" w:rsidTr="00C417E6">
        <w:trPr>
          <w:cnfStyle w:val="100000000000" w:firstRow="1" w:lastRow="0" w:firstColumn="0" w:lastColumn="0" w:oddVBand="0" w:evenVBand="0" w:oddHBand="0" w:evenHBand="0" w:firstRowFirstColumn="0" w:firstRowLastColumn="0" w:lastRowFirstColumn="0" w:lastRowLastColumn="0"/>
          <w:divId w:val="1194727850"/>
          <w:trHeight w:val="47"/>
        </w:trPr>
        <w:tc>
          <w:tcPr>
            <w:cnfStyle w:val="001000000000" w:firstRow="0" w:lastRow="0" w:firstColumn="1" w:lastColumn="0" w:oddVBand="0" w:evenVBand="0" w:oddHBand="0" w:evenHBand="0" w:firstRowFirstColumn="0" w:firstRowLastColumn="0" w:lastRowFirstColumn="0" w:lastRowLastColumn="0"/>
            <w:tcW w:w="1415" w:type="dxa"/>
            <w:vMerge w:val="restart"/>
            <w:tcBorders>
              <w:bottom w:val="nil"/>
            </w:tcBorders>
            <w:shd w:val="clear" w:color="auto" w:fill="auto"/>
            <w:tcMar>
              <w:left w:w="29" w:type="dxa"/>
              <w:right w:w="29" w:type="dxa"/>
            </w:tcMar>
            <w:vAlign w:val="bottom"/>
          </w:tcPr>
          <w:p w14:paraId="6F112691" w14:textId="77777777" w:rsidR="00A016B5" w:rsidRPr="006B4E19" w:rsidRDefault="00A016B5" w:rsidP="00442AEA">
            <w:pPr>
              <w:pStyle w:val="Normal2"/>
              <w:spacing w:line="276" w:lineRule="auto"/>
              <w:contextualSpacing/>
              <w:rPr>
                <w:sz w:val="20"/>
              </w:rPr>
            </w:pPr>
          </w:p>
        </w:tc>
        <w:tc>
          <w:tcPr>
            <w:tcW w:w="7077" w:type="dxa"/>
            <w:gridSpan w:val="6"/>
            <w:tcMar>
              <w:left w:w="29" w:type="dxa"/>
              <w:right w:w="29" w:type="dxa"/>
            </w:tcMar>
            <w:vAlign w:val="bottom"/>
          </w:tcPr>
          <w:p w14:paraId="00017F4B" w14:textId="77777777" w:rsidR="00A016B5" w:rsidRPr="006B4E19" w:rsidRDefault="00A016B5" w:rsidP="00442AEA">
            <w:pPr>
              <w:pStyle w:val="Normal2"/>
              <w:spacing w:line="276" w:lineRule="auto"/>
              <w:contextualSpacing/>
              <w:cnfStyle w:val="100000000000" w:firstRow="1" w:lastRow="0" w:firstColumn="0" w:lastColumn="0" w:oddVBand="0" w:evenVBand="0" w:oddHBand="0" w:evenHBand="0" w:firstRowFirstColumn="0" w:firstRowLastColumn="0" w:lastRowFirstColumn="0" w:lastRowLastColumn="0"/>
              <w:rPr>
                <w:sz w:val="20"/>
              </w:rPr>
            </w:pPr>
            <w:r w:rsidRPr="006B4E19">
              <w:rPr>
                <w:sz w:val="20"/>
              </w:rPr>
              <w:t>Matched cohorts for each CDI case definition (cont.)</w:t>
            </w:r>
          </w:p>
        </w:tc>
      </w:tr>
      <w:tr w:rsidR="006B4E19" w:rsidRPr="006B4E19" w14:paraId="2D9CD26D" w14:textId="77777777" w:rsidTr="00C417E6">
        <w:trPr>
          <w:cnfStyle w:val="000000100000" w:firstRow="0" w:lastRow="0" w:firstColumn="0" w:lastColumn="0" w:oddVBand="0" w:evenVBand="0" w:oddHBand="1" w:evenHBand="0" w:firstRowFirstColumn="0" w:firstRowLastColumn="0" w:lastRowFirstColumn="0" w:lastRowLastColumn="0"/>
          <w:divId w:val="1194727850"/>
          <w:trHeight w:val="96"/>
        </w:trPr>
        <w:tc>
          <w:tcPr>
            <w:cnfStyle w:val="001000000000" w:firstRow="0" w:lastRow="0" w:firstColumn="1" w:lastColumn="0" w:oddVBand="0" w:evenVBand="0" w:oddHBand="0" w:evenHBand="0" w:firstRowFirstColumn="0" w:firstRowLastColumn="0" w:lastRowFirstColumn="0" w:lastRowLastColumn="0"/>
            <w:tcW w:w="1415" w:type="dxa"/>
            <w:vMerge/>
            <w:tcBorders>
              <w:top w:val="nil"/>
              <w:bottom w:val="nil"/>
            </w:tcBorders>
            <w:shd w:val="clear" w:color="auto" w:fill="auto"/>
            <w:tcMar>
              <w:left w:w="29" w:type="dxa"/>
              <w:right w:w="29" w:type="dxa"/>
            </w:tcMar>
            <w:vAlign w:val="bottom"/>
          </w:tcPr>
          <w:p w14:paraId="5AC41066" w14:textId="77777777" w:rsidR="00A016B5" w:rsidRPr="006B4E19" w:rsidRDefault="00A016B5" w:rsidP="00442AEA">
            <w:pPr>
              <w:pStyle w:val="Normal2"/>
              <w:keepNext/>
              <w:keepLines/>
              <w:spacing w:after="200" w:line="276" w:lineRule="auto"/>
              <w:contextualSpacing/>
              <w:rPr>
                <w:sz w:val="20"/>
              </w:rPr>
            </w:pPr>
          </w:p>
        </w:tc>
        <w:tc>
          <w:tcPr>
            <w:tcW w:w="3582" w:type="dxa"/>
            <w:gridSpan w:val="3"/>
            <w:tcBorders>
              <w:top w:val="single" w:sz="4" w:space="0" w:color="auto"/>
              <w:bottom w:val="single" w:sz="4" w:space="0" w:color="auto"/>
            </w:tcBorders>
            <w:shd w:val="clear" w:color="auto" w:fill="auto"/>
            <w:tcMar>
              <w:left w:w="29" w:type="dxa"/>
              <w:right w:w="29" w:type="dxa"/>
            </w:tcMar>
            <w:vAlign w:val="bottom"/>
          </w:tcPr>
          <w:p w14:paraId="2EB60DCB" w14:textId="77777777" w:rsidR="00A016B5" w:rsidRPr="006B4E19" w:rsidRDefault="006B4E19" w:rsidP="009902A9">
            <w:pPr>
              <w:pStyle w:val="Normal2"/>
              <w:spacing w:line="276" w:lineRule="auto"/>
              <w:contextualSpacing/>
              <w:cnfStyle w:val="000000100000" w:firstRow="0" w:lastRow="0" w:firstColumn="0" w:lastColumn="0" w:oddVBand="0" w:evenVBand="0" w:oddHBand="1" w:evenHBand="0" w:firstRowFirstColumn="0" w:firstRowLastColumn="0" w:lastRowFirstColumn="0" w:lastRowLastColumn="0"/>
              <w:rPr>
                <w:sz w:val="20"/>
              </w:rPr>
            </w:pPr>
            <w:r>
              <w:rPr>
                <w:sz w:val="20"/>
              </w:rPr>
              <w:t xml:space="preserve">iii. </w:t>
            </w:r>
            <w:proofErr w:type="gramStart"/>
            <w:r>
              <w:rPr>
                <w:sz w:val="20"/>
              </w:rPr>
              <w:t>by</w:t>
            </w:r>
            <w:proofErr w:type="gramEnd"/>
            <w:r w:rsidR="00A016B5" w:rsidRPr="006B4E19">
              <w:rPr>
                <w:sz w:val="20"/>
              </w:rPr>
              <w:t xml:space="preserve"> PCR (+)</w:t>
            </w:r>
          </w:p>
        </w:tc>
        <w:tc>
          <w:tcPr>
            <w:tcW w:w="3495" w:type="dxa"/>
            <w:gridSpan w:val="3"/>
            <w:tcBorders>
              <w:top w:val="single" w:sz="4" w:space="0" w:color="auto"/>
              <w:bottom w:val="single" w:sz="4" w:space="0" w:color="auto"/>
            </w:tcBorders>
            <w:shd w:val="clear" w:color="auto" w:fill="auto"/>
            <w:tcMar>
              <w:left w:w="29" w:type="dxa"/>
              <w:right w:w="29" w:type="dxa"/>
            </w:tcMar>
            <w:vAlign w:val="bottom"/>
          </w:tcPr>
          <w:p w14:paraId="193BFE70" w14:textId="77777777" w:rsidR="00A016B5" w:rsidRPr="006B4E19" w:rsidRDefault="006B4E19" w:rsidP="006B4E19">
            <w:pPr>
              <w:pStyle w:val="Normal2"/>
              <w:spacing w:line="276" w:lineRule="auto"/>
              <w:contextualSpacing/>
              <w:cnfStyle w:val="000000100000" w:firstRow="0" w:lastRow="0" w:firstColumn="0" w:lastColumn="0" w:oddVBand="0" w:evenVBand="0" w:oddHBand="1" w:evenHBand="0" w:firstRowFirstColumn="0" w:firstRowLastColumn="0" w:lastRowFirstColumn="0" w:lastRowLastColumn="0"/>
              <w:rPr>
                <w:sz w:val="20"/>
              </w:rPr>
            </w:pPr>
            <w:r>
              <w:rPr>
                <w:sz w:val="20"/>
              </w:rPr>
              <w:t xml:space="preserve">iv. </w:t>
            </w:r>
            <w:proofErr w:type="gramStart"/>
            <w:r w:rsidR="00A016B5" w:rsidRPr="006B4E19">
              <w:rPr>
                <w:sz w:val="20"/>
              </w:rPr>
              <w:t>by</w:t>
            </w:r>
            <w:proofErr w:type="gramEnd"/>
            <w:r w:rsidR="00A016B5" w:rsidRPr="006B4E19">
              <w:rPr>
                <w:sz w:val="20"/>
              </w:rPr>
              <w:t xml:space="preserve"> </w:t>
            </w:r>
            <w:r>
              <w:rPr>
                <w:sz w:val="20"/>
              </w:rPr>
              <w:t>EIA or PCR (+)</w:t>
            </w:r>
          </w:p>
        </w:tc>
      </w:tr>
      <w:tr w:rsidR="006B4E19" w:rsidRPr="006B4E19" w14:paraId="36324130" w14:textId="77777777" w:rsidTr="00C417E6">
        <w:trPr>
          <w:divId w:val="1194727850"/>
          <w:trHeight w:val="73"/>
        </w:trPr>
        <w:tc>
          <w:tcPr>
            <w:cnfStyle w:val="001000000000" w:firstRow="0" w:lastRow="0" w:firstColumn="1" w:lastColumn="0" w:oddVBand="0" w:evenVBand="0" w:oddHBand="0" w:evenHBand="0" w:firstRowFirstColumn="0" w:firstRowLastColumn="0" w:lastRowFirstColumn="0" w:lastRowLastColumn="0"/>
            <w:tcW w:w="1415" w:type="dxa"/>
            <w:vMerge/>
            <w:tcBorders>
              <w:top w:val="nil"/>
              <w:bottom w:val="nil"/>
            </w:tcBorders>
            <w:shd w:val="clear" w:color="auto" w:fill="auto"/>
            <w:tcMar>
              <w:left w:w="29" w:type="dxa"/>
              <w:right w:w="29" w:type="dxa"/>
            </w:tcMar>
            <w:vAlign w:val="bottom"/>
          </w:tcPr>
          <w:p w14:paraId="74415ADD" w14:textId="77777777" w:rsidR="00527F94" w:rsidRPr="006B4E19" w:rsidRDefault="00527F94" w:rsidP="00442AEA">
            <w:pPr>
              <w:pStyle w:val="Normal2"/>
              <w:keepNext/>
              <w:keepLines/>
              <w:spacing w:after="200" w:line="276" w:lineRule="auto"/>
              <w:contextualSpacing/>
              <w:rPr>
                <w:sz w:val="20"/>
              </w:rPr>
            </w:pPr>
          </w:p>
        </w:tc>
        <w:tc>
          <w:tcPr>
            <w:tcW w:w="2394" w:type="dxa"/>
            <w:gridSpan w:val="2"/>
            <w:tcBorders>
              <w:top w:val="single" w:sz="4" w:space="0" w:color="auto"/>
              <w:bottom w:val="single" w:sz="4" w:space="0" w:color="auto"/>
            </w:tcBorders>
            <w:shd w:val="clear" w:color="auto" w:fill="auto"/>
            <w:tcMar>
              <w:left w:w="29" w:type="dxa"/>
              <w:right w:w="29" w:type="dxa"/>
            </w:tcMar>
            <w:vAlign w:val="bottom"/>
          </w:tcPr>
          <w:p w14:paraId="0A47C421" w14:textId="77777777" w:rsidR="00527F94" w:rsidRPr="006B4E19" w:rsidRDefault="00527F94" w:rsidP="00442AEA">
            <w:pPr>
              <w:pStyle w:val="Normal2"/>
              <w:spacing w:line="276" w:lineRule="auto"/>
              <w:contextualSpacing/>
              <w:cnfStyle w:val="000000000000" w:firstRow="0" w:lastRow="0" w:firstColumn="0" w:lastColumn="0" w:oddVBand="0" w:evenVBand="0" w:oddHBand="0" w:evenHBand="0" w:firstRowFirstColumn="0" w:firstRowLastColumn="0" w:lastRowFirstColumn="0" w:lastRowLastColumn="0"/>
              <w:rPr>
                <w:sz w:val="20"/>
              </w:rPr>
            </w:pPr>
            <w:r w:rsidRPr="006B4E19">
              <w:rPr>
                <w:sz w:val="20"/>
              </w:rPr>
              <w:t>No. (%)</w:t>
            </w:r>
          </w:p>
        </w:tc>
        <w:tc>
          <w:tcPr>
            <w:tcW w:w="1188" w:type="dxa"/>
            <w:vMerge w:val="restart"/>
            <w:tcBorders>
              <w:top w:val="single" w:sz="4" w:space="0" w:color="auto"/>
            </w:tcBorders>
            <w:shd w:val="clear" w:color="auto" w:fill="auto"/>
            <w:tcMar>
              <w:left w:w="29" w:type="dxa"/>
              <w:right w:w="29" w:type="dxa"/>
            </w:tcMar>
            <w:vAlign w:val="bottom"/>
          </w:tcPr>
          <w:p w14:paraId="7E3BD291" w14:textId="77777777" w:rsidR="00527F94" w:rsidRPr="006B4E19" w:rsidRDefault="00527F94" w:rsidP="00527F94">
            <w:pPr>
              <w:pStyle w:val="Normal2"/>
              <w:spacing w:line="276" w:lineRule="auto"/>
              <w:contextualSpacing/>
              <w:cnfStyle w:val="000000000000" w:firstRow="0" w:lastRow="0" w:firstColumn="0" w:lastColumn="0" w:oddVBand="0" w:evenVBand="0" w:oddHBand="0" w:evenHBand="0" w:firstRowFirstColumn="0" w:firstRowLastColumn="0" w:lastRowFirstColumn="0" w:lastRowLastColumn="0"/>
              <w:rPr>
                <w:sz w:val="20"/>
              </w:rPr>
            </w:pPr>
            <w:r w:rsidRPr="006B4E19">
              <w:rPr>
                <w:sz w:val="20"/>
              </w:rPr>
              <w:t>SMD after matching</w:t>
            </w:r>
          </w:p>
          <w:p w14:paraId="580A07CD" w14:textId="77777777" w:rsidR="00527F94" w:rsidRPr="006B4E19" w:rsidRDefault="00527F94" w:rsidP="00442AEA">
            <w:pPr>
              <w:pStyle w:val="Normal2"/>
              <w:spacing w:line="276" w:lineRule="auto"/>
              <w:contextualSpacing/>
              <w:cnfStyle w:val="000000000000" w:firstRow="0" w:lastRow="0" w:firstColumn="0" w:lastColumn="0" w:oddVBand="0" w:evenVBand="0" w:oddHBand="0" w:evenHBand="0" w:firstRowFirstColumn="0" w:firstRowLastColumn="0" w:lastRowFirstColumn="0" w:lastRowLastColumn="0"/>
              <w:rPr>
                <w:sz w:val="20"/>
              </w:rPr>
            </w:pPr>
            <w:r w:rsidRPr="006B4E19">
              <w:rPr>
                <w:sz w:val="20"/>
              </w:rPr>
              <w:t>(</w:t>
            </w:r>
            <w:r w:rsidRPr="006B4E19">
              <w:rPr>
                <w:i/>
                <w:sz w:val="20"/>
              </w:rPr>
              <w:t xml:space="preserve">P </w:t>
            </w:r>
            <w:r w:rsidRPr="006B4E19">
              <w:rPr>
                <w:sz w:val="20"/>
              </w:rPr>
              <w:t>value)</w:t>
            </w:r>
          </w:p>
        </w:tc>
        <w:tc>
          <w:tcPr>
            <w:tcW w:w="2348" w:type="dxa"/>
            <w:gridSpan w:val="2"/>
            <w:tcBorders>
              <w:top w:val="single" w:sz="4" w:space="0" w:color="auto"/>
              <w:bottom w:val="single" w:sz="4" w:space="0" w:color="auto"/>
            </w:tcBorders>
            <w:shd w:val="clear" w:color="auto" w:fill="auto"/>
            <w:tcMar>
              <w:left w:w="29" w:type="dxa"/>
              <w:right w:w="29" w:type="dxa"/>
            </w:tcMar>
            <w:vAlign w:val="bottom"/>
          </w:tcPr>
          <w:p w14:paraId="13DA1885" w14:textId="77777777" w:rsidR="00527F94" w:rsidRPr="006B4E19" w:rsidRDefault="00527F94" w:rsidP="00442AEA">
            <w:pPr>
              <w:pStyle w:val="Normal2"/>
              <w:spacing w:line="276" w:lineRule="auto"/>
              <w:contextualSpacing/>
              <w:cnfStyle w:val="000000000000" w:firstRow="0" w:lastRow="0" w:firstColumn="0" w:lastColumn="0" w:oddVBand="0" w:evenVBand="0" w:oddHBand="0" w:evenHBand="0" w:firstRowFirstColumn="0" w:firstRowLastColumn="0" w:lastRowFirstColumn="0" w:lastRowLastColumn="0"/>
              <w:rPr>
                <w:sz w:val="20"/>
              </w:rPr>
            </w:pPr>
            <w:r w:rsidRPr="006B4E19">
              <w:rPr>
                <w:sz w:val="20"/>
              </w:rPr>
              <w:t>No. (%)</w:t>
            </w:r>
          </w:p>
        </w:tc>
        <w:tc>
          <w:tcPr>
            <w:tcW w:w="1147" w:type="dxa"/>
            <w:vMerge w:val="restart"/>
            <w:tcBorders>
              <w:top w:val="single" w:sz="4" w:space="0" w:color="auto"/>
            </w:tcBorders>
            <w:shd w:val="clear" w:color="auto" w:fill="auto"/>
            <w:tcMar>
              <w:left w:w="29" w:type="dxa"/>
              <w:right w:w="29" w:type="dxa"/>
            </w:tcMar>
            <w:vAlign w:val="bottom"/>
          </w:tcPr>
          <w:p w14:paraId="30EB6003" w14:textId="77777777" w:rsidR="00527F94" w:rsidRPr="006B4E19" w:rsidRDefault="00527F94" w:rsidP="00527F94">
            <w:pPr>
              <w:pStyle w:val="Normal2"/>
              <w:spacing w:line="276" w:lineRule="auto"/>
              <w:contextualSpacing/>
              <w:cnfStyle w:val="000000000000" w:firstRow="0" w:lastRow="0" w:firstColumn="0" w:lastColumn="0" w:oddVBand="0" w:evenVBand="0" w:oddHBand="0" w:evenHBand="0" w:firstRowFirstColumn="0" w:firstRowLastColumn="0" w:lastRowFirstColumn="0" w:lastRowLastColumn="0"/>
              <w:rPr>
                <w:sz w:val="20"/>
              </w:rPr>
            </w:pPr>
            <w:r w:rsidRPr="006B4E19">
              <w:rPr>
                <w:sz w:val="20"/>
              </w:rPr>
              <w:t>SMD after matching</w:t>
            </w:r>
          </w:p>
          <w:p w14:paraId="50CF27AF" w14:textId="77777777" w:rsidR="00527F94" w:rsidRPr="006B4E19" w:rsidRDefault="00527F94" w:rsidP="00442AEA">
            <w:pPr>
              <w:pStyle w:val="Normal2"/>
              <w:spacing w:line="276" w:lineRule="auto"/>
              <w:contextualSpacing/>
              <w:cnfStyle w:val="000000000000" w:firstRow="0" w:lastRow="0" w:firstColumn="0" w:lastColumn="0" w:oddVBand="0" w:evenVBand="0" w:oddHBand="0" w:evenHBand="0" w:firstRowFirstColumn="0" w:firstRowLastColumn="0" w:lastRowFirstColumn="0" w:lastRowLastColumn="0"/>
              <w:rPr>
                <w:sz w:val="20"/>
              </w:rPr>
            </w:pPr>
            <w:r w:rsidRPr="006B4E19">
              <w:rPr>
                <w:sz w:val="20"/>
              </w:rPr>
              <w:t>(</w:t>
            </w:r>
            <w:r w:rsidRPr="006B4E19">
              <w:rPr>
                <w:i/>
                <w:sz w:val="20"/>
              </w:rPr>
              <w:t xml:space="preserve">P </w:t>
            </w:r>
            <w:r w:rsidRPr="006B4E19">
              <w:rPr>
                <w:sz w:val="20"/>
              </w:rPr>
              <w:t>value)</w:t>
            </w:r>
          </w:p>
        </w:tc>
      </w:tr>
      <w:tr w:rsidR="006B4E19" w:rsidRPr="006B4E19" w14:paraId="64DB15A6" w14:textId="77777777" w:rsidTr="00C417E6">
        <w:trPr>
          <w:cnfStyle w:val="000000100000" w:firstRow="0" w:lastRow="0" w:firstColumn="0" w:lastColumn="0" w:oddVBand="0" w:evenVBand="0" w:oddHBand="1" w:evenHBand="0" w:firstRowFirstColumn="0" w:firstRowLastColumn="0" w:lastRowFirstColumn="0" w:lastRowLastColumn="0"/>
          <w:divId w:val="1194727850"/>
          <w:trHeight w:val="152"/>
        </w:trPr>
        <w:tc>
          <w:tcPr>
            <w:cnfStyle w:val="001000000000" w:firstRow="0" w:lastRow="0" w:firstColumn="1" w:lastColumn="0" w:oddVBand="0" w:evenVBand="0" w:oddHBand="0" w:evenHBand="0" w:firstRowFirstColumn="0" w:firstRowLastColumn="0" w:lastRowFirstColumn="0" w:lastRowLastColumn="0"/>
            <w:tcW w:w="1415" w:type="dxa"/>
            <w:tcBorders>
              <w:top w:val="nil"/>
              <w:bottom w:val="single" w:sz="4" w:space="0" w:color="auto"/>
            </w:tcBorders>
            <w:shd w:val="clear" w:color="auto" w:fill="auto"/>
            <w:tcMar>
              <w:left w:w="29" w:type="dxa"/>
              <w:right w:w="29" w:type="dxa"/>
            </w:tcMar>
            <w:vAlign w:val="bottom"/>
          </w:tcPr>
          <w:p w14:paraId="40FB9565" w14:textId="77777777" w:rsidR="00C9554A" w:rsidRPr="006B4E19" w:rsidRDefault="00C9554A" w:rsidP="00A016B5">
            <w:pPr>
              <w:pStyle w:val="Normal2"/>
              <w:spacing w:line="276" w:lineRule="auto"/>
              <w:contextualSpacing/>
              <w:rPr>
                <w:b w:val="0"/>
                <w:sz w:val="20"/>
              </w:rPr>
            </w:pPr>
            <w:r w:rsidRPr="006B4E19">
              <w:rPr>
                <w:b w:val="0"/>
                <w:sz w:val="20"/>
              </w:rPr>
              <w:t>Characteristic</w:t>
            </w:r>
          </w:p>
        </w:tc>
        <w:tc>
          <w:tcPr>
            <w:tcW w:w="1406" w:type="dxa"/>
            <w:tcBorders>
              <w:top w:val="single" w:sz="4" w:space="0" w:color="auto"/>
              <w:bottom w:val="single" w:sz="4" w:space="0" w:color="auto"/>
            </w:tcBorders>
            <w:shd w:val="clear" w:color="auto" w:fill="auto"/>
            <w:tcMar>
              <w:left w:w="29" w:type="dxa"/>
              <w:right w:w="29" w:type="dxa"/>
            </w:tcMar>
            <w:vAlign w:val="bottom"/>
          </w:tcPr>
          <w:p w14:paraId="0E9F1E0F" w14:textId="77777777" w:rsidR="00C9554A" w:rsidRPr="006B4E19" w:rsidRDefault="00C9554A" w:rsidP="00C03F91">
            <w:pPr>
              <w:pStyle w:val="Normal2"/>
              <w:spacing w:line="276" w:lineRule="auto"/>
              <w:contextualSpacing/>
              <w:cnfStyle w:val="000000100000" w:firstRow="0" w:lastRow="0" w:firstColumn="0" w:lastColumn="0" w:oddVBand="0" w:evenVBand="0" w:oddHBand="1" w:evenHBand="0" w:firstRowFirstColumn="0" w:firstRowLastColumn="0" w:lastRowFirstColumn="0" w:lastRowLastColumn="0"/>
              <w:rPr>
                <w:sz w:val="20"/>
              </w:rPr>
            </w:pPr>
            <w:r w:rsidRPr="006B4E19">
              <w:rPr>
                <w:sz w:val="20"/>
              </w:rPr>
              <w:t>All controls (n=</w:t>
            </w:r>
            <w:r w:rsidR="00C03F91">
              <w:rPr>
                <w:sz w:val="20"/>
              </w:rPr>
              <w:t>97</w:t>
            </w:r>
            <w:r w:rsidRPr="006B4E19">
              <w:rPr>
                <w:sz w:val="20"/>
              </w:rPr>
              <w:t xml:space="preserve"> </w:t>
            </w:r>
            <w:r w:rsidR="00C03F91">
              <w:rPr>
                <w:sz w:val="20"/>
              </w:rPr>
              <w:t>351</w:t>
            </w:r>
            <w:r w:rsidRPr="006B4E19">
              <w:rPr>
                <w:sz w:val="20"/>
              </w:rPr>
              <w:t>)</w:t>
            </w:r>
          </w:p>
        </w:tc>
        <w:tc>
          <w:tcPr>
            <w:tcW w:w="988" w:type="dxa"/>
            <w:tcBorders>
              <w:top w:val="single" w:sz="4" w:space="0" w:color="auto"/>
              <w:bottom w:val="single" w:sz="4" w:space="0" w:color="auto"/>
            </w:tcBorders>
            <w:shd w:val="clear" w:color="auto" w:fill="auto"/>
            <w:tcMar>
              <w:left w:w="29" w:type="dxa"/>
              <w:right w:w="29" w:type="dxa"/>
            </w:tcMar>
            <w:vAlign w:val="bottom"/>
          </w:tcPr>
          <w:p w14:paraId="0950DB2D" w14:textId="77777777" w:rsidR="00C9554A" w:rsidRPr="006B4E19" w:rsidRDefault="00C9554A" w:rsidP="00C03F91">
            <w:pPr>
              <w:pStyle w:val="Normal2"/>
              <w:spacing w:line="276" w:lineRule="auto"/>
              <w:contextualSpacing/>
              <w:cnfStyle w:val="000000100000" w:firstRow="0" w:lastRow="0" w:firstColumn="0" w:lastColumn="0" w:oddVBand="0" w:evenVBand="0" w:oddHBand="1" w:evenHBand="0" w:firstRowFirstColumn="0" w:firstRowLastColumn="0" w:lastRowFirstColumn="0" w:lastRowLastColumn="0"/>
              <w:rPr>
                <w:sz w:val="20"/>
              </w:rPr>
            </w:pPr>
            <w:r w:rsidRPr="006B4E19">
              <w:rPr>
                <w:sz w:val="20"/>
              </w:rPr>
              <w:t>Matched cases &amp; controls</w:t>
            </w:r>
            <w:r w:rsidRPr="006B4E19">
              <w:rPr>
                <w:sz w:val="20"/>
                <w:vertAlign w:val="superscript"/>
              </w:rPr>
              <w:t>a</w:t>
            </w:r>
            <w:r w:rsidRPr="006B4E19">
              <w:rPr>
                <w:sz w:val="20"/>
              </w:rPr>
              <w:t xml:space="preserve"> (n=</w:t>
            </w:r>
            <w:r w:rsidR="00C03F91">
              <w:rPr>
                <w:sz w:val="20"/>
              </w:rPr>
              <w:t>493</w:t>
            </w:r>
            <w:r w:rsidRPr="006B4E19">
              <w:rPr>
                <w:sz w:val="20"/>
              </w:rPr>
              <w:t xml:space="preserve">) </w:t>
            </w:r>
          </w:p>
        </w:tc>
        <w:tc>
          <w:tcPr>
            <w:tcW w:w="1188" w:type="dxa"/>
            <w:vMerge/>
            <w:tcBorders>
              <w:bottom w:val="single" w:sz="4" w:space="0" w:color="auto"/>
            </w:tcBorders>
            <w:shd w:val="clear" w:color="auto" w:fill="auto"/>
            <w:tcMar>
              <w:left w:w="29" w:type="dxa"/>
              <w:right w:w="29" w:type="dxa"/>
            </w:tcMar>
            <w:vAlign w:val="bottom"/>
          </w:tcPr>
          <w:p w14:paraId="7DF509E3" w14:textId="77777777" w:rsidR="00C9554A" w:rsidRPr="006B4E19" w:rsidRDefault="00C9554A" w:rsidP="00442AEA">
            <w:pPr>
              <w:pStyle w:val="Normal2"/>
              <w:spacing w:line="276" w:lineRule="auto"/>
              <w:contextualSpacing/>
              <w:cnfStyle w:val="000000100000" w:firstRow="0" w:lastRow="0" w:firstColumn="0" w:lastColumn="0" w:oddVBand="0" w:evenVBand="0" w:oddHBand="1" w:evenHBand="0" w:firstRowFirstColumn="0" w:firstRowLastColumn="0" w:lastRowFirstColumn="0" w:lastRowLastColumn="0"/>
              <w:rPr>
                <w:sz w:val="20"/>
              </w:rPr>
            </w:pPr>
          </w:p>
        </w:tc>
        <w:tc>
          <w:tcPr>
            <w:tcW w:w="1329" w:type="dxa"/>
            <w:tcBorders>
              <w:top w:val="single" w:sz="4" w:space="0" w:color="auto"/>
              <w:bottom w:val="single" w:sz="4" w:space="0" w:color="auto"/>
            </w:tcBorders>
            <w:shd w:val="clear" w:color="auto" w:fill="auto"/>
            <w:tcMar>
              <w:left w:w="29" w:type="dxa"/>
              <w:right w:w="29" w:type="dxa"/>
            </w:tcMar>
            <w:vAlign w:val="bottom"/>
          </w:tcPr>
          <w:p w14:paraId="3C8940AD" w14:textId="77777777" w:rsidR="00C9554A" w:rsidRPr="006B4E19" w:rsidRDefault="00C9554A" w:rsidP="00C03F91">
            <w:pPr>
              <w:pStyle w:val="Normal2"/>
              <w:spacing w:line="276" w:lineRule="auto"/>
              <w:contextualSpacing/>
              <w:cnfStyle w:val="000000100000" w:firstRow="0" w:lastRow="0" w:firstColumn="0" w:lastColumn="0" w:oddVBand="0" w:evenVBand="0" w:oddHBand="1" w:evenHBand="0" w:firstRowFirstColumn="0" w:firstRowLastColumn="0" w:lastRowFirstColumn="0" w:lastRowLastColumn="0"/>
              <w:rPr>
                <w:sz w:val="20"/>
              </w:rPr>
            </w:pPr>
            <w:r w:rsidRPr="006B4E19">
              <w:rPr>
                <w:sz w:val="20"/>
              </w:rPr>
              <w:t xml:space="preserve">All controls (n=170 </w:t>
            </w:r>
            <w:r w:rsidR="00C03F91">
              <w:rPr>
                <w:sz w:val="20"/>
              </w:rPr>
              <w:t>994</w:t>
            </w:r>
            <w:r w:rsidRPr="006B4E19">
              <w:rPr>
                <w:sz w:val="20"/>
              </w:rPr>
              <w:t>)</w:t>
            </w:r>
          </w:p>
        </w:tc>
        <w:tc>
          <w:tcPr>
            <w:tcW w:w="1019" w:type="dxa"/>
            <w:tcBorders>
              <w:top w:val="single" w:sz="4" w:space="0" w:color="auto"/>
              <w:bottom w:val="single" w:sz="4" w:space="0" w:color="auto"/>
            </w:tcBorders>
            <w:shd w:val="clear" w:color="auto" w:fill="auto"/>
            <w:tcMar>
              <w:left w:w="29" w:type="dxa"/>
              <w:right w:w="29" w:type="dxa"/>
            </w:tcMar>
            <w:vAlign w:val="bottom"/>
          </w:tcPr>
          <w:p w14:paraId="78830662" w14:textId="77777777" w:rsidR="00C9554A" w:rsidRPr="006B4E19" w:rsidRDefault="00C9554A" w:rsidP="00C03F91">
            <w:pPr>
              <w:pStyle w:val="Normal2"/>
              <w:spacing w:line="276" w:lineRule="auto"/>
              <w:contextualSpacing/>
              <w:cnfStyle w:val="000000100000" w:firstRow="0" w:lastRow="0" w:firstColumn="0" w:lastColumn="0" w:oddVBand="0" w:evenVBand="0" w:oddHBand="1" w:evenHBand="0" w:firstRowFirstColumn="0" w:firstRowLastColumn="0" w:lastRowFirstColumn="0" w:lastRowLastColumn="0"/>
              <w:rPr>
                <w:sz w:val="20"/>
              </w:rPr>
            </w:pPr>
            <w:r w:rsidRPr="006B4E19">
              <w:rPr>
                <w:sz w:val="20"/>
              </w:rPr>
              <w:t>Matched cases &amp; controls</w:t>
            </w:r>
            <w:r w:rsidRPr="006B4E19">
              <w:rPr>
                <w:sz w:val="20"/>
                <w:vertAlign w:val="superscript"/>
              </w:rPr>
              <w:t>a</w:t>
            </w:r>
            <w:r w:rsidRPr="006B4E19">
              <w:rPr>
                <w:sz w:val="20"/>
              </w:rPr>
              <w:t xml:space="preserve"> (n=</w:t>
            </w:r>
            <w:r w:rsidR="00C03F91">
              <w:rPr>
                <w:sz w:val="20"/>
              </w:rPr>
              <w:t>788</w:t>
            </w:r>
            <w:r w:rsidRPr="006B4E19">
              <w:rPr>
                <w:sz w:val="20"/>
              </w:rPr>
              <w:t xml:space="preserve">) </w:t>
            </w:r>
          </w:p>
        </w:tc>
        <w:tc>
          <w:tcPr>
            <w:tcW w:w="1147" w:type="dxa"/>
            <w:vMerge/>
            <w:tcBorders>
              <w:bottom w:val="single" w:sz="4" w:space="0" w:color="auto"/>
            </w:tcBorders>
            <w:shd w:val="clear" w:color="auto" w:fill="auto"/>
            <w:tcMar>
              <w:left w:w="29" w:type="dxa"/>
              <w:right w:w="29" w:type="dxa"/>
            </w:tcMar>
            <w:vAlign w:val="bottom"/>
          </w:tcPr>
          <w:p w14:paraId="5598E020" w14:textId="77777777" w:rsidR="00C9554A" w:rsidRPr="006B4E19" w:rsidRDefault="00C9554A" w:rsidP="00442AEA">
            <w:pPr>
              <w:pStyle w:val="Normal2"/>
              <w:spacing w:line="276" w:lineRule="auto"/>
              <w:contextualSpacing/>
              <w:cnfStyle w:val="000000100000" w:firstRow="0" w:lastRow="0" w:firstColumn="0" w:lastColumn="0" w:oddVBand="0" w:evenVBand="0" w:oddHBand="1" w:evenHBand="0" w:firstRowFirstColumn="0" w:firstRowLastColumn="0" w:lastRowFirstColumn="0" w:lastRowLastColumn="0"/>
              <w:rPr>
                <w:sz w:val="20"/>
              </w:rPr>
            </w:pPr>
          </w:p>
        </w:tc>
      </w:tr>
      <w:tr w:rsidR="006B4E19" w:rsidRPr="006B4E19" w14:paraId="06268099" w14:textId="77777777" w:rsidTr="00C417E6">
        <w:trPr>
          <w:divId w:val="1194727850"/>
          <w:trHeight w:val="62"/>
        </w:trPr>
        <w:tc>
          <w:tcPr>
            <w:cnfStyle w:val="001000000000" w:firstRow="0" w:lastRow="0" w:firstColumn="1" w:lastColumn="0" w:oddVBand="0" w:evenVBand="0" w:oddHBand="0" w:evenHBand="0" w:firstRowFirstColumn="0" w:firstRowLastColumn="0" w:lastRowFirstColumn="0" w:lastRowLastColumn="0"/>
            <w:tcW w:w="1415" w:type="dxa"/>
            <w:shd w:val="clear" w:color="auto" w:fill="auto"/>
            <w:tcMar>
              <w:left w:w="29" w:type="dxa"/>
              <w:right w:w="29" w:type="dxa"/>
            </w:tcMar>
            <w:vAlign w:val="bottom"/>
          </w:tcPr>
          <w:p w14:paraId="43DA5BF8" w14:textId="77777777" w:rsidR="00A016B5" w:rsidRPr="006B4E19" w:rsidRDefault="00A016B5" w:rsidP="00442AEA">
            <w:pPr>
              <w:pStyle w:val="Normal2"/>
              <w:spacing w:line="360" w:lineRule="auto"/>
              <w:contextualSpacing/>
              <w:rPr>
                <w:b w:val="0"/>
                <w:sz w:val="20"/>
              </w:rPr>
            </w:pPr>
            <w:r w:rsidRPr="006B4E19">
              <w:rPr>
                <w:b w:val="0"/>
                <w:sz w:val="20"/>
              </w:rPr>
              <w:t>Female sex</w:t>
            </w:r>
          </w:p>
        </w:tc>
        <w:tc>
          <w:tcPr>
            <w:tcW w:w="1406" w:type="dxa"/>
            <w:shd w:val="clear" w:color="auto" w:fill="auto"/>
            <w:tcMar>
              <w:left w:w="29" w:type="dxa"/>
              <w:right w:w="29" w:type="dxa"/>
            </w:tcMar>
            <w:vAlign w:val="bottom"/>
          </w:tcPr>
          <w:p w14:paraId="2B070AB1" w14:textId="77777777" w:rsidR="00A016B5" w:rsidRPr="006B4E19" w:rsidRDefault="003B1B37" w:rsidP="003B1B37">
            <w:pPr>
              <w:pStyle w:val="Normal2"/>
              <w:spacing w:line="360" w:lineRule="auto"/>
              <w:contextualSpacing/>
              <w:cnfStyle w:val="000000000000" w:firstRow="0" w:lastRow="0" w:firstColumn="0" w:lastColumn="0" w:oddVBand="0" w:evenVBand="0" w:oddHBand="0" w:evenHBand="0" w:firstRowFirstColumn="0" w:firstRowLastColumn="0" w:lastRowFirstColumn="0" w:lastRowLastColumn="0"/>
              <w:rPr>
                <w:sz w:val="20"/>
              </w:rPr>
            </w:pPr>
            <w:r>
              <w:rPr>
                <w:sz w:val="20"/>
              </w:rPr>
              <w:t>57</w:t>
            </w:r>
            <w:r w:rsidR="00D63D21" w:rsidRPr="006B4E19">
              <w:rPr>
                <w:sz w:val="20"/>
              </w:rPr>
              <w:t xml:space="preserve"> </w:t>
            </w:r>
            <w:r>
              <w:rPr>
                <w:sz w:val="20"/>
              </w:rPr>
              <w:t>340</w:t>
            </w:r>
            <w:r w:rsidR="00527F94" w:rsidRPr="006B4E19">
              <w:rPr>
                <w:sz w:val="20"/>
              </w:rPr>
              <w:t xml:space="preserve"> (</w:t>
            </w:r>
            <w:r w:rsidR="00D63D21" w:rsidRPr="006B4E19">
              <w:rPr>
                <w:sz w:val="20"/>
              </w:rPr>
              <w:t>59</w:t>
            </w:r>
            <w:r>
              <w:rPr>
                <w:sz w:val="20"/>
              </w:rPr>
              <w:t>)</w:t>
            </w:r>
          </w:p>
        </w:tc>
        <w:tc>
          <w:tcPr>
            <w:tcW w:w="988" w:type="dxa"/>
            <w:shd w:val="clear" w:color="auto" w:fill="auto"/>
            <w:tcMar>
              <w:left w:w="29" w:type="dxa"/>
              <w:right w:w="29" w:type="dxa"/>
            </w:tcMar>
            <w:vAlign w:val="bottom"/>
          </w:tcPr>
          <w:p w14:paraId="4831FAB9" w14:textId="77777777" w:rsidR="00A016B5" w:rsidRPr="006B4E19" w:rsidRDefault="00CC450C" w:rsidP="00D80CA8">
            <w:pPr>
              <w:pStyle w:val="Normal2"/>
              <w:spacing w:line="360" w:lineRule="auto"/>
              <w:contextualSpacing/>
              <w:cnfStyle w:val="000000000000" w:firstRow="0" w:lastRow="0" w:firstColumn="0" w:lastColumn="0" w:oddVBand="0" w:evenVBand="0" w:oddHBand="0" w:evenHBand="0" w:firstRowFirstColumn="0" w:firstRowLastColumn="0" w:lastRowFirstColumn="0" w:lastRowLastColumn="0"/>
              <w:rPr>
                <w:sz w:val="20"/>
              </w:rPr>
            </w:pPr>
            <w:r>
              <w:rPr>
                <w:sz w:val="20"/>
              </w:rPr>
              <w:t>254</w:t>
            </w:r>
            <w:r w:rsidR="00527F94" w:rsidRPr="006B4E19">
              <w:rPr>
                <w:sz w:val="20"/>
              </w:rPr>
              <w:t xml:space="preserve"> (</w:t>
            </w:r>
            <w:r w:rsidR="00D80CA8" w:rsidRPr="006B4E19">
              <w:rPr>
                <w:sz w:val="20"/>
              </w:rPr>
              <w:t>52</w:t>
            </w:r>
            <w:r w:rsidR="00527F94" w:rsidRPr="006B4E19">
              <w:rPr>
                <w:sz w:val="20"/>
              </w:rPr>
              <w:t>)</w:t>
            </w:r>
          </w:p>
        </w:tc>
        <w:tc>
          <w:tcPr>
            <w:tcW w:w="1188" w:type="dxa"/>
            <w:shd w:val="clear" w:color="auto" w:fill="auto"/>
            <w:tcMar>
              <w:left w:w="29" w:type="dxa"/>
              <w:right w:w="29" w:type="dxa"/>
            </w:tcMar>
            <w:vAlign w:val="bottom"/>
          </w:tcPr>
          <w:p w14:paraId="406C5D8E" w14:textId="77777777" w:rsidR="00A016B5" w:rsidRPr="006B4E19" w:rsidRDefault="00D63D21" w:rsidP="00442AEA">
            <w:pPr>
              <w:pStyle w:val="Normal2"/>
              <w:spacing w:line="360" w:lineRule="auto"/>
              <w:contextualSpacing/>
              <w:cnfStyle w:val="000000000000" w:firstRow="0" w:lastRow="0" w:firstColumn="0" w:lastColumn="0" w:oddVBand="0" w:evenVBand="0" w:oddHBand="0" w:evenHBand="0" w:firstRowFirstColumn="0" w:firstRowLastColumn="0" w:lastRowFirstColumn="0" w:lastRowLastColumn="0"/>
              <w:rPr>
                <w:sz w:val="20"/>
              </w:rPr>
            </w:pPr>
            <w:r w:rsidRPr="006B4E19">
              <w:rPr>
                <w:sz w:val="20"/>
              </w:rPr>
              <w:t>0 (1)</w:t>
            </w:r>
          </w:p>
        </w:tc>
        <w:tc>
          <w:tcPr>
            <w:tcW w:w="1329" w:type="dxa"/>
            <w:shd w:val="clear" w:color="auto" w:fill="auto"/>
            <w:tcMar>
              <w:left w:w="29" w:type="dxa"/>
              <w:right w:w="29" w:type="dxa"/>
            </w:tcMar>
            <w:vAlign w:val="bottom"/>
          </w:tcPr>
          <w:p w14:paraId="184DDBF7" w14:textId="77777777" w:rsidR="00A016B5" w:rsidRPr="006B4E19" w:rsidRDefault="00D63D21" w:rsidP="003B1B37">
            <w:pPr>
              <w:pStyle w:val="Normal2"/>
              <w:spacing w:line="360" w:lineRule="auto"/>
              <w:contextualSpacing/>
              <w:cnfStyle w:val="000000000000" w:firstRow="0" w:lastRow="0" w:firstColumn="0" w:lastColumn="0" w:oddVBand="0" w:evenVBand="0" w:oddHBand="0" w:evenHBand="0" w:firstRowFirstColumn="0" w:firstRowLastColumn="0" w:lastRowFirstColumn="0" w:lastRowLastColumn="0"/>
              <w:rPr>
                <w:sz w:val="20"/>
              </w:rPr>
            </w:pPr>
            <w:r w:rsidRPr="006B4E19">
              <w:rPr>
                <w:sz w:val="20"/>
              </w:rPr>
              <w:t>101</w:t>
            </w:r>
            <w:r w:rsidR="00F80619" w:rsidRPr="006B4E19">
              <w:rPr>
                <w:sz w:val="20"/>
              </w:rPr>
              <w:t xml:space="preserve"> </w:t>
            </w:r>
            <w:r w:rsidR="003B1B37">
              <w:rPr>
                <w:sz w:val="20"/>
              </w:rPr>
              <w:t>469</w:t>
            </w:r>
            <w:r w:rsidR="00527F94" w:rsidRPr="006B4E19">
              <w:rPr>
                <w:sz w:val="20"/>
              </w:rPr>
              <w:t xml:space="preserve"> (</w:t>
            </w:r>
            <w:r w:rsidR="003B1B37">
              <w:rPr>
                <w:sz w:val="20"/>
              </w:rPr>
              <w:t>59</w:t>
            </w:r>
            <w:r w:rsidR="00527F94" w:rsidRPr="006B4E19">
              <w:rPr>
                <w:sz w:val="20"/>
              </w:rPr>
              <w:t>)</w:t>
            </w:r>
          </w:p>
        </w:tc>
        <w:tc>
          <w:tcPr>
            <w:tcW w:w="1019" w:type="dxa"/>
            <w:shd w:val="clear" w:color="auto" w:fill="auto"/>
            <w:tcMar>
              <w:left w:w="29" w:type="dxa"/>
              <w:right w:w="29" w:type="dxa"/>
            </w:tcMar>
            <w:vAlign w:val="bottom"/>
          </w:tcPr>
          <w:p w14:paraId="7DFC623A" w14:textId="77777777" w:rsidR="00A016B5" w:rsidRPr="006B4E19" w:rsidRDefault="00CC450C" w:rsidP="00CC450C">
            <w:pPr>
              <w:pStyle w:val="Normal2"/>
              <w:spacing w:line="360" w:lineRule="auto"/>
              <w:contextualSpacing/>
              <w:cnfStyle w:val="000000000000" w:firstRow="0" w:lastRow="0" w:firstColumn="0" w:lastColumn="0" w:oddVBand="0" w:evenVBand="0" w:oddHBand="0" w:evenHBand="0" w:firstRowFirstColumn="0" w:firstRowLastColumn="0" w:lastRowFirstColumn="0" w:lastRowLastColumn="0"/>
              <w:rPr>
                <w:sz w:val="20"/>
              </w:rPr>
            </w:pPr>
            <w:r>
              <w:rPr>
                <w:sz w:val="20"/>
              </w:rPr>
              <w:t>408</w:t>
            </w:r>
            <w:r w:rsidR="00527F94" w:rsidRPr="006B4E19">
              <w:rPr>
                <w:sz w:val="20"/>
              </w:rPr>
              <w:t xml:space="preserve"> (</w:t>
            </w:r>
            <w:r>
              <w:rPr>
                <w:sz w:val="20"/>
              </w:rPr>
              <w:t>52</w:t>
            </w:r>
            <w:r w:rsidR="00527F94" w:rsidRPr="006B4E19">
              <w:rPr>
                <w:sz w:val="20"/>
              </w:rPr>
              <w:t>)</w:t>
            </w:r>
          </w:p>
        </w:tc>
        <w:tc>
          <w:tcPr>
            <w:tcW w:w="1147" w:type="dxa"/>
            <w:shd w:val="clear" w:color="auto" w:fill="auto"/>
            <w:tcMar>
              <w:left w:w="29" w:type="dxa"/>
              <w:right w:w="29" w:type="dxa"/>
            </w:tcMar>
            <w:vAlign w:val="bottom"/>
          </w:tcPr>
          <w:p w14:paraId="5651408F" w14:textId="77777777" w:rsidR="00A016B5" w:rsidRPr="006B4E19" w:rsidRDefault="00D63D21" w:rsidP="00442AEA">
            <w:pPr>
              <w:pStyle w:val="Normal2"/>
              <w:spacing w:line="360" w:lineRule="auto"/>
              <w:contextualSpacing/>
              <w:cnfStyle w:val="000000000000" w:firstRow="0" w:lastRow="0" w:firstColumn="0" w:lastColumn="0" w:oddVBand="0" w:evenVBand="0" w:oddHBand="0" w:evenHBand="0" w:firstRowFirstColumn="0" w:firstRowLastColumn="0" w:lastRowFirstColumn="0" w:lastRowLastColumn="0"/>
              <w:rPr>
                <w:sz w:val="20"/>
              </w:rPr>
            </w:pPr>
            <w:r w:rsidRPr="006B4E19">
              <w:rPr>
                <w:sz w:val="20"/>
              </w:rPr>
              <w:t>0 (1)</w:t>
            </w:r>
          </w:p>
        </w:tc>
      </w:tr>
      <w:tr w:rsidR="006B4E19" w:rsidRPr="006B4E19" w14:paraId="33C941CE" w14:textId="77777777" w:rsidTr="00C417E6">
        <w:trPr>
          <w:cnfStyle w:val="000000100000" w:firstRow="0" w:lastRow="0" w:firstColumn="0" w:lastColumn="0" w:oddVBand="0" w:evenVBand="0" w:oddHBand="1" w:evenHBand="0" w:firstRowFirstColumn="0" w:firstRowLastColumn="0" w:lastRowFirstColumn="0" w:lastRowLastColumn="0"/>
          <w:divId w:val="1194727850"/>
          <w:trHeight w:val="62"/>
        </w:trPr>
        <w:tc>
          <w:tcPr>
            <w:cnfStyle w:val="001000000000" w:firstRow="0" w:lastRow="0" w:firstColumn="1" w:lastColumn="0" w:oddVBand="0" w:evenVBand="0" w:oddHBand="0" w:evenHBand="0" w:firstRowFirstColumn="0" w:firstRowLastColumn="0" w:lastRowFirstColumn="0" w:lastRowLastColumn="0"/>
            <w:tcW w:w="1415" w:type="dxa"/>
            <w:shd w:val="clear" w:color="auto" w:fill="auto"/>
            <w:tcMar>
              <w:left w:w="29" w:type="dxa"/>
              <w:right w:w="29" w:type="dxa"/>
            </w:tcMar>
            <w:vAlign w:val="bottom"/>
          </w:tcPr>
          <w:p w14:paraId="0E202E79" w14:textId="77777777" w:rsidR="00A016B5" w:rsidRPr="006B4E19" w:rsidRDefault="00A016B5" w:rsidP="00442AEA">
            <w:pPr>
              <w:pStyle w:val="Normal2"/>
              <w:spacing w:line="360" w:lineRule="auto"/>
              <w:contextualSpacing/>
              <w:rPr>
                <w:b w:val="0"/>
                <w:sz w:val="20"/>
              </w:rPr>
            </w:pPr>
            <w:r w:rsidRPr="006B4E19">
              <w:rPr>
                <w:b w:val="0"/>
                <w:sz w:val="20"/>
              </w:rPr>
              <w:t>Age</w:t>
            </w:r>
            <w:r w:rsidR="00633311" w:rsidRPr="006B4E19">
              <w:rPr>
                <w:b w:val="0"/>
                <w:sz w:val="20"/>
                <w:vertAlign w:val="superscript"/>
              </w:rPr>
              <w:t>b</w:t>
            </w:r>
          </w:p>
        </w:tc>
        <w:tc>
          <w:tcPr>
            <w:tcW w:w="1406" w:type="dxa"/>
            <w:shd w:val="clear" w:color="auto" w:fill="auto"/>
            <w:tcMar>
              <w:left w:w="29" w:type="dxa"/>
              <w:right w:w="29" w:type="dxa"/>
            </w:tcMar>
            <w:vAlign w:val="bottom"/>
          </w:tcPr>
          <w:p w14:paraId="03A396FA" w14:textId="77777777" w:rsidR="00A016B5" w:rsidRPr="006B4E19" w:rsidRDefault="00A016B5" w:rsidP="00442AEA">
            <w:pPr>
              <w:pStyle w:val="Normal2"/>
              <w:spacing w:line="360" w:lineRule="auto"/>
              <w:contextualSpacing/>
              <w:cnfStyle w:val="000000100000" w:firstRow="0" w:lastRow="0" w:firstColumn="0" w:lastColumn="0" w:oddVBand="0" w:evenVBand="0" w:oddHBand="1" w:evenHBand="0" w:firstRowFirstColumn="0" w:firstRowLastColumn="0" w:lastRowFirstColumn="0" w:lastRowLastColumn="0"/>
              <w:rPr>
                <w:sz w:val="20"/>
              </w:rPr>
            </w:pPr>
          </w:p>
        </w:tc>
        <w:tc>
          <w:tcPr>
            <w:tcW w:w="988" w:type="dxa"/>
            <w:shd w:val="clear" w:color="auto" w:fill="auto"/>
            <w:tcMar>
              <w:left w:w="29" w:type="dxa"/>
              <w:right w:w="29" w:type="dxa"/>
            </w:tcMar>
            <w:vAlign w:val="bottom"/>
          </w:tcPr>
          <w:p w14:paraId="35E39F15" w14:textId="77777777" w:rsidR="00A016B5" w:rsidRPr="006B4E19" w:rsidRDefault="00A016B5" w:rsidP="00442AEA">
            <w:pPr>
              <w:pStyle w:val="Normal2"/>
              <w:spacing w:line="360" w:lineRule="auto"/>
              <w:contextualSpacing/>
              <w:cnfStyle w:val="000000100000" w:firstRow="0" w:lastRow="0" w:firstColumn="0" w:lastColumn="0" w:oddVBand="0" w:evenVBand="0" w:oddHBand="1" w:evenHBand="0" w:firstRowFirstColumn="0" w:firstRowLastColumn="0" w:lastRowFirstColumn="0" w:lastRowLastColumn="0"/>
              <w:rPr>
                <w:sz w:val="20"/>
              </w:rPr>
            </w:pPr>
          </w:p>
        </w:tc>
        <w:tc>
          <w:tcPr>
            <w:tcW w:w="1188" w:type="dxa"/>
            <w:shd w:val="clear" w:color="auto" w:fill="auto"/>
            <w:tcMar>
              <w:left w:w="29" w:type="dxa"/>
              <w:right w:w="29" w:type="dxa"/>
            </w:tcMar>
            <w:vAlign w:val="bottom"/>
          </w:tcPr>
          <w:p w14:paraId="785AAD2F" w14:textId="77777777" w:rsidR="00A016B5" w:rsidRPr="006B4E19" w:rsidRDefault="00A016B5" w:rsidP="00442AEA">
            <w:pPr>
              <w:pStyle w:val="Normal2"/>
              <w:spacing w:line="360" w:lineRule="auto"/>
              <w:contextualSpacing/>
              <w:cnfStyle w:val="000000100000" w:firstRow="0" w:lastRow="0" w:firstColumn="0" w:lastColumn="0" w:oddVBand="0" w:evenVBand="0" w:oddHBand="1" w:evenHBand="0" w:firstRowFirstColumn="0" w:firstRowLastColumn="0" w:lastRowFirstColumn="0" w:lastRowLastColumn="0"/>
              <w:rPr>
                <w:sz w:val="20"/>
              </w:rPr>
            </w:pPr>
          </w:p>
        </w:tc>
        <w:tc>
          <w:tcPr>
            <w:tcW w:w="1329" w:type="dxa"/>
            <w:shd w:val="clear" w:color="auto" w:fill="auto"/>
            <w:tcMar>
              <w:left w:w="29" w:type="dxa"/>
              <w:right w:w="29" w:type="dxa"/>
            </w:tcMar>
            <w:vAlign w:val="bottom"/>
          </w:tcPr>
          <w:p w14:paraId="49B2EBFE" w14:textId="77777777" w:rsidR="00A016B5" w:rsidRPr="006B4E19" w:rsidRDefault="00A016B5" w:rsidP="00442AEA">
            <w:pPr>
              <w:pStyle w:val="Normal2"/>
              <w:spacing w:line="360" w:lineRule="auto"/>
              <w:contextualSpacing/>
              <w:cnfStyle w:val="000000100000" w:firstRow="0" w:lastRow="0" w:firstColumn="0" w:lastColumn="0" w:oddVBand="0" w:evenVBand="0" w:oddHBand="1" w:evenHBand="0" w:firstRowFirstColumn="0" w:firstRowLastColumn="0" w:lastRowFirstColumn="0" w:lastRowLastColumn="0"/>
              <w:rPr>
                <w:sz w:val="20"/>
              </w:rPr>
            </w:pPr>
          </w:p>
        </w:tc>
        <w:tc>
          <w:tcPr>
            <w:tcW w:w="1019" w:type="dxa"/>
            <w:shd w:val="clear" w:color="auto" w:fill="auto"/>
            <w:tcMar>
              <w:left w:w="29" w:type="dxa"/>
              <w:right w:w="29" w:type="dxa"/>
            </w:tcMar>
            <w:vAlign w:val="bottom"/>
          </w:tcPr>
          <w:p w14:paraId="70145C4B" w14:textId="77777777" w:rsidR="00A016B5" w:rsidRPr="006B4E19" w:rsidRDefault="00A016B5" w:rsidP="00442AEA">
            <w:pPr>
              <w:pStyle w:val="Normal2"/>
              <w:spacing w:line="360" w:lineRule="auto"/>
              <w:contextualSpacing/>
              <w:cnfStyle w:val="000000100000" w:firstRow="0" w:lastRow="0" w:firstColumn="0" w:lastColumn="0" w:oddVBand="0" w:evenVBand="0" w:oddHBand="1" w:evenHBand="0" w:firstRowFirstColumn="0" w:firstRowLastColumn="0" w:lastRowFirstColumn="0" w:lastRowLastColumn="0"/>
              <w:rPr>
                <w:sz w:val="20"/>
              </w:rPr>
            </w:pPr>
          </w:p>
        </w:tc>
        <w:tc>
          <w:tcPr>
            <w:tcW w:w="1147" w:type="dxa"/>
            <w:shd w:val="clear" w:color="auto" w:fill="auto"/>
            <w:tcMar>
              <w:left w:w="29" w:type="dxa"/>
              <w:right w:w="29" w:type="dxa"/>
            </w:tcMar>
            <w:vAlign w:val="bottom"/>
          </w:tcPr>
          <w:p w14:paraId="58258E19" w14:textId="77777777" w:rsidR="00A016B5" w:rsidRPr="006B4E19" w:rsidRDefault="00A016B5" w:rsidP="00442AEA">
            <w:pPr>
              <w:pStyle w:val="Normal2"/>
              <w:spacing w:line="360" w:lineRule="auto"/>
              <w:contextualSpacing/>
              <w:cnfStyle w:val="000000100000" w:firstRow="0" w:lastRow="0" w:firstColumn="0" w:lastColumn="0" w:oddVBand="0" w:evenVBand="0" w:oddHBand="1" w:evenHBand="0" w:firstRowFirstColumn="0" w:firstRowLastColumn="0" w:lastRowFirstColumn="0" w:lastRowLastColumn="0"/>
              <w:rPr>
                <w:sz w:val="20"/>
              </w:rPr>
            </w:pPr>
          </w:p>
        </w:tc>
      </w:tr>
      <w:tr w:rsidR="006B4E19" w:rsidRPr="006B4E19" w14:paraId="06BBE52D" w14:textId="77777777" w:rsidTr="00C417E6">
        <w:trPr>
          <w:divId w:val="1194727850"/>
          <w:trHeight w:val="62"/>
        </w:trPr>
        <w:tc>
          <w:tcPr>
            <w:cnfStyle w:val="001000000000" w:firstRow="0" w:lastRow="0" w:firstColumn="1" w:lastColumn="0" w:oddVBand="0" w:evenVBand="0" w:oddHBand="0" w:evenHBand="0" w:firstRowFirstColumn="0" w:firstRowLastColumn="0" w:lastRowFirstColumn="0" w:lastRowLastColumn="0"/>
            <w:tcW w:w="1415" w:type="dxa"/>
            <w:shd w:val="clear" w:color="auto" w:fill="auto"/>
            <w:tcMar>
              <w:left w:w="29" w:type="dxa"/>
              <w:right w:w="29" w:type="dxa"/>
            </w:tcMar>
            <w:vAlign w:val="bottom"/>
          </w:tcPr>
          <w:p w14:paraId="4AEE44D1" w14:textId="77777777" w:rsidR="001B0587" w:rsidRPr="006B4E19" w:rsidRDefault="001B0587" w:rsidP="00442AEA">
            <w:pPr>
              <w:pStyle w:val="Normal2"/>
              <w:spacing w:line="360" w:lineRule="auto"/>
              <w:contextualSpacing/>
              <w:rPr>
                <w:b w:val="0"/>
                <w:sz w:val="20"/>
              </w:rPr>
            </w:pPr>
            <w:r w:rsidRPr="006B4E19">
              <w:rPr>
                <w:b w:val="0"/>
                <w:sz w:val="20"/>
              </w:rPr>
              <w:t xml:space="preserve">  18-29</w:t>
            </w:r>
          </w:p>
        </w:tc>
        <w:tc>
          <w:tcPr>
            <w:tcW w:w="1406" w:type="dxa"/>
            <w:shd w:val="clear" w:color="auto" w:fill="auto"/>
            <w:tcMar>
              <w:left w:w="29" w:type="dxa"/>
              <w:right w:w="29" w:type="dxa"/>
            </w:tcMar>
            <w:vAlign w:val="bottom"/>
          </w:tcPr>
          <w:p w14:paraId="31D2DC9E" w14:textId="77777777" w:rsidR="001B0587" w:rsidRPr="006B4E19" w:rsidRDefault="007B3ABC" w:rsidP="007B3ABC">
            <w:pPr>
              <w:pStyle w:val="Normal2"/>
              <w:spacing w:line="360" w:lineRule="auto"/>
              <w:contextualSpacing/>
              <w:cnfStyle w:val="000000000000" w:firstRow="0" w:lastRow="0" w:firstColumn="0" w:lastColumn="0" w:oddVBand="0" w:evenVBand="0" w:oddHBand="0" w:evenHBand="0" w:firstRowFirstColumn="0" w:firstRowLastColumn="0" w:lastRowFirstColumn="0" w:lastRowLastColumn="0"/>
              <w:rPr>
                <w:sz w:val="20"/>
              </w:rPr>
            </w:pPr>
            <w:r>
              <w:rPr>
                <w:sz w:val="20"/>
              </w:rPr>
              <w:t>12</w:t>
            </w:r>
            <w:r w:rsidR="001B0587" w:rsidRPr="006B4E19">
              <w:rPr>
                <w:sz w:val="20"/>
              </w:rPr>
              <w:t xml:space="preserve"> </w:t>
            </w:r>
            <w:r>
              <w:rPr>
                <w:sz w:val="20"/>
              </w:rPr>
              <w:t>714</w:t>
            </w:r>
            <w:r w:rsidR="001B0587" w:rsidRPr="006B4E19">
              <w:rPr>
                <w:sz w:val="20"/>
              </w:rPr>
              <w:t xml:space="preserve"> (13)</w:t>
            </w:r>
          </w:p>
        </w:tc>
        <w:tc>
          <w:tcPr>
            <w:tcW w:w="988" w:type="dxa"/>
            <w:shd w:val="clear" w:color="auto" w:fill="auto"/>
            <w:tcMar>
              <w:left w:w="29" w:type="dxa"/>
              <w:right w:w="29" w:type="dxa"/>
            </w:tcMar>
            <w:vAlign w:val="bottom"/>
          </w:tcPr>
          <w:p w14:paraId="01667950" w14:textId="77777777" w:rsidR="001B0587" w:rsidRPr="006B4E19" w:rsidRDefault="007B3ABC" w:rsidP="007B3ABC">
            <w:pPr>
              <w:pStyle w:val="Normal2"/>
              <w:spacing w:line="360" w:lineRule="auto"/>
              <w:contextualSpacing/>
              <w:cnfStyle w:val="000000000000" w:firstRow="0" w:lastRow="0" w:firstColumn="0" w:lastColumn="0" w:oddVBand="0" w:evenVBand="0" w:oddHBand="0" w:evenHBand="0" w:firstRowFirstColumn="0" w:firstRowLastColumn="0" w:lastRowFirstColumn="0" w:lastRowLastColumn="0"/>
              <w:rPr>
                <w:sz w:val="20"/>
              </w:rPr>
            </w:pPr>
            <w:r>
              <w:rPr>
                <w:sz w:val="20"/>
              </w:rPr>
              <w:t>47</w:t>
            </w:r>
            <w:r w:rsidR="001B0587" w:rsidRPr="006B4E19">
              <w:rPr>
                <w:sz w:val="20"/>
              </w:rPr>
              <w:t xml:space="preserve"> (</w:t>
            </w:r>
            <w:r>
              <w:rPr>
                <w:sz w:val="20"/>
              </w:rPr>
              <w:t>10</w:t>
            </w:r>
            <w:r w:rsidR="001B0587" w:rsidRPr="006B4E19">
              <w:rPr>
                <w:sz w:val="20"/>
              </w:rPr>
              <w:t>)</w:t>
            </w:r>
          </w:p>
        </w:tc>
        <w:tc>
          <w:tcPr>
            <w:tcW w:w="1188" w:type="dxa"/>
            <w:vMerge w:val="restart"/>
            <w:shd w:val="clear" w:color="auto" w:fill="auto"/>
            <w:tcMar>
              <w:left w:w="29" w:type="dxa"/>
              <w:right w:w="29" w:type="dxa"/>
            </w:tcMar>
            <w:vAlign w:val="center"/>
          </w:tcPr>
          <w:p w14:paraId="5348925B" w14:textId="77777777" w:rsidR="001B0587" w:rsidRPr="006B4E19" w:rsidRDefault="00C417E6" w:rsidP="00C417E6">
            <w:pPr>
              <w:pStyle w:val="Normal2"/>
              <w:spacing w:line="360" w:lineRule="auto"/>
              <w:contextualSpacing/>
              <w:cnfStyle w:val="000000000000" w:firstRow="0" w:lastRow="0" w:firstColumn="0" w:lastColumn="0" w:oddVBand="0" w:evenVBand="0" w:oddHBand="0" w:evenHBand="0" w:firstRowFirstColumn="0" w:firstRowLastColumn="0" w:lastRowFirstColumn="0" w:lastRowLastColumn="0"/>
              <w:rPr>
                <w:sz w:val="20"/>
              </w:rPr>
            </w:pPr>
            <w:r>
              <w:rPr>
                <w:sz w:val="20"/>
              </w:rPr>
              <w:t>0.005</w:t>
            </w:r>
            <w:r w:rsidR="00A14212" w:rsidRPr="006B4E19">
              <w:rPr>
                <w:sz w:val="20"/>
              </w:rPr>
              <w:t xml:space="preserve"> (0.</w:t>
            </w:r>
            <w:r>
              <w:rPr>
                <w:sz w:val="20"/>
              </w:rPr>
              <w:t>99</w:t>
            </w:r>
            <w:r w:rsidR="00A14212" w:rsidRPr="006B4E19">
              <w:rPr>
                <w:sz w:val="20"/>
              </w:rPr>
              <w:t>)</w:t>
            </w:r>
          </w:p>
        </w:tc>
        <w:tc>
          <w:tcPr>
            <w:tcW w:w="1329" w:type="dxa"/>
            <w:shd w:val="clear" w:color="auto" w:fill="auto"/>
            <w:tcMar>
              <w:left w:w="29" w:type="dxa"/>
              <w:right w:w="29" w:type="dxa"/>
            </w:tcMar>
            <w:vAlign w:val="bottom"/>
          </w:tcPr>
          <w:p w14:paraId="222391EA" w14:textId="77777777" w:rsidR="001B0587" w:rsidRPr="006B4E19" w:rsidRDefault="00783AA0" w:rsidP="007B3ABC">
            <w:pPr>
              <w:pStyle w:val="Normal2"/>
              <w:spacing w:line="360" w:lineRule="auto"/>
              <w:contextualSpacing/>
              <w:cnfStyle w:val="000000000000" w:firstRow="0" w:lastRow="0" w:firstColumn="0" w:lastColumn="0" w:oddVBand="0" w:evenVBand="0" w:oddHBand="0" w:evenHBand="0" w:firstRowFirstColumn="0" w:firstRowLastColumn="0" w:lastRowFirstColumn="0" w:lastRowLastColumn="0"/>
              <w:rPr>
                <w:sz w:val="20"/>
              </w:rPr>
            </w:pPr>
            <w:r w:rsidRPr="006B4E19">
              <w:rPr>
                <w:sz w:val="20"/>
              </w:rPr>
              <w:t>22</w:t>
            </w:r>
            <w:r w:rsidR="001B0587" w:rsidRPr="006B4E19">
              <w:rPr>
                <w:sz w:val="20"/>
              </w:rPr>
              <w:t xml:space="preserve"> </w:t>
            </w:r>
            <w:r w:rsidR="007B3ABC">
              <w:rPr>
                <w:sz w:val="20"/>
              </w:rPr>
              <w:t>265</w:t>
            </w:r>
            <w:r w:rsidR="001B0587" w:rsidRPr="006B4E19">
              <w:rPr>
                <w:sz w:val="20"/>
              </w:rPr>
              <w:t xml:space="preserve"> (13)</w:t>
            </w:r>
          </w:p>
        </w:tc>
        <w:tc>
          <w:tcPr>
            <w:tcW w:w="1019" w:type="dxa"/>
            <w:shd w:val="clear" w:color="auto" w:fill="auto"/>
            <w:tcMar>
              <w:left w:w="29" w:type="dxa"/>
              <w:right w:w="29" w:type="dxa"/>
            </w:tcMar>
            <w:vAlign w:val="bottom"/>
          </w:tcPr>
          <w:p w14:paraId="49A18FAE" w14:textId="77777777" w:rsidR="001B0587" w:rsidRPr="006B4E19" w:rsidRDefault="007B3ABC" w:rsidP="00442AEA">
            <w:pPr>
              <w:pStyle w:val="Normal2"/>
              <w:spacing w:line="360" w:lineRule="auto"/>
              <w:contextualSpacing/>
              <w:cnfStyle w:val="000000000000" w:firstRow="0" w:lastRow="0" w:firstColumn="0" w:lastColumn="0" w:oddVBand="0" w:evenVBand="0" w:oddHBand="0" w:evenHBand="0" w:firstRowFirstColumn="0" w:firstRowLastColumn="0" w:lastRowFirstColumn="0" w:lastRowLastColumn="0"/>
              <w:rPr>
                <w:sz w:val="20"/>
              </w:rPr>
            </w:pPr>
            <w:r>
              <w:rPr>
                <w:sz w:val="20"/>
              </w:rPr>
              <w:t>79</w:t>
            </w:r>
            <w:r w:rsidR="00992026" w:rsidRPr="006B4E19">
              <w:rPr>
                <w:sz w:val="20"/>
              </w:rPr>
              <w:t xml:space="preserve"> (9</w:t>
            </w:r>
            <w:r w:rsidR="001B0587" w:rsidRPr="006B4E19">
              <w:rPr>
                <w:sz w:val="20"/>
              </w:rPr>
              <w:t>)</w:t>
            </w:r>
          </w:p>
        </w:tc>
        <w:tc>
          <w:tcPr>
            <w:tcW w:w="1147" w:type="dxa"/>
            <w:vMerge w:val="restart"/>
            <w:shd w:val="clear" w:color="auto" w:fill="auto"/>
            <w:tcMar>
              <w:left w:w="29" w:type="dxa"/>
              <w:right w:w="29" w:type="dxa"/>
            </w:tcMar>
            <w:vAlign w:val="center"/>
          </w:tcPr>
          <w:p w14:paraId="5611DF99" w14:textId="77777777" w:rsidR="001B0587" w:rsidRPr="006B4E19" w:rsidRDefault="00C417E6" w:rsidP="00C417E6">
            <w:pPr>
              <w:pStyle w:val="Normal2"/>
              <w:spacing w:line="360" w:lineRule="auto"/>
              <w:contextualSpacing/>
              <w:cnfStyle w:val="000000000000" w:firstRow="0" w:lastRow="0" w:firstColumn="0" w:lastColumn="0" w:oddVBand="0" w:evenVBand="0" w:oddHBand="0" w:evenHBand="0" w:firstRowFirstColumn="0" w:firstRowLastColumn="0" w:lastRowFirstColumn="0" w:lastRowLastColumn="0"/>
              <w:rPr>
                <w:sz w:val="20"/>
              </w:rPr>
            </w:pPr>
            <w:r>
              <w:rPr>
                <w:sz w:val="20"/>
              </w:rPr>
              <w:t>0.003</w:t>
            </w:r>
            <w:r w:rsidR="00A14212" w:rsidRPr="006B4E19">
              <w:rPr>
                <w:sz w:val="20"/>
              </w:rPr>
              <w:t xml:space="preserve"> (0.</w:t>
            </w:r>
            <w:r>
              <w:rPr>
                <w:sz w:val="20"/>
              </w:rPr>
              <w:t>98</w:t>
            </w:r>
            <w:r w:rsidR="00A14212" w:rsidRPr="006B4E19">
              <w:rPr>
                <w:sz w:val="20"/>
              </w:rPr>
              <w:t>)</w:t>
            </w:r>
          </w:p>
        </w:tc>
      </w:tr>
      <w:tr w:rsidR="006B4E19" w:rsidRPr="006B4E19" w14:paraId="1AD52DFD" w14:textId="77777777" w:rsidTr="00C417E6">
        <w:trPr>
          <w:cnfStyle w:val="000000100000" w:firstRow="0" w:lastRow="0" w:firstColumn="0" w:lastColumn="0" w:oddVBand="0" w:evenVBand="0" w:oddHBand="1" w:evenHBand="0" w:firstRowFirstColumn="0" w:firstRowLastColumn="0" w:lastRowFirstColumn="0" w:lastRowLastColumn="0"/>
          <w:divId w:val="1194727850"/>
          <w:trHeight w:val="62"/>
        </w:trPr>
        <w:tc>
          <w:tcPr>
            <w:cnfStyle w:val="001000000000" w:firstRow="0" w:lastRow="0" w:firstColumn="1" w:lastColumn="0" w:oddVBand="0" w:evenVBand="0" w:oddHBand="0" w:evenHBand="0" w:firstRowFirstColumn="0" w:firstRowLastColumn="0" w:lastRowFirstColumn="0" w:lastRowLastColumn="0"/>
            <w:tcW w:w="1415" w:type="dxa"/>
            <w:shd w:val="clear" w:color="auto" w:fill="auto"/>
            <w:tcMar>
              <w:left w:w="29" w:type="dxa"/>
              <w:right w:w="29" w:type="dxa"/>
            </w:tcMar>
            <w:vAlign w:val="bottom"/>
          </w:tcPr>
          <w:p w14:paraId="715394BC" w14:textId="77777777" w:rsidR="001B0587" w:rsidRPr="006B4E19" w:rsidRDefault="001B0587" w:rsidP="00442AEA">
            <w:pPr>
              <w:pStyle w:val="Normal2"/>
              <w:spacing w:line="360" w:lineRule="auto"/>
              <w:contextualSpacing/>
              <w:rPr>
                <w:b w:val="0"/>
                <w:sz w:val="20"/>
              </w:rPr>
            </w:pPr>
            <w:r w:rsidRPr="006B4E19">
              <w:rPr>
                <w:b w:val="0"/>
                <w:sz w:val="20"/>
              </w:rPr>
              <w:t xml:space="preserve">  30-44</w:t>
            </w:r>
          </w:p>
        </w:tc>
        <w:tc>
          <w:tcPr>
            <w:tcW w:w="1406" w:type="dxa"/>
            <w:shd w:val="clear" w:color="auto" w:fill="auto"/>
            <w:tcMar>
              <w:left w:w="29" w:type="dxa"/>
              <w:right w:w="29" w:type="dxa"/>
            </w:tcMar>
            <w:vAlign w:val="bottom"/>
          </w:tcPr>
          <w:p w14:paraId="2E7DE2A4" w14:textId="77777777" w:rsidR="001B0587" w:rsidRPr="006B4E19" w:rsidRDefault="007B3ABC" w:rsidP="007B3ABC">
            <w:pPr>
              <w:pStyle w:val="Normal2"/>
              <w:spacing w:line="360" w:lineRule="auto"/>
              <w:contextualSpacing/>
              <w:cnfStyle w:val="000000100000" w:firstRow="0" w:lastRow="0" w:firstColumn="0" w:lastColumn="0" w:oddVBand="0" w:evenVBand="0" w:oddHBand="1" w:evenHBand="0" w:firstRowFirstColumn="0" w:firstRowLastColumn="0" w:lastRowFirstColumn="0" w:lastRowLastColumn="0"/>
              <w:rPr>
                <w:sz w:val="20"/>
              </w:rPr>
            </w:pPr>
            <w:r>
              <w:rPr>
                <w:sz w:val="20"/>
              </w:rPr>
              <w:t>22</w:t>
            </w:r>
            <w:r w:rsidR="001B0587" w:rsidRPr="006B4E19">
              <w:rPr>
                <w:sz w:val="20"/>
              </w:rPr>
              <w:t xml:space="preserve"> </w:t>
            </w:r>
            <w:r>
              <w:rPr>
                <w:sz w:val="20"/>
              </w:rPr>
              <w:t>430</w:t>
            </w:r>
            <w:r w:rsidR="001B0587" w:rsidRPr="006B4E19">
              <w:rPr>
                <w:sz w:val="20"/>
              </w:rPr>
              <w:t xml:space="preserve"> (23)</w:t>
            </w:r>
          </w:p>
        </w:tc>
        <w:tc>
          <w:tcPr>
            <w:tcW w:w="988" w:type="dxa"/>
            <w:shd w:val="clear" w:color="auto" w:fill="auto"/>
            <w:tcMar>
              <w:left w:w="29" w:type="dxa"/>
              <w:right w:w="29" w:type="dxa"/>
            </w:tcMar>
            <w:vAlign w:val="bottom"/>
          </w:tcPr>
          <w:p w14:paraId="2E6C6840" w14:textId="77777777" w:rsidR="001B0587" w:rsidRPr="006B4E19" w:rsidRDefault="007B3ABC" w:rsidP="007B3ABC">
            <w:pPr>
              <w:pStyle w:val="Normal2"/>
              <w:spacing w:line="360" w:lineRule="auto"/>
              <w:contextualSpacing/>
              <w:cnfStyle w:val="000000100000" w:firstRow="0" w:lastRow="0" w:firstColumn="0" w:lastColumn="0" w:oddVBand="0" w:evenVBand="0" w:oddHBand="1" w:evenHBand="0" w:firstRowFirstColumn="0" w:firstRowLastColumn="0" w:lastRowFirstColumn="0" w:lastRowLastColumn="0"/>
              <w:rPr>
                <w:sz w:val="20"/>
              </w:rPr>
            </w:pPr>
            <w:r>
              <w:rPr>
                <w:sz w:val="20"/>
              </w:rPr>
              <w:t>72</w:t>
            </w:r>
            <w:r w:rsidR="001B0587" w:rsidRPr="006B4E19">
              <w:rPr>
                <w:sz w:val="20"/>
              </w:rPr>
              <w:t xml:space="preserve"> (</w:t>
            </w:r>
            <w:r>
              <w:rPr>
                <w:sz w:val="20"/>
              </w:rPr>
              <w:t>15</w:t>
            </w:r>
            <w:r w:rsidR="001B0587" w:rsidRPr="006B4E19">
              <w:rPr>
                <w:sz w:val="20"/>
              </w:rPr>
              <w:t>)</w:t>
            </w:r>
          </w:p>
        </w:tc>
        <w:tc>
          <w:tcPr>
            <w:tcW w:w="1188" w:type="dxa"/>
            <w:vMerge/>
            <w:shd w:val="clear" w:color="auto" w:fill="auto"/>
            <w:tcMar>
              <w:left w:w="29" w:type="dxa"/>
              <w:right w:w="29" w:type="dxa"/>
            </w:tcMar>
            <w:vAlign w:val="bottom"/>
          </w:tcPr>
          <w:p w14:paraId="0FE81B59" w14:textId="77777777" w:rsidR="001B0587" w:rsidRPr="006B4E19" w:rsidRDefault="001B0587" w:rsidP="00442AEA">
            <w:pPr>
              <w:pStyle w:val="Normal2"/>
              <w:spacing w:line="360" w:lineRule="auto"/>
              <w:contextualSpacing/>
              <w:cnfStyle w:val="000000100000" w:firstRow="0" w:lastRow="0" w:firstColumn="0" w:lastColumn="0" w:oddVBand="0" w:evenVBand="0" w:oddHBand="1" w:evenHBand="0" w:firstRowFirstColumn="0" w:firstRowLastColumn="0" w:lastRowFirstColumn="0" w:lastRowLastColumn="0"/>
              <w:rPr>
                <w:sz w:val="20"/>
              </w:rPr>
            </w:pPr>
          </w:p>
        </w:tc>
        <w:tc>
          <w:tcPr>
            <w:tcW w:w="1329" w:type="dxa"/>
            <w:shd w:val="clear" w:color="auto" w:fill="auto"/>
            <w:tcMar>
              <w:left w:w="29" w:type="dxa"/>
              <w:right w:w="29" w:type="dxa"/>
            </w:tcMar>
            <w:vAlign w:val="bottom"/>
          </w:tcPr>
          <w:p w14:paraId="566DCC5E" w14:textId="77777777" w:rsidR="001B0587" w:rsidRPr="006B4E19" w:rsidRDefault="00783AA0" w:rsidP="007B3ABC">
            <w:pPr>
              <w:pStyle w:val="Normal2"/>
              <w:spacing w:line="360" w:lineRule="auto"/>
              <w:contextualSpacing/>
              <w:cnfStyle w:val="000000100000" w:firstRow="0" w:lastRow="0" w:firstColumn="0" w:lastColumn="0" w:oddVBand="0" w:evenVBand="0" w:oddHBand="1" w:evenHBand="0" w:firstRowFirstColumn="0" w:firstRowLastColumn="0" w:lastRowFirstColumn="0" w:lastRowLastColumn="0"/>
              <w:rPr>
                <w:sz w:val="20"/>
              </w:rPr>
            </w:pPr>
            <w:r w:rsidRPr="006B4E19">
              <w:rPr>
                <w:sz w:val="20"/>
              </w:rPr>
              <w:t>38</w:t>
            </w:r>
            <w:r w:rsidR="001B0587" w:rsidRPr="006B4E19">
              <w:rPr>
                <w:sz w:val="20"/>
              </w:rPr>
              <w:t xml:space="preserve"> </w:t>
            </w:r>
            <w:r w:rsidR="007B3ABC">
              <w:rPr>
                <w:sz w:val="20"/>
              </w:rPr>
              <w:t>879</w:t>
            </w:r>
            <w:r w:rsidR="001B0587" w:rsidRPr="006B4E19">
              <w:rPr>
                <w:sz w:val="20"/>
              </w:rPr>
              <w:t xml:space="preserve"> (23)</w:t>
            </w:r>
          </w:p>
        </w:tc>
        <w:tc>
          <w:tcPr>
            <w:tcW w:w="1019" w:type="dxa"/>
            <w:shd w:val="clear" w:color="auto" w:fill="auto"/>
            <w:tcMar>
              <w:left w:w="29" w:type="dxa"/>
              <w:right w:w="29" w:type="dxa"/>
            </w:tcMar>
            <w:vAlign w:val="bottom"/>
          </w:tcPr>
          <w:p w14:paraId="4D462457" w14:textId="77777777" w:rsidR="001B0587" w:rsidRPr="006B4E19" w:rsidRDefault="007B3ABC" w:rsidP="001975D0">
            <w:pPr>
              <w:pStyle w:val="Normal2"/>
              <w:spacing w:line="360" w:lineRule="auto"/>
              <w:contextualSpacing/>
              <w:cnfStyle w:val="000000100000" w:firstRow="0" w:lastRow="0" w:firstColumn="0" w:lastColumn="0" w:oddVBand="0" w:evenVBand="0" w:oddHBand="1" w:evenHBand="0" w:firstRowFirstColumn="0" w:firstRowLastColumn="0" w:lastRowFirstColumn="0" w:lastRowLastColumn="0"/>
              <w:rPr>
                <w:sz w:val="20"/>
              </w:rPr>
            </w:pPr>
            <w:r>
              <w:rPr>
                <w:sz w:val="20"/>
              </w:rPr>
              <w:t>124</w:t>
            </w:r>
            <w:r w:rsidR="001B0587" w:rsidRPr="006B4E19">
              <w:rPr>
                <w:sz w:val="20"/>
              </w:rPr>
              <w:t xml:space="preserve"> (</w:t>
            </w:r>
            <w:r w:rsidR="001975D0">
              <w:rPr>
                <w:sz w:val="20"/>
              </w:rPr>
              <w:t>13</w:t>
            </w:r>
            <w:r w:rsidR="001B0587" w:rsidRPr="006B4E19">
              <w:rPr>
                <w:sz w:val="20"/>
              </w:rPr>
              <w:t>)</w:t>
            </w:r>
          </w:p>
        </w:tc>
        <w:tc>
          <w:tcPr>
            <w:tcW w:w="1147" w:type="dxa"/>
            <w:vMerge/>
            <w:shd w:val="clear" w:color="auto" w:fill="auto"/>
            <w:tcMar>
              <w:left w:w="29" w:type="dxa"/>
              <w:right w:w="29" w:type="dxa"/>
            </w:tcMar>
            <w:vAlign w:val="bottom"/>
          </w:tcPr>
          <w:p w14:paraId="16ECF08E" w14:textId="77777777" w:rsidR="001B0587" w:rsidRPr="006B4E19" w:rsidRDefault="001B0587" w:rsidP="00442AEA">
            <w:pPr>
              <w:pStyle w:val="Normal2"/>
              <w:spacing w:line="360" w:lineRule="auto"/>
              <w:contextualSpacing/>
              <w:cnfStyle w:val="000000100000" w:firstRow="0" w:lastRow="0" w:firstColumn="0" w:lastColumn="0" w:oddVBand="0" w:evenVBand="0" w:oddHBand="1" w:evenHBand="0" w:firstRowFirstColumn="0" w:firstRowLastColumn="0" w:lastRowFirstColumn="0" w:lastRowLastColumn="0"/>
              <w:rPr>
                <w:sz w:val="20"/>
              </w:rPr>
            </w:pPr>
          </w:p>
        </w:tc>
      </w:tr>
      <w:tr w:rsidR="006B4E19" w:rsidRPr="006B4E19" w14:paraId="49275B9A" w14:textId="77777777" w:rsidTr="00C417E6">
        <w:trPr>
          <w:divId w:val="1194727850"/>
          <w:trHeight w:val="62"/>
        </w:trPr>
        <w:tc>
          <w:tcPr>
            <w:cnfStyle w:val="001000000000" w:firstRow="0" w:lastRow="0" w:firstColumn="1" w:lastColumn="0" w:oddVBand="0" w:evenVBand="0" w:oddHBand="0" w:evenHBand="0" w:firstRowFirstColumn="0" w:firstRowLastColumn="0" w:lastRowFirstColumn="0" w:lastRowLastColumn="0"/>
            <w:tcW w:w="1415" w:type="dxa"/>
            <w:shd w:val="clear" w:color="auto" w:fill="auto"/>
            <w:tcMar>
              <w:left w:w="29" w:type="dxa"/>
              <w:right w:w="29" w:type="dxa"/>
            </w:tcMar>
            <w:vAlign w:val="bottom"/>
          </w:tcPr>
          <w:p w14:paraId="7F51F170" w14:textId="77777777" w:rsidR="001B0587" w:rsidRPr="006B4E19" w:rsidRDefault="001B0587" w:rsidP="00442AEA">
            <w:pPr>
              <w:pStyle w:val="Normal2"/>
              <w:spacing w:line="360" w:lineRule="auto"/>
              <w:contextualSpacing/>
              <w:rPr>
                <w:b w:val="0"/>
                <w:sz w:val="20"/>
              </w:rPr>
            </w:pPr>
            <w:r w:rsidRPr="006B4E19">
              <w:rPr>
                <w:b w:val="0"/>
                <w:sz w:val="20"/>
              </w:rPr>
              <w:t xml:space="preserve">  45-59</w:t>
            </w:r>
          </w:p>
        </w:tc>
        <w:tc>
          <w:tcPr>
            <w:tcW w:w="1406" w:type="dxa"/>
            <w:shd w:val="clear" w:color="auto" w:fill="auto"/>
            <w:tcMar>
              <w:left w:w="29" w:type="dxa"/>
              <w:right w:w="29" w:type="dxa"/>
            </w:tcMar>
            <w:vAlign w:val="bottom"/>
          </w:tcPr>
          <w:p w14:paraId="05A84E2D" w14:textId="77777777" w:rsidR="001B0587" w:rsidRPr="006B4E19" w:rsidRDefault="007B3ABC" w:rsidP="007B3ABC">
            <w:pPr>
              <w:pStyle w:val="Normal2"/>
              <w:spacing w:line="360" w:lineRule="auto"/>
              <w:contextualSpacing/>
              <w:cnfStyle w:val="000000000000" w:firstRow="0" w:lastRow="0" w:firstColumn="0" w:lastColumn="0" w:oddVBand="0" w:evenVBand="0" w:oddHBand="0" w:evenHBand="0" w:firstRowFirstColumn="0" w:firstRowLastColumn="0" w:lastRowFirstColumn="0" w:lastRowLastColumn="0"/>
              <w:rPr>
                <w:sz w:val="20"/>
              </w:rPr>
            </w:pPr>
            <w:r>
              <w:rPr>
                <w:sz w:val="20"/>
              </w:rPr>
              <w:t>21</w:t>
            </w:r>
            <w:r w:rsidR="001B0587" w:rsidRPr="006B4E19">
              <w:rPr>
                <w:sz w:val="20"/>
              </w:rPr>
              <w:t xml:space="preserve"> </w:t>
            </w:r>
            <w:r>
              <w:rPr>
                <w:sz w:val="20"/>
              </w:rPr>
              <w:t>069</w:t>
            </w:r>
            <w:r w:rsidR="001B0587" w:rsidRPr="006B4E19">
              <w:rPr>
                <w:sz w:val="20"/>
              </w:rPr>
              <w:t xml:space="preserve"> (</w:t>
            </w:r>
            <w:r w:rsidR="007E446D" w:rsidRPr="006B4E19">
              <w:rPr>
                <w:sz w:val="20"/>
              </w:rPr>
              <w:t>22</w:t>
            </w:r>
            <w:r w:rsidR="001B0587" w:rsidRPr="006B4E19">
              <w:rPr>
                <w:sz w:val="20"/>
              </w:rPr>
              <w:t>)</w:t>
            </w:r>
          </w:p>
        </w:tc>
        <w:tc>
          <w:tcPr>
            <w:tcW w:w="988" w:type="dxa"/>
            <w:shd w:val="clear" w:color="auto" w:fill="auto"/>
            <w:tcMar>
              <w:left w:w="29" w:type="dxa"/>
              <w:right w:w="29" w:type="dxa"/>
            </w:tcMar>
            <w:vAlign w:val="bottom"/>
          </w:tcPr>
          <w:p w14:paraId="24CBCAD3" w14:textId="77777777" w:rsidR="001B0587" w:rsidRPr="006B4E19" w:rsidRDefault="007B3ABC" w:rsidP="007B3ABC">
            <w:pPr>
              <w:pStyle w:val="Normal2"/>
              <w:spacing w:line="360" w:lineRule="auto"/>
              <w:contextualSpacing/>
              <w:cnfStyle w:val="000000000000" w:firstRow="0" w:lastRow="0" w:firstColumn="0" w:lastColumn="0" w:oddVBand="0" w:evenVBand="0" w:oddHBand="0" w:evenHBand="0" w:firstRowFirstColumn="0" w:firstRowLastColumn="0" w:lastRowFirstColumn="0" w:lastRowLastColumn="0"/>
              <w:rPr>
                <w:sz w:val="20"/>
              </w:rPr>
            </w:pPr>
            <w:r>
              <w:rPr>
                <w:sz w:val="20"/>
              </w:rPr>
              <w:t>117</w:t>
            </w:r>
            <w:r w:rsidR="001B0587" w:rsidRPr="006B4E19">
              <w:rPr>
                <w:sz w:val="20"/>
              </w:rPr>
              <w:t xml:space="preserve"> (</w:t>
            </w:r>
            <w:r>
              <w:rPr>
                <w:sz w:val="20"/>
              </w:rPr>
              <w:t>24</w:t>
            </w:r>
            <w:r w:rsidR="001B0587" w:rsidRPr="006B4E19">
              <w:rPr>
                <w:sz w:val="20"/>
              </w:rPr>
              <w:t>)</w:t>
            </w:r>
          </w:p>
        </w:tc>
        <w:tc>
          <w:tcPr>
            <w:tcW w:w="1188" w:type="dxa"/>
            <w:vMerge/>
            <w:shd w:val="clear" w:color="auto" w:fill="auto"/>
            <w:tcMar>
              <w:left w:w="29" w:type="dxa"/>
              <w:right w:w="29" w:type="dxa"/>
            </w:tcMar>
            <w:vAlign w:val="bottom"/>
          </w:tcPr>
          <w:p w14:paraId="3930B627" w14:textId="77777777" w:rsidR="001B0587" w:rsidRPr="006B4E19" w:rsidRDefault="001B0587" w:rsidP="00442AEA">
            <w:pPr>
              <w:pStyle w:val="Normal2"/>
              <w:spacing w:line="360" w:lineRule="auto"/>
              <w:contextualSpacing/>
              <w:cnfStyle w:val="000000000000" w:firstRow="0" w:lastRow="0" w:firstColumn="0" w:lastColumn="0" w:oddVBand="0" w:evenVBand="0" w:oddHBand="0" w:evenHBand="0" w:firstRowFirstColumn="0" w:firstRowLastColumn="0" w:lastRowFirstColumn="0" w:lastRowLastColumn="0"/>
              <w:rPr>
                <w:sz w:val="20"/>
              </w:rPr>
            </w:pPr>
          </w:p>
        </w:tc>
        <w:tc>
          <w:tcPr>
            <w:tcW w:w="1329" w:type="dxa"/>
            <w:shd w:val="clear" w:color="auto" w:fill="auto"/>
            <w:tcMar>
              <w:left w:w="29" w:type="dxa"/>
              <w:right w:w="29" w:type="dxa"/>
            </w:tcMar>
            <w:vAlign w:val="bottom"/>
          </w:tcPr>
          <w:p w14:paraId="1CC8C42C" w14:textId="77777777" w:rsidR="001B0587" w:rsidRPr="006B4E19" w:rsidRDefault="007B3ABC" w:rsidP="007B3ABC">
            <w:pPr>
              <w:pStyle w:val="Normal2"/>
              <w:spacing w:line="360" w:lineRule="auto"/>
              <w:contextualSpacing/>
              <w:cnfStyle w:val="000000000000" w:firstRow="0" w:lastRow="0" w:firstColumn="0" w:lastColumn="0" w:oddVBand="0" w:evenVBand="0" w:oddHBand="0" w:evenHBand="0" w:firstRowFirstColumn="0" w:firstRowLastColumn="0" w:lastRowFirstColumn="0" w:lastRowLastColumn="0"/>
              <w:rPr>
                <w:sz w:val="20"/>
              </w:rPr>
            </w:pPr>
            <w:r>
              <w:rPr>
                <w:sz w:val="20"/>
              </w:rPr>
              <w:t xml:space="preserve">37 025 </w:t>
            </w:r>
            <w:r w:rsidR="001B0587" w:rsidRPr="006B4E19">
              <w:rPr>
                <w:sz w:val="20"/>
              </w:rPr>
              <w:t>(</w:t>
            </w:r>
            <w:r w:rsidR="00992026" w:rsidRPr="006B4E19">
              <w:rPr>
                <w:sz w:val="20"/>
              </w:rPr>
              <w:t>22</w:t>
            </w:r>
            <w:r w:rsidR="001B0587" w:rsidRPr="006B4E19">
              <w:rPr>
                <w:sz w:val="20"/>
              </w:rPr>
              <w:t>)</w:t>
            </w:r>
          </w:p>
        </w:tc>
        <w:tc>
          <w:tcPr>
            <w:tcW w:w="1019" w:type="dxa"/>
            <w:shd w:val="clear" w:color="auto" w:fill="auto"/>
            <w:tcMar>
              <w:left w:w="29" w:type="dxa"/>
              <w:right w:w="29" w:type="dxa"/>
            </w:tcMar>
            <w:vAlign w:val="bottom"/>
          </w:tcPr>
          <w:p w14:paraId="5D1A82D5" w14:textId="77777777" w:rsidR="001B0587" w:rsidRPr="006B4E19" w:rsidRDefault="007B3ABC" w:rsidP="001975D0">
            <w:pPr>
              <w:pStyle w:val="Normal2"/>
              <w:spacing w:line="360" w:lineRule="auto"/>
              <w:contextualSpacing/>
              <w:cnfStyle w:val="000000000000" w:firstRow="0" w:lastRow="0" w:firstColumn="0" w:lastColumn="0" w:oddVBand="0" w:evenVBand="0" w:oddHBand="0" w:evenHBand="0" w:firstRowFirstColumn="0" w:firstRowLastColumn="0" w:lastRowFirstColumn="0" w:lastRowLastColumn="0"/>
              <w:rPr>
                <w:sz w:val="20"/>
              </w:rPr>
            </w:pPr>
            <w:r>
              <w:rPr>
                <w:sz w:val="20"/>
              </w:rPr>
              <w:t>209</w:t>
            </w:r>
            <w:r w:rsidR="001B0587" w:rsidRPr="006B4E19">
              <w:rPr>
                <w:sz w:val="20"/>
              </w:rPr>
              <w:t xml:space="preserve"> (</w:t>
            </w:r>
            <w:r w:rsidR="001975D0">
              <w:rPr>
                <w:sz w:val="20"/>
              </w:rPr>
              <w:t>23</w:t>
            </w:r>
            <w:r w:rsidR="001B0587" w:rsidRPr="006B4E19">
              <w:rPr>
                <w:sz w:val="20"/>
              </w:rPr>
              <w:t>)</w:t>
            </w:r>
          </w:p>
        </w:tc>
        <w:tc>
          <w:tcPr>
            <w:tcW w:w="1147" w:type="dxa"/>
            <w:vMerge/>
            <w:shd w:val="clear" w:color="auto" w:fill="auto"/>
            <w:tcMar>
              <w:left w:w="29" w:type="dxa"/>
              <w:right w:w="29" w:type="dxa"/>
            </w:tcMar>
            <w:vAlign w:val="bottom"/>
          </w:tcPr>
          <w:p w14:paraId="5D19FDB8" w14:textId="77777777" w:rsidR="001B0587" w:rsidRPr="006B4E19" w:rsidRDefault="001B0587" w:rsidP="00442AEA">
            <w:pPr>
              <w:pStyle w:val="Normal2"/>
              <w:spacing w:line="360" w:lineRule="auto"/>
              <w:contextualSpacing/>
              <w:cnfStyle w:val="000000000000" w:firstRow="0" w:lastRow="0" w:firstColumn="0" w:lastColumn="0" w:oddVBand="0" w:evenVBand="0" w:oddHBand="0" w:evenHBand="0" w:firstRowFirstColumn="0" w:firstRowLastColumn="0" w:lastRowFirstColumn="0" w:lastRowLastColumn="0"/>
              <w:rPr>
                <w:sz w:val="20"/>
              </w:rPr>
            </w:pPr>
          </w:p>
        </w:tc>
      </w:tr>
      <w:tr w:rsidR="006B4E19" w:rsidRPr="006B4E19" w14:paraId="1F953983" w14:textId="77777777" w:rsidTr="00C417E6">
        <w:trPr>
          <w:cnfStyle w:val="000000100000" w:firstRow="0" w:lastRow="0" w:firstColumn="0" w:lastColumn="0" w:oddVBand="0" w:evenVBand="0" w:oddHBand="1" w:evenHBand="0" w:firstRowFirstColumn="0" w:firstRowLastColumn="0" w:lastRowFirstColumn="0" w:lastRowLastColumn="0"/>
          <w:divId w:val="1194727850"/>
          <w:trHeight w:val="62"/>
        </w:trPr>
        <w:tc>
          <w:tcPr>
            <w:cnfStyle w:val="001000000000" w:firstRow="0" w:lastRow="0" w:firstColumn="1" w:lastColumn="0" w:oddVBand="0" w:evenVBand="0" w:oddHBand="0" w:evenHBand="0" w:firstRowFirstColumn="0" w:firstRowLastColumn="0" w:lastRowFirstColumn="0" w:lastRowLastColumn="0"/>
            <w:tcW w:w="1415" w:type="dxa"/>
            <w:shd w:val="clear" w:color="auto" w:fill="auto"/>
            <w:tcMar>
              <w:left w:w="29" w:type="dxa"/>
              <w:right w:w="29" w:type="dxa"/>
            </w:tcMar>
            <w:vAlign w:val="bottom"/>
          </w:tcPr>
          <w:p w14:paraId="05F20208" w14:textId="77777777" w:rsidR="001B0587" w:rsidRPr="006B4E19" w:rsidRDefault="001B0587" w:rsidP="00442AEA">
            <w:pPr>
              <w:pStyle w:val="Normal2"/>
              <w:spacing w:line="360" w:lineRule="auto"/>
              <w:contextualSpacing/>
              <w:rPr>
                <w:b w:val="0"/>
                <w:sz w:val="20"/>
              </w:rPr>
            </w:pPr>
            <w:r w:rsidRPr="006B4E19">
              <w:rPr>
                <w:b w:val="0"/>
                <w:sz w:val="20"/>
              </w:rPr>
              <w:t xml:space="preserve">  60-74</w:t>
            </w:r>
          </w:p>
        </w:tc>
        <w:tc>
          <w:tcPr>
            <w:tcW w:w="1406" w:type="dxa"/>
            <w:shd w:val="clear" w:color="auto" w:fill="auto"/>
            <w:tcMar>
              <w:left w:w="29" w:type="dxa"/>
              <w:right w:w="29" w:type="dxa"/>
            </w:tcMar>
            <w:vAlign w:val="bottom"/>
          </w:tcPr>
          <w:p w14:paraId="3044B3A4" w14:textId="77777777" w:rsidR="001B0587" w:rsidRPr="006B4E19" w:rsidRDefault="007B3ABC" w:rsidP="007B3ABC">
            <w:pPr>
              <w:pStyle w:val="Normal2"/>
              <w:spacing w:line="360" w:lineRule="auto"/>
              <w:contextualSpacing/>
              <w:cnfStyle w:val="000000100000" w:firstRow="0" w:lastRow="0" w:firstColumn="0" w:lastColumn="0" w:oddVBand="0" w:evenVBand="0" w:oddHBand="1" w:evenHBand="0" w:firstRowFirstColumn="0" w:firstRowLastColumn="0" w:lastRowFirstColumn="0" w:lastRowLastColumn="0"/>
              <w:rPr>
                <w:sz w:val="20"/>
              </w:rPr>
            </w:pPr>
            <w:r>
              <w:rPr>
                <w:sz w:val="20"/>
              </w:rPr>
              <w:t>25</w:t>
            </w:r>
            <w:r w:rsidR="001B0587" w:rsidRPr="006B4E19">
              <w:rPr>
                <w:sz w:val="20"/>
              </w:rPr>
              <w:t xml:space="preserve"> </w:t>
            </w:r>
            <w:r>
              <w:rPr>
                <w:sz w:val="20"/>
              </w:rPr>
              <w:t>273</w:t>
            </w:r>
            <w:r w:rsidR="001B0587" w:rsidRPr="006B4E19">
              <w:rPr>
                <w:sz w:val="20"/>
              </w:rPr>
              <w:t xml:space="preserve"> (26)</w:t>
            </w:r>
          </w:p>
        </w:tc>
        <w:tc>
          <w:tcPr>
            <w:tcW w:w="988" w:type="dxa"/>
            <w:shd w:val="clear" w:color="auto" w:fill="auto"/>
            <w:tcMar>
              <w:left w:w="29" w:type="dxa"/>
              <w:right w:w="29" w:type="dxa"/>
            </w:tcMar>
            <w:vAlign w:val="bottom"/>
          </w:tcPr>
          <w:p w14:paraId="56AC6009" w14:textId="77777777" w:rsidR="001B0587" w:rsidRPr="006B4E19" w:rsidRDefault="007B3ABC" w:rsidP="007B3ABC">
            <w:pPr>
              <w:pStyle w:val="Normal2"/>
              <w:spacing w:line="360" w:lineRule="auto"/>
              <w:contextualSpacing/>
              <w:cnfStyle w:val="000000100000" w:firstRow="0" w:lastRow="0" w:firstColumn="0" w:lastColumn="0" w:oddVBand="0" w:evenVBand="0" w:oddHBand="1" w:evenHBand="0" w:firstRowFirstColumn="0" w:firstRowLastColumn="0" w:lastRowFirstColumn="0" w:lastRowLastColumn="0"/>
              <w:rPr>
                <w:sz w:val="20"/>
              </w:rPr>
            </w:pPr>
            <w:r>
              <w:rPr>
                <w:sz w:val="20"/>
              </w:rPr>
              <w:t>136</w:t>
            </w:r>
            <w:r w:rsidR="001B0587" w:rsidRPr="006B4E19">
              <w:rPr>
                <w:sz w:val="20"/>
              </w:rPr>
              <w:t xml:space="preserve"> (</w:t>
            </w:r>
            <w:r>
              <w:rPr>
                <w:sz w:val="20"/>
              </w:rPr>
              <w:t>28</w:t>
            </w:r>
            <w:r w:rsidR="001B0587" w:rsidRPr="006B4E19">
              <w:rPr>
                <w:sz w:val="20"/>
              </w:rPr>
              <w:t>)</w:t>
            </w:r>
          </w:p>
        </w:tc>
        <w:tc>
          <w:tcPr>
            <w:tcW w:w="1188" w:type="dxa"/>
            <w:vMerge/>
            <w:shd w:val="clear" w:color="auto" w:fill="auto"/>
            <w:tcMar>
              <w:left w:w="29" w:type="dxa"/>
              <w:right w:w="29" w:type="dxa"/>
            </w:tcMar>
            <w:vAlign w:val="bottom"/>
          </w:tcPr>
          <w:p w14:paraId="2DED21B9" w14:textId="77777777" w:rsidR="001B0587" w:rsidRPr="006B4E19" w:rsidRDefault="001B0587" w:rsidP="00442AEA">
            <w:pPr>
              <w:pStyle w:val="Normal2"/>
              <w:spacing w:line="360" w:lineRule="auto"/>
              <w:contextualSpacing/>
              <w:cnfStyle w:val="000000100000" w:firstRow="0" w:lastRow="0" w:firstColumn="0" w:lastColumn="0" w:oddVBand="0" w:evenVBand="0" w:oddHBand="1" w:evenHBand="0" w:firstRowFirstColumn="0" w:firstRowLastColumn="0" w:lastRowFirstColumn="0" w:lastRowLastColumn="0"/>
              <w:rPr>
                <w:sz w:val="20"/>
              </w:rPr>
            </w:pPr>
          </w:p>
        </w:tc>
        <w:tc>
          <w:tcPr>
            <w:tcW w:w="1329" w:type="dxa"/>
            <w:shd w:val="clear" w:color="auto" w:fill="auto"/>
            <w:tcMar>
              <w:left w:w="29" w:type="dxa"/>
              <w:right w:w="29" w:type="dxa"/>
            </w:tcMar>
            <w:vAlign w:val="bottom"/>
          </w:tcPr>
          <w:p w14:paraId="7D33719F" w14:textId="77777777" w:rsidR="001B0587" w:rsidRPr="006B4E19" w:rsidRDefault="00992026" w:rsidP="007B3ABC">
            <w:pPr>
              <w:pStyle w:val="Normal2"/>
              <w:spacing w:line="360" w:lineRule="auto"/>
              <w:contextualSpacing/>
              <w:cnfStyle w:val="000000100000" w:firstRow="0" w:lastRow="0" w:firstColumn="0" w:lastColumn="0" w:oddVBand="0" w:evenVBand="0" w:oddHBand="1" w:evenHBand="0" w:firstRowFirstColumn="0" w:firstRowLastColumn="0" w:lastRowFirstColumn="0" w:lastRowLastColumn="0"/>
              <w:rPr>
                <w:sz w:val="20"/>
              </w:rPr>
            </w:pPr>
            <w:r w:rsidRPr="006B4E19">
              <w:rPr>
                <w:sz w:val="20"/>
              </w:rPr>
              <w:t>43</w:t>
            </w:r>
            <w:r w:rsidR="001B0587" w:rsidRPr="006B4E19">
              <w:rPr>
                <w:sz w:val="20"/>
              </w:rPr>
              <w:t xml:space="preserve"> </w:t>
            </w:r>
            <w:r w:rsidR="007B3ABC">
              <w:rPr>
                <w:sz w:val="20"/>
              </w:rPr>
              <w:t>680</w:t>
            </w:r>
            <w:r w:rsidR="001B0587" w:rsidRPr="006B4E19">
              <w:rPr>
                <w:sz w:val="20"/>
              </w:rPr>
              <w:t xml:space="preserve"> (26)</w:t>
            </w:r>
          </w:p>
        </w:tc>
        <w:tc>
          <w:tcPr>
            <w:tcW w:w="1019" w:type="dxa"/>
            <w:shd w:val="clear" w:color="auto" w:fill="auto"/>
            <w:tcMar>
              <w:left w:w="29" w:type="dxa"/>
              <w:right w:w="29" w:type="dxa"/>
            </w:tcMar>
            <w:vAlign w:val="bottom"/>
          </w:tcPr>
          <w:p w14:paraId="399AE28A" w14:textId="77777777" w:rsidR="001B0587" w:rsidRPr="006B4E19" w:rsidRDefault="007B3ABC" w:rsidP="001975D0">
            <w:pPr>
              <w:pStyle w:val="Normal2"/>
              <w:spacing w:line="360" w:lineRule="auto"/>
              <w:contextualSpacing/>
              <w:cnfStyle w:val="000000100000" w:firstRow="0" w:lastRow="0" w:firstColumn="0" w:lastColumn="0" w:oddVBand="0" w:evenVBand="0" w:oddHBand="1" w:evenHBand="0" w:firstRowFirstColumn="0" w:firstRowLastColumn="0" w:lastRowFirstColumn="0" w:lastRowLastColumn="0"/>
              <w:rPr>
                <w:sz w:val="20"/>
              </w:rPr>
            </w:pPr>
            <w:r>
              <w:rPr>
                <w:sz w:val="20"/>
              </w:rPr>
              <w:t>266</w:t>
            </w:r>
            <w:r w:rsidR="001B0587" w:rsidRPr="006B4E19">
              <w:rPr>
                <w:sz w:val="20"/>
              </w:rPr>
              <w:t xml:space="preserve"> (</w:t>
            </w:r>
            <w:r w:rsidR="001975D0">
              <w:rPr>
                <w:sz w:val="20"/>
              </w:rPr>
              <w:t>29</w:t>
            </w:r>
            <w:r w:rsidR="001B0587" w:rsidRPr="006B4E19">
              <w:rPr>
                <w:sz w:val="20"/>
              </w:rPr>
              <w:t>)</w:t>
            </w:r>
          </w:p>
        </w:tc>
        <w:tc>
          <w:tcPr>
            <w:tcW w:w="1147" w:type="dxa"/>
            <w:vMerge/>
            <w:shd w:val="clear" w:color="auto" w:fill="auto"/>
            <w:tcMar>
              <w:left w:w="29" w:type="dxa"/>
              <w:right w:w="29" w:type="dxa"/>
            </w:tcMar>
            <w:vAlign w:val="bottom"/>
          </w:tcPr>
          <w:p w14:paraId="05F192B1" w14:textId="77777777" w:rsidR="001B0587" w:rsidRPr="006B4E19" w:rsidRDefault="001B0587" w:rsidP="00442AEA">
            <w:pPr>
              <w:pStyle w:val="Normal2"/>
              <w:spacing w:line="360" w:lineRule="auto"/>
              <w:contextualSpacing/>
              <w:cnfStyle w:val="000000100000" w:firstRow="0" w:lastRow="0" w:firstColumn="0" w:lastColumn="0" w:oddVBand="0" w:evenVBand="0" w:oddHBand="1" w:evenHBand="0" w:firstRowFirstColumn="0" w:firstRowLastColumn="0" w:lastRowFirstColumn="0" w:lastRowLastColumn="0"/>
              <w:rPr>
                <w:sz w:val="20"/>
              </w:rPr>
            </w:pPr>
          </w:p>
        </w:tc>
      </w:tr>
      <w:tr w:rsidR="006B4E19" w:rsidRPr="006B4E19" w14:paraId="50715CB8" w14:textId="77777777" w:rsidTr="00C417E6">
        <w:trPr>
          <w:divId w:val="1194727850"/>
          <w:trHeight w:val="62"/>
        </w:trPr>
        <w:tc>
          <w:tcPr>
            <w:cnfStyle w:val="001000000000" w:firstRow="0" w:lastRow="0" w:firstColumn="1" w:lastColumn="0" w:oddVBand="0" w:evenVBand="0" w:oddHBand="0" w:evenHBand="0" w:firstRowFirstColumn="0" w:firstRowLastColumn="0" w:lastRowFirstColumn="0" w:lastRowLastColumn="0"/>
            <w:tcW w:w="1415" w:type="dxa"/>
            <w:shd w:val="clear" w:color="auto" w:fill="auto"/>
            <w:tcMar>
              <w:left w:w="29" w:type="dxa"/>
              <w:right w:w="29" w:type="dxa"/>
            </w:tcMar>
            <w:vAlign w:val="bottom"/>
          </w:tcPr>
          <w:p w14:paraId="3ACC2CAF" w14:textId="77777777" w:rsidR="001B0587" w:rsidRPr="006B4E19" w:rsidRDefault="001B0587" w:rsidP="00442AEA">
            <w:pPr>
              <w:pStyle w:val="Normal2"/>
              <w:spacing w:line="360" w:lineRule="auto"/>
              <w:contextualSpacing/>
              <w:rPr>
                <w:b w:val="0"/>
                <w:sz w:val="20"/>
              </w:rPr>
            </w:pPr>
            <w:r w:rsidRPr="006B4E19">
              <w:rPr>
                <w:b w:val="0"/>
                <w:sz w:val="20"/>
              </w:rPr>
              <w:t xml:space="preserve">  75-90</w:t>
            </w:r>
          </w:p>
        </w:tc>
        <w:tc>
          <w:tcPr>
            <w:tcW w:w="1406" w:type="dxa"/>
            <w:shd w:val="clear" w:color="auto" w:fill="auto"/>
            <w:tcMar>
              <w:left w:w="29" w:type="dxa"/>
              <w:right w:w="29" w:type="dxa"/>
            </w:tcMar>
            <w:vAlign w:val="bottom"/>
          </w:tcPr>
          <w:p w14:paraId="45DB0419" w14:textId="77777777" w:rsidR="001B0587" w:rsidRPr="006B4E19" w:rsidRDefault="007B3ABC" w:rsidP="007B3ABC">
            <w:pPr>
              <w:pStyle w:val="Normal2"/>
              <w:spacing w:line="360" w:lineRule="auto"/>
              <w:contextualSpacing/>
              <w:cnfStyle w:val="000000000000" w:firstRow="0" w:lastRow="0" w:firstColumn="0" w:lastColumn="0" w:oddVBand="0" w:evenVBand="0" w:oddHBand="0" w:evenHBand="0" w:firstRowFirstColumn="0" w:firstRowLastColumn="0" w:lastRowFirstColumn="0" w:lastRowLastColumn="0"/>
              <w:rPr>
                <w:sz w:val="20"/>
              </w:rPr>
            </w:pPr>
            <w:r>
              <w:rPr>
                <w:sz w:val="20"/>
              </w:rPr>
              <w:t>14</w:t>
            </w:r>
            <w:r w:rsidR="001B0587" w:rsidRPr="006B4E19">
              <w:rPr>
                <w:sz w:val="20"/>
              </w:rPr>
              <w:t xml:space="preserve"> </w:t>
            </w:r>
            <w:r>
              <w:rPr>
                <w:sz w:val="20"/>
              </w:rPr>
              <w:t>120</w:t>
            </w:r>
            <w:r w:rsidR="001B0587" w:rsidRPr="006B4E19">
              <w:rPr>
                <w:sz w:val="20"/>
              </w:rPr>
              <w:t xml:space="preserve"> (15)</w:t>
            </w:r>
          </w:p>
        </w:tc>
        <w:tc>
          <w:tcPr>
            <w:tcW w:w="988" w:type="dxa"/>
            <w:shd w:val="clear" w:color="auto" w:fill="auto"/>
            <w:tcMar>
              <w:left w:w="29" w:type="dxa"/>
              <w:right w:w="29" w:type="dxa"/>
            </w:tcMar>
            <w:vAlign w:val="bottom"/>
          </w:tcPr>
          <w:p w14:paraId="7E391AB4" w14:textId="77777777" w:rsidR="001B0587" w:rsidRPr="006B4E19" w:rsidRDefault="007B3ABC" w:rsidP="007B3ABC">
            <w:pPr>
              <w:pStyle w:val="Normal2"/>
              <w:spacing w:line="360" w:lineRule="auto"/>
              <w:contextualSpacing/>
              <w:cnfStyle w:val="000000000000" w:firstRow="0" w:lastRow="0" w:firstColumn="0" w:lastColumn="0" w:oddVBand="0" w:evenVBand="0" w:oddHBand="0" w:evenHBand="0" w:firstRowFirstColumn="0" w:firstRowLastColumn="0" w:lastRowFirstColumn="0" w:lastRowLastColumn="0"/>
              <w:rPr>
                <w:sz w:val="20"/>
              </w:rPr>
            </w:pPr>
            <w:r>
              <w:rPr>
                <w:sz w:val="20"/>
              </w:rPr>
              <w:t>114</w:t>
            </w:r>
            <w:r w:rsidR="001B0587" w:rsidRPr="006B4E19">
              <w:rPr>
                <w:sz w:val="20"/>
              </w:rPr>
              <w:t xml:space="preserve"> (</w:t>
            </w:r>
            <w:r>
              <w:rPr>
                <w:sz w:val="20"/>
              </w:rPr>
              <w:t>23</w:t>
            </w:r>
            <w:r w:rsidR="001B0587" w:rsidRPr="006B4E19">
              <w:rPr>
                <w:sz w:val="20"/>
              </w:rPr>
              <w:t>)</w:t>
            </w:r>
          </w:p>
        </w:tc>
        <w:tc>
          <w:tcPr>
            <w:tcW w:w="1188" w:type="dxa"/>
            <w:vMerge/>
            <w:shd w:val="clear" w:color="auto" w:fill="auto"/>
            <w:tcMar>
              <w:left w:w="29" w:type="dxa"/>
              <w:right w:w="29" w:type="dxa"/>
            </w:tcMar>
            <w:vAlign w:val="bottom"/>
          </w:tcPr>
          <w:p w14:paraId="6FC2739C" w14:textId="77777777" w:rsidR="001B0587" w:rsidRPr="006B4E19" w:rsidRDefault="001B0587" w:rsidP="00442AEA">
            <w:pPr>
              <w:pStyle w:val="Normal2"/>
              <w:spacing w:line="360" w:lineRule="auto"/>
              <w:contextualSpacing/>
              <w:cnfStyle w:val="000000000000" w:firstRow="0" w:lastRow="0" w:firstColumn="0" w:lastColumn="0" w:oddVBand="0" w:evenVBand="0" w:oddHBand="0" w:evenHBand="0" w:firstRowFirstColumn="0" w:firstRowLastColumn="0" w:lastRowFirstColumn="0" w:lastRowLastColumn="0"/>
              <w:rPr>
                <w:sz w:val="20"/>
              </w:rPr>
            </w:pPr>
          </w:p>
        </w:tc>
        <w:tc>
          <w:tcPr>
            <w:tcW w:w="1329" w:type="dxa"/>
            <w:shd w:val="clear" w:color="auto" w:fill="auto"/>
            <w:tcMar>
              <w:left w:w="29" w:type="dxa"/>
              <w:right w:w="29" w:type="dxa"/>
            </w:tcMar>
            <w:vAlign w:val="bottom"/>
          </w:tcPr>
          <w:p w14:paraId="11DA0A35" w14:textId="77777777" w:rsidR="001B0587" w:rsidRPr="006B4E19" w:rsidRDefault="00992026" w:rsidP="007B3ABC">
            <w:pPr>
              <w:pStyle w:val="Normal2"/>
              <w:spacing w:line="360" w:lineRule="auto"/>
              <w:contextualSpacing/>
              <w:cnfStyle w:val="000000000000" w:firstRow="0" w:lastRow="0" w:firstColumn="0" w:lastColumn="0" w:oddVBand="0" w:evenVBand="0" w:oddHBand="0" w:evenHBand="0" w:firstRowFirstColumn="0" w:firstRowLastColumn="0" w:lastRowFirstColumn="0" w:lastRowLastColumn="0"/>
              <w:rPr>
                <w:sz w:val="20"/>
              </w:rPr>
            </w:pPr>
            <w:r w:rsidRPr="006B4E19">
              <w:rPr>
                <w:sz w:val="20"/>
              </w:rPr>
              <w:t>25</w:t>
            </w:r>
            <w:r w:rsidR="001B0587" w:rsidRPr="006B4E19">
              <w:rPr>
                <w:sz w:val="20"/>
              </w:rPr>
              <w:t xml:space="preserve"> </w:t>
            </w:r>
            <w:r w:rsidR="007B3ABC">
              <w:rPr>
                <w:sz w:val="20"/>
              </w:rPr>
              <w:t>936</w:t>
            </w:r>
            <w:r w:rsidR="001B0587" w:rsidRPr="006B4E19">
              <w:rPr>
                <w:sz w:val="20"/>
              </w:rPr>
              <w:t xml:space="preserve"> (15)</w:t>
            </w:r>
          </w:p>
        </w:tc>
        <w:tc>
          <w:tcPr>
            <w:tcW w:w="1019" w:type="dxa"/>
            <w:shd w:val="clear" w:color="auto" w:fill="auto"/>
            <w:tcMar>
              <w:left w:w="29" w:type="dxa"/>
              <w:right w:w="29" w:type="dxa"/>
            </w:tcMar>
            <w:vAlign w:val="bottom"/>
          </w:tcPr>
          <w:p w14:paraId="74C64155" w14:textId="77777777" w:rsidR="001B0587" w:rsidRPr="006B4E19" w:rsidRDefault="007B3ABC" w:rsidP="001975D0">
            <w:pPr>
              <w:pStyle w:val="Normal2"/>
              <w:spacing w:line="360" w:lineRule="auto"/>
              <w:contextualSpacing/>
              <w:cnfStyle w:val="000000000000" w:firstRow="0" w:lastRow="0" w:firstColumn="0" w:lastColumn="0" w:oddVBand="0" w:evenVBand="0" w:oddHBand="0" w:evenHBand="0" w:firstRowFirstColumn="0" w:firstRowLastColumn="0" w:lastRowFirstColumn="0" w:lastRowLastColumn="0"/>
              <w:rPr>
                <w:sz w:val="20"/>
              </w:rPr>
            </w:pPr>
            <w:r>
              <w:rPr>
                <w:sz w:val="20"/>
              </w:rPr>
              <w:t>231</w:t>
            </w:r>
            <w:r w:rsidR="001B0587" w:rsidRPr="006B4E19">
              <w:rPr>
                <w:sz w:val="20"/>
              </w:rPr>
              <w:t xml:space="preserve"> (</w:t>
            </w:r>
            <w:r w:rsidR="001975D0">
              <w:rPr>
                <w:sz w:val="20"/>
              </w:rPr>
              <w:t>24</w:t>
            </w:r>
            <w:r w:rsidR="001B0587" w:rsidRPr="006B4E19">
              <w:rPr>
                <w:sz w:val="20"/>
              </w:rPr>
              <w:t>)</w:t>
            </w:r>
          </w:p>
        </w:tc>
        <w:tc>
          <w:tcPr>
            <w:tcW w:w="1147" w:type="dxa"/>
            <w:vMerge/>
            <w:shd w:val="clear" w:color="auto" w:fill="auto"/>
            <w:tcMar>
              <w:left w:w="29" w:type="dxa"/>
              <w:right w:w="29" w:type="dxa"/>
            </w:tcMar>
            <w:vAlign w:val="bottom"/>
          </w:tcPr>
          <w:p w14:paraId="74C54EEA" w14:textId="77777777" w:rsidR="001B0587" w:rsidRPr="006B4E19" w:rsidRDefault="001B0587" w:rsidP="00442AEA">
            <w:pPr>
              <w:pStyle w:val="Normal2"/>
              <w:spacing w:line="360" w:lineRule="auto"/>
              <w:contextualSpacing/>
              <w:cnfStyle w:val="000000000000" w:firstRow="0" w:lastRow="0" w:firstColumn="0" w:lastColumn="0" w:oddVBand="0" w:evenVBand="0" w:oddHBand="0" w:evenHBand="0" w:firstRowFirstColumn="0" w:firstRowLastColumn="0" w:lastRowFirstColumn="0" w:lastRowLastColumn="0"/>
              <w:rPr>
                <w:sz w:val="20"/>
              </w:rPr>
            </w:pPr>
          </w:p>
        </w:tc>
      </w:tr>
      <w:tr w:rsidR="006B4E19" w:rsidRPr="006B4E19" w14:paraId="1F1B15FC" w14:textId="77777777" w:rsidTr="00C417E6">
        <w:trPr>
          <w:cnfStyle w:val="000000100000" w:firstRow="0" w:lastRow="0" w:firstColumn="0" w:lastColumn="0" w:oddVBand="0" w:evenVBand="0" w:oddHBand="1" w:evenHBand="0" w:firstRowFirstColumn="0" w:firstRowLastColumn="0" w:lastRowFirstColumn="0" w:lastRowLastColumn="0"/>
          <w:divId w:val="1194727850"/>
          <w:trHeight w:val="62"/>
        </w:trPr>
        <w:tc>
          <w:tcPr>
            <w:cnfStyle w:val="001000000000" w:firstRow="0" w:lastRow="0" w:firstColumn="1" w:lastColumn="0" w:oddVBand="0" w:evenVBand="0" w:oddHBand="0" w:evenHBand="0" w:firstRowFirstColumn="0" w:firstRowLastColumn="0" w:lastRowFirstColumn="0" w:lastRowLastColumn="0"/>
            <w:tcW w:w="1415" w:type="dxa"/>
            <w:shd w:val="clear" w:color="auto" w:fill="auto"/>
            <w:tcMar>
              <w:left w:w="29" w:type="dxa"/>
              <w:right w:w="29" w:type="dxa"/>
            </w:tcMar>
            <w:vAlign w:val="bottom"/>
          </w:tcPr>
          <w:p w14:paraId="27FEE679" w14:textId="77777777" w:rsidR="001B0587" w:rsidRPr="006B4E19" w:rsidRDefault="001B0587" w:rsidP="00442AEA">
            <w:pPr>
              <w:pStyle w:val="Normal2"/>
              <w:spacing w:line="360" w:lineRule="auto"/>
              <w:contextualSpacing/>
              <w:rPr>
                <w:b w:val="0"/>
                <w:sz w:val="20"/>
              </w:rPr>
            </w:pPr>
            <w:r w:rsidRPr="006B4E19">
              <w:rPr>
                <w:b w:val="0"/>
                <w:sz w:val="20"/>
              </w:rPr>
              <w:t xml:space="preserve">  ≥90</w:t>
            </w:r>
          </w:p>
        </w:tc>
        <w:tc>
          <w:tcPr>
            <w:tcW w:w="1406" w:type="dxa"/>
            <w:shd w:val="clear" w:color="auto" w:fill="auto"/>
            <w:tcMar>
              <w:left w:w="29" w:type="dxa"/>
              <w:right w:w="29" w:type="dxa"/>
            </w:tcMar>
            <w:vAlign w:val="bottom"/>
          </w:tcPr>
          <w:p w14:paraId="78DC6B72" w14:textId="77777777" w:rsidR="001B0587" w:rsidRPr="006B4E19" w:rsidRDefault="007B3ABC" w:rsidP="007B3ABC">
            <w:pPr>
              <w:pStyle w:val="Normal2"/>
              <w:spacing w:line="360" w:lineRule="auto"/>
              <w:contextualSpacing/>
              <w:cnfStyle w:val="000000100000" w:firstRow="0" w:lastRow="0" w:firstColumn="0" w:lastColumn="0" w:oddVBand="0" w:evenVBand="0" w:oddHBand="1" w:evenHBand="0" w:firstRowFirstColumn="0" w:firstRowLastColumn="0" w:lastRowFirstColumn="0" w:lastRowLastColumn="0"/>
              <w:rPr>
                <w:sz w:val="20"/>
              </w:rPr>
            </w:pPr>
            <w:r>
              <w:rPr>
                <w:sz w:val="20"/>
              </w:rPr>
              <w:t>1</w:t>
            </w:r>
            <w:r w:rsidR="001B0587" w:rsidRPr="006B4E19">
              <w:rPr>
                <w:sz w:val="20"/>
              </w:rPr>
              <w:t xml:space="preserve"> </w:t>
            </w:r>
            <w:r>
              <w:rPr>
                <w:sz w:val="20"/>
              </w:rPr>
              <w:t>745</w:t>
            </w:r>
            <w:r w:rsidR="001B0587" w:rsidRPr="006B4E19">
              <w:rPr>
                <w:sz w:val="20"/>
              </w:rPr>
              <w:t xml:space="preserve"> (2)</w:t>
            </w:r>
          </w:p>
        </w:tc>
        <w:tc>
          <w:tcPr>
            <w:tcW w:w="988" w:type="dxa"/>
            <w:shd w:val="clear" w:color="auto" w:fill="auto"/>
            <w:tcMar>
              <w:left w:w="29" w:type="dxa"/>
              <w:right w:w="29" w:type="dxa"/>
            </w:tcMar>
            <w:vAlign w:val="bottom"/>
          </w:tcPr>
          <w:p w14:paraId="3B12FD29" w14:textId="77777777" w:rsidR="001B0587" w:rsidRPr="006B4E19" w:rsidRDefault="007B3ABC" w:rsidP="007B3ABC">
            <w:pPr>
              <w:pStyle w:val="Normal2"/>
              <w:spacing w:line="360" w:lineRule="auto"/>
              <w:contextualSpacing/>
              <w:cnfStyle w:val="000000100000" w:firstRow="0" w:lastRow="0" w:firstColumn="0" w:lastColumn="0" w:oddVBand="0" w:evenVBand="0" w:oddHBand="1" w:evenHBand="0" w:firstRowFirstColumn="0" w:firstRowLastColumn="0" w:lastRowFirstColumn="0" w:lastRowLastColumn="0"/>
              <w:rPr>
                <w:sz w:val="20"/>
              </w:rPr>
            </w:pPr>
            <w:r>
              <w:rPr>
                <w:sz w:val="20"/>
              </w:rPr>
              <w:t>7</w:t>
            </w:r>
            <w:r w:rsidR="001B0587" w:rsidRPr="006B4E19">
              <w:rPr>
                <w:sz w:val="20"/>
              </w:rPr>
              <w:t xml:space="preserve"> (</w:t>
            </w:r>
            <w:r>
              <w:rPr>
                <w:sz w:val="20"/>
              </w:rPr>
              <w:t>1</w:t>
            </w:r>
            <w:r w:rsidR="001B0587" w:rsidRPr="006B4E19">
              <w:rPr>
                <w:sz w:val="20"/>
              </w:rPr>
              <w:t>)</w:t>
            </w:r>
          </w:p>
        </w:tc>
        <w:tc>
          <w:tcPr>
            <w:tcW w:w="1188" w:type="dxa"/>
            <w:vMerge/>
            <w:shd w:val="clear" w:color="auto" w:fill="auto"/>
            <w:tcMar>
              <w:left w:w="29" w:type="dxa"/>
              <w:right w:w="29" w:type="dxa"/>
            </w:tcMar>
            <w:vAlign w:val="bottom"/>
          </w:tcPr>
          <w:p w14:paraId="6286D466" w14:textId="77777777" w:rsidR="001B0587" w:rsidRPr="006B4E19" w:rsidRDefault="001B0587" w:rsidP="00442AEA">
            <w:pPr>
              <w:pStyle w:val="Normal2"/>
              <w:spacing w:line="360" w:lineRule="auto"/>
              <w:contextualSpacing/>
              <w:cnfStyle w:val="000000100000" w:firstRow="0" w:lastRow="0" w:firstColumn="0" w:lastColumn="0" w:oddVBand="0" w:evenVBand="0" w:oddHBand="1" w:evenHBand="0" w:firstRowFirstColumn="0" w:firstRowLastColumn="0" w:lastRowFirstColumn="0" w:lastRowLastColumn="0"/>
              <w:rPr>
                <w:sz w:val="20"/>
              </w:rPr>
            </w:pPr>
          </w:p>
        </w:tc>
        <w:tc>
          <w:tcPr>
            <w:tcW w:w="1329" w:type="dxa"/>
            <w:shd w:val="clear" w:color="auto" w:fill="auto"/>
            <w:tcMar>
              <w:left w:w="29" w:type="dxa"/>
              <w:right w:w="29" w:type="dxa"/>
            </w:tcMar>
            <w:vAlign w:val="bottom"/>
          </w:tcPr>
          <w:p w14:paraId="698F4A55" w14:textId="77777777" w:rsidR="001B0587" w:rsidRPr="006B4E19" w:rsidRDefault="001B0587" w:rsidP="007B3ABC">
            <w:pPr>
              <w:pStyle w:val="Normal2"/>
              <w:spacing w:line="360" w:lineRule="auto"/>
              <w:contextualSpacing/>
              <w:cnfStyle w:val="000000100000" w:firstRow="0" w:lastRow="0" w:firstColumn="0" w:lastColumn="0" w:oddVBand="0" w:evenVBand="0" w:oddHBand="1" w:evenHBand="0" w:firstRowFirstColumn="0" w:firstRowLastColumn="0" w:lastRowFirstColumn="0" w:lastRowLastColumn="0"/>
              <w:rPr>
                <w:sz w:val="20"/>
              </w:rPr>
            </w:pPr>
            <w:r w:rsidRPr="006B4E19">
              <w:rPr>
                <w:sz w:val="20"/>
              </w:rPr>
              <w:t xml:space="preserve">3 </w:t>
            </w:r>
            <w:r w:rsidR="007B3ABC">
              <w:rPr>
                <w:sz w:val="20"/>
              </w:rPr>
              <w:t>209</w:t>
            </w:r>
            <w:r w:rsidRPr="006B4E19">
              <w:rPr>
                <w:sz w:val="20"/>
              </w:rPr>
              <w:t xml:space="preserve"> (2)</w:t>
            </w:r>
          </w:p>
        </w:tc>
        <w:tc>
          <w:tcPr>
            <w:tcW w:w="1019" w:type="dxa"/>
            <w:shd w:val="clear" w:color="auto" w:fill="auto"/>
            <w:tcMar>
              <w:left w:w="29" w:type="dxa"/>
              <w:right w:w="29" w:type="dxa"/>
            </w:tcMar>
            <w:vAlign w:val="bottom"/>
          </w:tcPr>
          <w:p w14:paraId="392393B1" w14:textId="77777777" w:rsidR="001B0587" w:rsidRPr="006B4E19" w:rsidRDefault="007B3ABC" w:rsidP="001975D0">
            <w:pPr>
              <w:pStyle w:val="Normal2"/>
              <w:spacing w:line="360" w:lineRule="auto"/>
              <w:contextualSpacing/>
              <w:cnfStyle w:val="000000100000" w:firstRow="0" w:lastRow="0" w:firstColumn="0" w:lastColumn="0" w:oddVBand="0" w:evenVBand="0" w:oddHBand="1" w:evenHBand="0" w:firstRowFirstColumn="0" w:firstRowLastColumn="0" w:lastRowFirstColumn="0" w:lastRowLastColumn="0"/>
              <w:rPr>
                <w:sz w:val="20"/>
              </w:rPr>
            </w:pPr>
            <w:r>
              <w:rPr>
                <w:sz w:val="20"/>
              </w:rPr>
              <w:t>35</w:t>
            </w:r>
            <w:r w:rsidR="001B0587" w:rsidRPr="006B4E19">
              <w:rPr>
                <w:sz w:val="20"/>
              </w:rPr>
              <w:t xml:space="preserve"> (</w:t>
            </w:r>
            <w:r w:rsidR="001975D0">
              <w:rPr>
                <w:sz w:val="20"/>
              </w:rPr>
              <w:t>3</w:t>
            </w:r>
            <w:r w:rsidR="001B0587" w:rsidRPr="006B4E19">
              <w:rPr>
                <w:sz w:val="20"/>
              </w:rPr>
              <w:t>)</w:t>
            </w:r>
          </w:p>
        </w:tc>
        <w:tc>
          <w:tcPr>
            <w:tcW w:w="1147" w:type="dxa"/>
            <w:vMerge/>
            <w:shd w:val="clear" w:color="auto" w:fill="auto"/>
            <w:tcMar>
              <w:left w:w="29" w:type="dxa"/>
              <w:right w:w="29" w:type="dxa"/>
            </w:tcMar>
            <w:vAlign w:val="bottom"/>
          </w:tcPr>
          <w:p w14:paraId="24E5CDF6" w14:textId="77777777" w:rsidR="001B0587" w:rsidRPr="006B4E19" w:rsidRDefault="001B0587" w:rsidP="00442AEA">
            <w:pPr>
              <w:pStyle w:val="Normal2"/>
              <w:spacing w:line="360" w:lineRule="auto"/>
              <w:contextualSpacing/>
              <w:cnfStyle w:val="000000100000" w:firstRow="0" w:lastRow="0" w:firstColumn="0" w:lastColumn="0" w:oddVBand="0" w:evenVBand="0" w:oddHBand="1" w:evenHBand="0" w:firstRowFirstColumn="0" w:firstRowLastColumn="0" w:lastRowFirstColumn="0" w:lastRowLastColumn="0"/>
              <w:rPr>
                <w:sz w:val="20"/>
              </w:rPr>
            </w:pPr>
          </w:p>
        </w:tc>
      </w:tr>
    </w:tbl>
    <w:p w14:paraId="6D272030" w14:textId="77777777" w:rsidR="00943DB7" w:rsidRDefault="00943DB7" w:rsidP="002314C5">
      <w:pPr>
        <w:pStyle w:val="Normal2"/>
        <w:contextualSpacing/>
        <w:divId w:val="1194727850"/>
      </w:pPr>
    </w:p>
    <w:p w14:paraId="110AC1C2" w14:textId="77777777" w:rsidR="006B4E19" w:rsidRDefault="006B4E19">
      <w:pPr>
        <w:spacing w:line="276" w:lineRule="auto"/>
        <w:rPr>
          <w:i/>
        </w:rPr>
      </w:pPr>
      <w:r>
        <w:rPr>
          <w:i/>
        </w:rPr>
        <w:br w:type="page"/>
      </w:r>
    </w:p>
    <w:p w14:paraId="64B7EDBD" w14:textId="77777777" w:rsidR="006B4E19" w:rsidRPr="00F35C8D" w:rsidRDefault="006B4E19" w:rsidP="006B4E19">
      <w:pPr>
        <w:pStyle w:val="Normal2"/>
        <w:contextualSpacing/>
        <w:divId w:val="1194727850"/>
        <w:rPr>
          <w:i/>
        </w:rPr>
      </w:pPr>
      <w:r w:rsidRPr="00F35C8D">
        <w:rPr>
          <w:i/>
        </w:rPr>
        <w:lastRenderedPageBreak/>
        <w:t>(Table 1 cont.)</w:t>
      </w:r>
    </w:p>
    <w:tbl>
      <w:tblPr>
        <w:tblStyle w:val="LightShading"/>
        <w:tblW w:w="4889" w:type="dxa"/>
        <w:tblLayout w:type="fixed"/>
        <w:tblLook w:val="04A0" w:firstRow="1" w:lastRow="0" w:firstColumn="1" w:lastColumn="0" w:noHBand="0" w:noVBand="1"/>
      </w:tblPr>
      <w:tblGrid>
        <w:gridCol w:w="1337"/>
        <w:gridCol w:w="1327"/>
        <w:gridCol w:w="1027"/>
        <w:gridCol w:w="1198"/>
      </w:tblGrid>
      <w:tr w:rsidR="006B4E19" w:rsidRPr="006B4E19" w14:paraId="511C67A3" w14:textId="77777777" w:rsidTr="00522A5B">
        <w:trPr>
          <w:cnfStyle w:val="100000000000" w:firstRow="1" w:lastRow="0" w:firstColumn="0" w:lastColumn="0" w:oddVBand="0" w:evenVBand="0" w:oddHBand="0" w:evenHBand="0" w:firstRowFirstColumn="0" w:firstRowLastColumn="0" w:lastRowFirstColumn="0" w:lastRowLastColumn="0"/>
          <w:divId w:val="1194727850"/>
          <w:trHeight w:val="70"/>
        </w:trPr>
        <w:tc>
          <w:tcPr>
            <w:cnfStyle w:val="001000000000" w:firstRow="0" w:lastRow="0" w:firstColumn="1" w:lastColumn="0" w:oddVBand="0" w:evenVBand="0" w:oddHBand="0" w:evenHBand="0" w:firstRowFirstColumn="0" w:firstRowLastColumn="0" w:lastRowFirstColumn="0" w:lastRowLastColumn="0"/>
            <w:tcW w:w="1337" w:type="dxa"/>
            <w:vMerge w:val="restart"/>
            <w:tcBorders>
              <w:bottom w:val="nil"/>
            </w:tcBorders>
            <w:shd w:val="clear" w:color="auto" w:fill="auto"/>
            <w:tcMar>
              <w:left w:w="29" w:type="dxa"/>
              <w:right w:w="29" w:type="dxa"/>
            </w:tcMar>
            <w:vAlign w:val="bottom"/>
          </w:tcPr>
          <w:p w14:paraId="7F2869B0" w14:textId="77777777" w:rsidR="006B4E19" w:rsidRPr="006B4E19" w:rsidRDefault="006B4E19" w:rsidP="00243C66">
            <w:pPr>
              <w:pStyle w:val="Normal2"/>
              <w:spacing w:line="276" w:lineRule="auto"/>
              <w:contextualSpacing/>
              <w:rPr>
                <w:sz w:val="20"/>
              </w:rPr>
            </w:pPr>
          </w:p>
        </w:tc>
        <w:tc>
          <w:tcPr>
            <w:tcW w:w="3552" w:type="dxa"/>
            <w:gridSpan w:val="3"/>
            <w:tcMar>
              <w:left w:w="29" w:type="dxa"/>
              <w:right w:w="29" w:type="dxa"/>
            </w:tcMar>
            <w:vAlign w:val="bottom"/>
          </w:tcPr>
          <w:p w14:paraId="4C6B72B5" w14:textId="77777777" w:rsidR="006B4E19" w:rsidRPr="006B4E19" w:rsidRDefault="006B4E19" w:rsidP="00243C66">
            <w:pPr>
              <w:pStyle w:val="Normal2"/>
              <w:spacing w:line="276" w:lineRule="auto"/>
              <w:contextualSpacing/>
              <w:cnfStyle w:val="100000000000" w:firstRow="1" w:lastRow="0" w:firstColumn="0" w:lastColumn="0" w:oddVBand="0" w:evenVBand="0" w:oddHBand="0" w:evenHBand="0" w:firstRowFirstColumn="0" w:firstRowLastColumn="0" w:lastRowFirstColumn="0" w:lastRowLastColumn="0"/>
              <w:rPr>
                <w:sz w:val="20"/>
              </w:rPr>
            </w:pPr>
            <w:r w:rsidRPr="006B4E19">
              <w:rPr>
                <w:sz w:val="20"/>
              </w:rPr>
              <w:t>Matched cohorts for each CDI case definition (cont.)</w:t>
            </w:r>
          </w:p>
        </w:tc>
      </w:tr>
      <w:tr w:rsidR="006B4E19" w:rsidRPr="006B4E19" w14:paraId="01EAD886" w14:textId="77777777" w:rsidTr="00522A5B">
        <w:trPr>
          <w:cnfStyle w:val="000000100000" w:firstRow="0" w:lastRow="0" w:firstColumn="0" w:lastColumn="0" w:oddVBand="0" w:evenVBand="0" w:oddHBand="1" w:evenHBand="0" w:firstRowFirstColumn="0" w:firstRowLastColumn="0" w:lastRowFirstColumn="0" w:lastRowLastColumn="0"/>
          <w:divId w:val="1194727850"/>
          <w:trHeight w:val="143"/>
        </w:trPr>
        <w:tc>
          <w:tcPr>
            <w:cnfStyle w:val="001000000000" w:firstRow="0" w:lastRow="0" w:firstColumn="1" w:lastColumn="0" w:oddVBand="0" w:evenVBand="0" w:oddHBand="0" w:evenHBand="0" w:firstRowFirstColumn="0" w:firstRowLastColumn="0" w:lastRowFirstColumn="0" w:lastRowLastColumn="0"/>
            <w:tcW w:w="1337" w:type="dxa"/>
            <w:vMerge/>
            <w:tcBorders>
              <w:top w:val="nil"/>
              <w:bottom w:val="nil"/>
            </w:tcBorders>
            <w:shd w:val="clear" w:color="auto" w:fill="auto"/>
            <w:tcMar>
              <w:left w:w="29" w:type="dxa"/>
              <w:right w:w="29" w:type="dxa"/>
            </w:tcMar>
            <w:vAlign w:val="bottom"/>
          </w:tcPr>
          <w:p w14:paraId="49C0C8E8" w14:textId="77777777" w:rsidR="006B4E19" w:rsidRPr="006B4E19" w:rsidRDefault="006B4E19" w:rsidP="00243C66">
            <w:pPr>
              <w:pStyle w:val="Normal2"/>
              <w:keepNext/>
              <w:keepLines/>
              <w:spacing w:after="200" w:line="276" w:lineRule="auto"/>
              <w:contextualSpacing/>
              <w:rPr>
                <w:sz w:val="20"/>
              </w:rPr>
            </w:pPr>
          </w:p>
        </w:tc>
        <w:tc>
          <w:tcPr>
            <w:tcW w:w="3552" w:type="dxa"/>
            <w:gridSpan w:val="3"/>
            <w:tcBorders>
              <w:top w:val="single" w:sz="4" w:space="0" w:color="auto"/>
              <w:bottom w:val="single" w:sz="4" w:space="0" w:color="auto"/>
            </w:tcBorders>
            <w:shd w:val="clear" w:color="auto" w:fill="auto"/>
            <w:tcMar>
              <w:left w:w="29" w:type="dxa"/>
              <w:right w:w="29" w:type="dxa"/>
            </w:tcMar>
            <w:vAlign w:val="bottom"/>
          </w:tcPr>
          <w:p w14:paraId="03E84D51" w14:textId="77777777" w:rsidR="006B4E19" w:rsidRPr="006B4E19" w:rsidRDefault="006B4E19" w:rsidP="00243C66">
            <w:pPr>
              <w:pStyle w:val="Normal2"/>
              <w:spacing w:line="276" w:lineRule="auto"/>
              <w:contextualSpacing/>
              <w:cnfStyle w:val="000000100000" w:firstRow="0" w:lastRow="0" w:firstColumn="0" w:lastColumn="0" w:oddVBand="0" w:evenVBand="0" w:oddHBand="1" w:evenHBand="0" w:firstRowFirstColumn="0" w:firstRowLastColumn="0" w:lastRowFirstColumn="0" w:lastRowLastColumn="0"/>
              <w:rPr>
                <w:sz w:val="20"/>
              </w:rPr>
            </w:pPr>
            <w:r>
              <w:rPr>
                <w:sz w:val="20"/>
              </w:rPr>
              <w:t xml:space="preserve">v. </w:t>
            </w:r>
            <w:proofErr w:type="gramStart"/>
            <w:r>
              <w:rPr>
                <w:sz w:val="20"/>
              </w:rPr>
              <w:t>by</w:t>
            </w:r>
            <w:proofErr w:type="gramEnd"/>
            <w:r>
              <w:rPr>
                <w:sz w:val="20"/>
              </w:rPr>
              <w:t xml:space="preserve"> any of the criteria</w:t>
            </w:r>
          </w:p>
        </w:tc>
      </w:tr>
      <w:tr w:rsidR="006B4E19" w:rsidRPr="006B4E19" w14:paraId="4ECF1C9C" w14:textId="77777777" w:rsidTr="00522A5B">
        <w:trPr>
          <w:divId w:val="1194727850"/>
          <w:trHeight w:val="108"/>
        </w:trPr>
        <w:tc>
          <w:tcPr>
            <w:cnfStyle w:val="001000000000" w:firstRow="0" w:lastRow="0" w:firstColumn="1" w:lastColumn="0" w:oddVBand="0" w:evenVBand="0" w:oddHBand="0" w:evenHBand="0" w:firstRowFirstColumn="0" w:firstRowLastColumn="0" w:lastRowFirstColumn="0" w:lastRowLastColumn="0"/>
            <w:tcW w:w="1337" w:type="dxa"/>
            <w:vMerge/>
            <w:tcBorders>
              <w:top w:val="nil"/>
              <w:bottom w:val="nil"/>
            </w:tcBorders>
            <w:shd w:val="clear" w:color="auto" w:fill="auto"/>
            <w:tcMar>
              <w:left w:w="29" w:type="dxa"/>
              <w:right w:w="29" w:type="dxa"/>
            </w:tcMar>
            <w:vAlign w:val="bottom"/>
          </w:tcPr>
          <w:p w14:paraId="298133B8" w14:textId="77777777" w:rsidR="006B4E19" w:rsidRPr="006B4E19" w:rsidRDefault="006B4E19" w:rsidP="00243C66">
            <w:pPr>
              <w:pStyle w:val="Normal2"/>
              <w:keepNext/>
              <w:keepLines/>
              <w:spacing w:after="200" w:line="276" w:lineRule="auto"/>
              <w:contextualSpacing/>
              <w:rPr>
                <w:sz w:val="20"/>
              </w:rPr>
            </w:pPr>
          </w:p>
        </w:tc>
        <w:tc>
          <w:tcPr>
            <w:tcW w:w="2354" w:type="dxa"/>
            <w:gridSpan w:val="2"/>
            <w:tcBorders>
              <w:top w:val="single" w:sz="4" w:space="0" w:color="auto"/>
              <w:bottom w:val="single" w:sz="4" w:space="0" w:color="auto"/>
            </w:tcBorders>
            <w:shd w:val="clear" w:color="auto" w:fill="auto"/>
            <w:tcMar>
              <w:left w:w="29" w:type="dxa"/>
              <w:right w:w="29" w:type="dxa"/>
            </w:tcMar>
            <w:vAlign w:val="bottom"/>
          </w:tcPr>
          <w:p w14:paraId="5CA9E5AC" w14:textId="77777777" w:rsidR="006B4E19" w:rsidRPr="006B4E19" w:rsidRDefault="006B4E19" w:rsidP="00243C66">
            <w:pPr>
              <w:pStyle w:val="Normal2"/>
              <w:spacing w:line="276" w:lineRule="auto"/>
              <w:contextualSpacing/>
              <w:cnfStyle w:val="000000000000" w:firstRow="0" w:lastRow="0" w:firstColumn="0" w:lastColumn="0" w:oddVBand="0" w:evenVBand="0" w:oddHBand="0" w:evenHBand="0" w:firstRowFirstColumn="0" w:firstRowLastColumn="0" w:lastRowFirstColumn="0" w:lastRowLastColumn="0"/>
              <w:rPr>
                <w:sz w:val="20"/>
              </w:rPr>
            </w:pPr>
            <w:r w:rsidRPr="006B4E19">
              <w:rPr>
                <w:sz w:val="20"/>
              </w:rPr>
              <w:t>No. (%)</w:t>
            </w:r>
          </w:p>
        </w:tc>
        <w:tc>
          <w:tcPr>
            <w:tcW w:w="1198" w:type="dxa"/>
            <w:vMerge w:val="restart"/>
            <w:tcBorders>
              <w:top w:val="single" w:sz="4" w:space="0" w:color="auto"/>
            </w:tcBorders>
            <w:shd w:val="clear" w:color="auto" w:fill="auto"/>
            <w:tcMar>
              <w:left w:w="29" w:type="dxa"/>
              <w:right w:w="29" w:type="dxa"/>
            </w:tcMar>
            <w:vAlign w:val="bottom"/>
          </w:tcPr>
          <w:p w14:paraId="7CDCE16E" w14:textId="77777777" w:rsidR="006B4E19" w:rsidRPr="006B4E19" w:rsidRDefault="006B4E19" w:rsidP="00243C66">
            <w:pPr>
              <w:pStyle w:val="Normal2"/>
              <w:spacing w:line="276" w:lineRule="auto"/>
              <w:contextualSpacing/>
              <w:cnfStyle w:val="000000000000" w:firstRow="0" w:lastRow="0" w:firstColumn="0" w:lastColumn="0" w:oddVBand="0" w:evenVBand="0" w:oddHBand="0" w:evenHBand="0" w:firstRowFirstColumn="0" w:firstRowLastColumn="0" w:lastRowFirstColumn="0" w:lastRowLastColumn="0"/>
              <w:rPr>
                <w:sz w:val="20"/>
              </w:rPr>
            </w:pPr>
            <w:r w:rsidRPr="006B4E19">
              <w:rPr>
                <w:sz w:val="20"/>
              </w:rPr>
              <w:t>SMD after matching</w:t>
            </w:r>
          </w:p>
          <w:p w14:paraId="40C13305" w14:textId="77777777" w:rsidR="006B4E19" w:rsidRPr="006B4E19" w:rsidRDefault="006B4E19" w:rsidP="00243C66">
            <w:pPr>
              <w:pStyle w:val="Normal2"/>
              <w:spacing w:line="276" w:lineRule="auto"/>
              <w:contextualSpacing/>
              <w:cnfStyle w:val="000000000000" w:firstRow="0" w:lastRow="0" w:firstColumn="0" w:lastColumn="0" w:oddVBand="0" w:evenVBand="0" w:oddHBand="0" w:evenHBand="0" w:firstRowFirstColumn="0" w:firstRowLastColumn="0" w:lastRowFirstColumn="0" w:lastRowLastColumn="0"/>
              <w:rPr>
                <w:sz w:val="20"/>
              </w:rPr>
            </w:pPr>
            <w:r w:rsidRPr="006B4E19">
              <w:rPr>
                <w:sz w:val="20"/>
              </w:rPr>
              <w:t>(</w:t>
            </w:r>
            <w:r w:rsidRPr="006B4E19">
              <w:rPr>
                <w:i/>
                <w:sz w:val="20"/>
              </w:rPr>
              <w:t xml:space="preserve">P </w:t>
            </w:r>
            <w:r w:rsidRPr="006B4E19">
              <w:rPr>
                <w:sz w:val="20"/>
              </w:rPr>
              <w:t>value)</w:t>
            </w:r>
          </w:p>
        </w:tc>
      </w:tr>
      <w:tr w:rsidR="006B4E19" w:rsidRPr="006B4E19" w14:paraId="71FCDD7A" w14:textId="77777777" w:rsidTr="00522A5B">
        <w:trPr>
          <w:cnfStyle w:val="000000100000" w:firstRow="0" w:lastRow="0" w:firstColumn="0" w:lastColumn="0" w:oddVBand="0" w:evenVBand="0" w:oddHBand="1" w:evenHBand="0" w:firstRowFirstColumn="0" w:firstRowLastColumn="0" w:lastRowFirstColumn="0" w:lastRowLastColumn="0"/>
          <w:divId w:val="1194727850"/>
          <w:trHeight w:val="226"/>
        </w:trPr>
        <w:tc>
          <w:tcPr>
            <w:cnfStyle w:val="001000000000" w:firstRow="0" w:lastRow="0" w:firstColumn="1" w:lastColumn="0" w:oddVBand="0" w:evenVBand="0" w:oddHBand="0" w:evenHBand="0" w:firstRowFirstColumn="0" w:firstRowLastColumn="0" w:lastRowFirstColumn="0" w:lastRowLastColumn="0"/>
            <w:tcW w:w="1337" w:type="dxa"/>
            <w:tcBorders>
              <w:top w:val="nil"/>
              <w:bottom w:val="single" w:sz="4" w:space="0" w:color="auto"/>
            </w:tcBorders>
            <w:shd w:val="clear" w:color="auto" w:fill="auto"/>
            <w:tcMar>
              <w:left w:w="29" w:type="dxa"/>
              <w:right w:w="29" w:type="dxa"/>
            </w:tcMar>
            <w:vAlign w:val="bottom"/>
          </w:tcPr>
          <w:p w14:paraId="7A8965AF" w14:textId="77777777" w:rsidR="006B4E19" w:rsidRPr="006B4E19" w:rsidRDefault="006B4E19" w:rsidP="00243C66">
            <w:pPr>
              <w:pStyle w:val="Normal2"/>
              <w:spacing w:line="276" w:lineRule="auto"/>
              <w:contextualSpacing/>
              <w:rPr>
                <w:b w:val="0"/>
                <w:sz w:val="20"/>
              </w:rPr>
            </w:pPr>
            <w:r w:rsidRPr="006B4E19">
              <w:rPr>
                <w:b w:val="0"/>
                <w:sz w:val="20"/>
              </w:rPr>
              <w:t>Characteristic</w:t>
            </w:r>
          </w:p>
        </w:tc>
        <w:tc>
          <w:tcPr>
            <w:tcW w:w="1327" w:type="dxa"/>
            <w:tcBorders>
              <w:top w:val="single" w:sz="4" w:space="0" w:color="auto"/>
              <w:bottom w:val="single" w:sz="4" w:space="0" w:color="auto"/>
            </w:tcBorders>
            <w:shd w:val="clear" w:color="auto" w:fill="auto"/>
            <w:tcMar>
              <w:left w:w="29" w:type="dxa"/>
              <w:right w:w="29" w:type="dxa"/>
            </w:tcMar>
            <w:vAlign w:val="bottom"/>
          </w:tcPr>
          <w:p w14:paraId="040EE2B0" w14:textId="77777777" w:rsidR="006B4E19" w:rsidRPr="006B4E19" w:rsidRDefault="006B4E19" w:rsidP="00C03F91">
            <w:pPr>
              <w:pStyle w:val="Normal2"/>
              <w:spacing w:line="276" w:lineRule="auto"/>
              <w:contextualSpacing/>
              <w:cnfStyle w:val="000000100000" w:firstRow="0" w:lastRow="0" w:firstColumn="0" w:lastColumn="0" w:oddVBand="0" w:evenVBand="0" w:oddHBand="1" w:evenHBand="0" w:firstRowFirstColumn="0" w:firstRowLastColumn="0" w:lastRowFirstColumn="0" w:lastRowLastColumn="0"/>
              <w:rPr>
                <w:sz w:val="20"/>
              </w:rPr>
            </w:pPr>
            <w:r w:rsidRPr="006B4E19">
              <w:rPr>
                <w:sz w:val="20"/>
              </w:rPr>
              <w:t xml:space="preserve">All controls (n=170 </w:t>
            </w:r>
            <w:r w:rsidR="00C03F91">
              <w:rPr>
                <w:sz w:val="20"/>
              </w:rPr>
              <w:t>846</w:t>
            </w:r>
            <w:r w:rsidRPr="006B4E19">
              <w:rPr>
                <w:sz w:val="20"/>
              </w:rPr>
              <w:t>)</w:t>
            </w:r>
          </w:p>
        </w:tc>
        <w:tc>
          <w:tcPr>
            <w:tcW w:w="1027" w:type="dxa"/>
            <w:tcBorders>
              <w:top w:val="single" w:sz="4" w:space="0" w:color="auto"/>
              <w:bottom w:val="single" w:sz="4" w:space="0" w:color="auto"/>
            </w:tcBorders>
            <w:shd w:val="clear" w:color="auto" w:fill="auto"/>
            <w:tcMar>
              <w:left w:w="29" w:type="dxa"/>
              <w:right w:w="29" w:type="dxa"/>
            </w:tcMar>
            <w:vAlign w:val="bottom"/>
          </w:tcPr>
          <w:p w14:paraId="4A1B3402" w14:textId="77777777" w:rsidR="006B4E19" w:rsidRPr="006B4E19" w:rsidRDefault="006B4E19" w:rsidP="00C03F91">
            <w:pPr>
              <w:pStyle w:val="Normal2"/>
              <w:spacing w:line="276" w:lineRule="auto"/>
              <w:contextualSpacing/>
              <w:cnfStyle w:val="000000100000" w:firstRow="0" w:lastRow="0" w:firstColumn="0" w:lastColumn="0" w:oddVBand="0" w:evenVBand="0" w:oddHBand="1" w:evenHBand="0" w:firstRowFirstColumn="0" w:firstRowLastColumn="0" w:lastRowFirstColumn="0" w:lastRowLastColumn="0"/>
              <w:rPr>
                <w:sz w:val="20"/>
              </w:rPr>
            </w:pPr>
            <w:r w:rsidRPr="006B4E19">
              <w:rPr>
                <w:sz w:val="20"/>
              </w:rPr>
              <w:t>Matched cases &amp; controls</w:t>
            </w:r>
            <w:r w:rsidRPr="006B4E19">
              <w:rPr>
                <w:sz w:val="20"/>
                <w:vertAlign w:val="superscript"/>
              </w:rPr>
              <w:t>a</w:t>
            </w:r>
            <w:r w:rsidRPr="006B4E19">
              <w:rPr>
                <w:sz w:val="20"/>
              </w:rPr>
              <w:t xml:space="preserve"> (n=</w:t>
            </w:r>
            <w:r w:rsidR="00C03F91">
              <w:rPr>
                <w:sz w:val="20"/>
              </w:rPr>
              <w:t>945</w:t>
            </w:r>
            <w:r w:rsidRPr="006B4E19">
              <w:rPr>
                <w:sz w:val="20"/>
              </w:rPr>
              <w:t xml:space="preserve">) </w:t>
            </w:r>
          </w:p>
        </w:tc>
        <w:tc>
          <w:tcPr>
            <w:tcW w:w="1198" w:type="dxa"/>
            <w:vMerge/>
            <w:tcBorders>
              <w:bottom w:val="single" w:sz="4" w:space="0" w:color="auto"/>
            </w:tcBorders>
            <w:shd w:val="clear" w:color="auto" w:fill="auto"/>
            <w:tcMar>
              <w:left w:w="29" w:type="dxa"/>
              <w:right w:w="29" w:type="dxa"/>
            </w:tcMar>
            <w:vAlign w:val="bottom"/>
          </w:tcPr>
          <w:p w14:paraId="10A701CD" w14:textId="77777777" w:rsidR="006B4E19" w:rsidRPr="006B4E19" w:rsidRDefault="006B4E19" w:rsidP="00243C66">
            <w:pPr>
              <w:pStyle w:val="Normal2"/>
              <w:spacing w:line="276" w:lineRule="auto"/>
              <w:contextualSpacing/>
              <w:cnfStyle w:val="000000100000" w:firstRow="0" w:lastRow="0" w:firstColumn="0" w:lastColumn="0" w:oddVBand="0" w:evenVBand="0" w:oddHBand="1" w:evenHBand="0" w:firstRowFirstColumn="0" w:firstRowLastColumn="0" w:lastRowFirstColumn="0" w:lastRowLastColumn="0"/>
              <w:rPr>
                <w:sz w:val="20"/>
              </w:rPr>
            </w:pPr>
          </w:p>
        </w:tc>
      </w:tr>
      <w:tr w:rsidR="006B4E19" w:rsidRPr="006B4E19" w14:paraId="4D920E55" w14:textId="77777777" w:rsidTr="00522A5B">
        <w:trPr>
          <w:divId w:val="1194727850"/>
          <w:trHeight w:val="93"/>
        </w:trPr>
        <w:tc>
          <w:tcPr>
            <w:cnfStyle w:val="001000000000" w:firstRow="0" w:lastRow="0" w:firstColumn="1" w:lastColumn="0" w:oddVBand="0" w:evenVBand="0" w:oddHBand="0" w:evenHBand="0" w:firstRowFirstColumn="0" w:firstRowLastColumn="0" w:lastRowFirstColumn="0" w:lastRowLastColumn="0"/>
            <w:tcW w:w="1337" w:type="dxa"/>
            <w:shd w:val="clear" w:color="auto" w:fill="auto"/>
            <w:tcMar>
              <w:left w:w="29" w:type="dxa"/>
              <w:right w:w="29" w:type="dxa"/>
            </w:tcMar>
            <w:vAlign w:val="bottom"/>
          </w:tcPr>
          <w:p w14:paraId="0CC98084" w14:textId="77777777" w:rsidR="006B4E19" w:rsidRPr="006B4E19" w:rsidRDefault="006B4E19" w:rsidP="00243C66">
            <w:pPr>
              <w:pStyle w:val="Normal2"/>
              <w:spacing w:line="360" w:lineRule="auto"/>
              <w:contextualSpacing/>
              <w:rPr>
                <w:b w:val="0"/>
                <w:sz w:val="20"/>
              </w:rPr>
            </w:pPr>
            <w:r w:rsidRPr="006B4E19">
              <w:rPr>
                <w:b w:val="0"/>
                <w:sz w:val="20"/>
              </w:rPr>
              <w:t>Female sex</w:t>
            </w:r>
          </w:p>
        </w:tc>
        <w:tc>
          <w:tcPr>
            <w:tcW w:w="1327" w:type="dxa"/>
            <w:shd w:val="clear" w:color="auto" w:fill="auto"/>
            <w:tcMar>
              <w:left w:w="29" w:type="dxa"/>
              <w:right w:w="29" w:type="dxa"/>
            </w:tcMar>
            <w:vAlign w:val="bottom"/>
          </w:tcPr>
          <w:p w14:paraId="295410B6" w14:textId="77777777" w:rsidR="006B4E19" w:rsidRPr="006B4E19" w:rsidRDefault="006B4E19" w:rsidP="003B1B37">
            <w:pPr>
              <w:pStyle w:val="Normal2"/>
              <w:spacing w:line="360" w:lineRule="auto"/>
              <w:contextualSpacing/>
              <w:cnfStyle w:val="000000000000" w:firstRow="0" w:lastRow="0" w:firstColumn="0" w:lastColumn="0" w:oddVBand="0" w:evenVBand="0" w:oddHBand="0" w:evenHBand="0" w:firstRowFirstColumn="0" w:firstRowLastColumn="0" w:lastRowFirstColumn="0" w:lastRowLastColumn="0"/>
              <w:rPr>
                <w:sz w:val="20"/>
              </w:rPr>
            </w:pPr>
            <w:r w:rsidRPr="006B4E19">
              <w:rPr>
                <w:sz w:val="20"/>
              </w:rPr>
              <w:t xml:space="preserve">101 </w:t>
            </w:r>
            <w:r w:rsidR="003B1B37">
              <w:rPr>
                <w:sz w:val="20"/>
              </w:rPr>
              <w:t>390</w:t>
            </w:r>
            <w:r w:rsidRPr="006B4E19">
              <w:rPr>
                <w:sz w:val="20"/>
              </w:rPr>
              <w:t xml:space="preserve"> (</w:t>
            </w:r>
            <w:r w:rsidR="003B1B37">
              <w:rPr>
                <w:sz w:val="20"/>
              </w:rPr>
              <w:t>59</w:t>
            </w:r>
            <w:r w:rsidRPr="006B4E19">
              <w:rPr>
                <w:sz w:val="20"/>
              </w:rPr>
              <w:t>)</w:t>
            </w:r>
          </w:p>
        </w:tc>
        <w:tc>
          <w:tcPr>
            <w:tcW w:w="1027" w:type="dxa"/>
            <w:shd w:val="clear" w:color="auto" w:fill="auto"/>
            <w:tcMar>
              <w:left w:w="29" w:type="dxa"/>
              <w:right w:w="29" w:type="dxa"/>
            </w:tcMar>
            <w:vAlign w:val="bottom"/>
          </w:tcPr>
          <w:p w14:paraId="1911D7E8" w14:textId="77777777" w:rsidR="006B4E19" w:rsidRPr="006B4E19" w:rsidRDefault="003B1B37" w:rsidP="00243C66">
            <w:pPr>
              <w:pStyle w:val="Normal2"/>
              <w:spacing w:line="360" w:lineRule="auto"/>
              <w:contextualSpacing/>
              <w:cnfStyle w:val="000000000000" w:firstRow="0" w:lastRow="0" w:firstColumn="0" w:lastColumn="0" w:oddVBand="0" w:evenVBand="0" w:oddHBand="0" w:evenHBand="0" w:firstRowFirstColumn="0" w:firstRowLastColumn="0" w:lastRowFirstColumn="0" w:lastRowLastColumn="0"/>
              <w:rPr>
                <w:sz w:val="20"/>
              </w:rPr>
            </w:pPr>
            <w:r>
              <w:rPr>
                <w:sz w:val="20"/>
              </w:rPr>
              <w:t>493</w:t>
            </w:r>
            <w:r w:rsidR="006B4E19" w:rsidRPr="006B4E19">
              <w:rPr>
                <w:sz w:val="20"/>
              </w:rPr>
              <w:t xml:space="preserve"> (52)</w:t>
            </w:r>
          </w:p>
        </w:tc>
        <w:tc>
          <w:tcPr>
            <w:tcW w:w="1198" w:type="dxa"/>
            <w:shd w:val="clear" w:color="auto" w:fill="auto"/>
            <w:tcMar>
              <w:left w:w="29" w:type="dxa"/>
              <w:right w:w="29" w:type="dxa"/>
            </w:tcMar>
            <w:vAlign w:val="bottom"/>
          </w:tcPr>
          <w:p w14:paraId="5C94A530" w14:textId="77777777" w:rsidR="006B4E19" w:rsidRPr="006B4E19" w:rsidRDefault="006B4E19" w:rsidP="00243C66">
            <w:pPr>
              <w:pStyle w:val="Normal2"/>
              <w:spacing w:line="360" w:lineRule="auto"/>
              <w:contextualSpacing/>
              <w:cnfStyle w:val="000000000000" w:firstRow="0" w:lastRow="0" w:firstColumn="0" w:lastColumn="0" w:oddVBand="0" w:evenVBand="0" w:oddHBand="0" w:evenHBand="0" w:firstRowFirstColumn="0" w:firstRowLastColumn="0" w:lastRowFirstColumn="0" w:lastRowLastColumn="0"/>
              <w:rPr>
                <w:sz w:val="20"/>
              </w:rPr>
            </w:pPr>
            <w:r w:rsidRPr="006B4E19">
              <w:rPr>
                <w:sz w:val="20"/>
              </w:rPr>
              <w:t>0 (1)</w:t>
            </w:r>
          </w:p>
        </w:tc>
      </w:tr>
      <w:tr w:rsidR="006B4E19" w:rsidRPr="006B4E19" w14:paraId="66DD56D6" w14:textId="77777777" w:rsidTr="00522A5B">
        <w:trPr>
          <w:cnfStyle w:val="000000100000" w:firstRow="0" w:lastRow="0" w:firstColumn="0" w:lastColumn="0" w:oddVBand="0" w:evenVBand="0" w:oddHBand="1" w:evenHBand="0" w:firstRowFirstColumn="0" w:firstRowLastColumn="0" w:lastRowFirstColumn="0" w:lastRowLastColumn="0"/>
          <w:divId w:val="1194727850"/>
          <w:trHeight w:val="93"/>
        </w:trPr>
        <w:tc>
          <w:tcPr>
            <w:cnfStyle w:val="001000000000" w:firstRow="0" w:lastRow="0" w:firstColumn="1" w:lastColumn="0" w:oddVBand="0" w:evenVBand="0" w:oddHBand="0" w:evenHBand="0" w:firstRowFirstColumn="0" w:firstRowLastColumn="0" w:lastRowFirstColumn="0" w:lastRowLastColumn="0"/>
            <w:tcW w:w="1337" w:type="dxa"/>
            <w:shd w:val="clear" w:color="auto" w:fill="auto"/>
            <w:tcMar>
              <w:left w:w="29" w:type="dxa"/>
              <w:right w:w="29" w:type="dxa"/>
            </w:tcMar>
            <w:vAlign w:val="bottom"/>
          </w:tcPr>
          <w:p w14:paraId="773CC24B" w14:textId="77777777" w:rsidR="006B4E19" w:rsidRPr="006B4E19" w:rsidRDefault="006B4E19" w:rsidP="00243C66">
            <w:pPr>
              <w:pStyle w:val="Normal2"/>
              <w:spacing w:line="360" w:lineRule="auto"/>
              <w:contextualSpacing/>
              <w:rPr>
                <w:b w:val="0"/>
                <w:sz w:val="20"/>
              </w:rPr>
            </w:pPr>
            <w:r w:rsidRPr="006B4E19">
              <w:rPr>
                <w:b w:val="0"/>
                <w:sz w:val="20"/>
              </w:rPr>
              <w:t>Age</w:t>
            </w:r>
            <w:r w:rsidR="00633311" w:rsidRPr="006B4E19">
              <w:rPr>
                <w:b w:val="0"/>
                <w:sz w:val="20"/>
                <w:vertAlign w:val="superscript"/>
              </w:rPr>
              <w:t>b</w:t>
            </w:r>
          </w:p>
        </w:tc>
        <w:tc>
          <w:tcPr>
            <w:tcW w:w="1327" w:type="dxa"/>
            <w:shd w:val="clear" w:color="auto" w:fill="auto"/>
            <w:tcMar>
              <w:left w:w="29" w:type="dxa"/>
              <w:right w:w="29" w:type="dxa"/>
            </w:tcMar>
            <w:vAlign w:val="bottom"/>
          </w:tcPr>
          <w:p w14:paraId="70F6BB44" w14:textId="77777777" w:rsidR="006B4E19" w:rsidRPr="006B4E19" w:rsidRDefault="006B4E19" w:rsidP="00243C66">
            <w:pPr>
              <w:pStyle w:val="Normal2"/>
              <w:spacing w:line="360" w:lineRule="auto"/>
              <w:contextualSpacing/>
              <w:cnfStyle w:val="000000100000" w:firstRow="0" w:lastRow="0" w:firstColumn="0" w:lastColumn="0" w:oddVBand="0" w:evenVBand="0" w:oddHBand="1" w:evenHBand="0" w:firstRowFirstColumn="0" w:firstRowLastColumn="0" w:lastRowFirstColumn="0" w:lastRowLastColumn="0"/>
              <w:rPr>
                <w:sz w:val="20"/>
              </w:rPr>
            </w:pPr>
          </w:p>
        </w:tc>
        <w:tc>
          <w:tcPr>
            <w:tcW w:w="1027" w:type="dxa"/>
            <w:shd w:val="clear" w:color="auto" w:fill="auto"/>
            <w:tcMar>
              <w:left w:w="29" w:type="dxa"/>
              <w:right w:w="29" w:type="dxa"/>
            </w:tcMar>
            <w:vAlign w:val="bottom"/>
          </w:tcPr>
          <w:p w14:paraId="447B2201" w14:textId="77777777" w:rsidR="006B4E19" w:rsidRPr="006B4E19" w:rsidRDefault="006B4E19" w:rsidP="00243C66">
            <w:pPr>
              <w:pStyle w:val="Normal2"/>
              <w:spacing w:line="360" w:lineRule="auto"/>
              <w:contextualSpacing/>
              <w:cnfStyle w:val="000000100000" w:firstRow="0" w:lastRow="0" w:firstColumn="0" w:lastColumn="0" w:oddVBand="0" w:evenVBand="0" w:oddHBand="1" w:evenHBand="0" w:firstRowFirstColumn="0" w:firstRowLastColumn="0" w:lastRowFirstColumn="0" w:lastRowLastColumn="0"/>
              <w:rPr>
                <w:sz w:val="20"/>
              </w:rPr>
            </w:pPr>
          </w:p>
        </w:tc>
        <w:tc>
          <w:tcPr>
            <w:tcW w:w="1198" w:type="dxa"/>
            <w:shd w:val="clear" w:color="auto" w:fill="auto"/>
            <w:tcMar>
              <w:left w:w="29" w:type="dxa"/>
              <w:right w:w="29" w:type="dxa"/>
            </w:tcMar>
            <w:vAlign w:val="bottom"/>
          </w:tcPr>
          <w:p w14:paraId="42D45568" w14:textId="77777777" w:rsidR="006B4E19" w:rsidRPr="006B4E19" w:rsidRDefault="006B4E19" w:rsidP="00243C66">
            <w:pPr>
              <w:pStyle w:val="Normal2"/>
              <w:spacing w:line="360" w:lineRule="auto"/>
              <w:contextualSpacing/>
              <w:cnfStyle w:val="000000100000" w:firstRow="0" w:lastRow="0" w:firstColumn="0" w:lastColumn="0" w:oddVBand="0" w:evenVBand="0" w:oddHBand="1" w:evenHBand="0" w:firstRowFirstColumn="0" w:firstRowLastColumn="0" w:lastRowFirstColumn="0" w:lastRowLastColumn="0"/>
              <w:rPr>
                <w:sz w:val="20"/>
              </w:rPr>
            </w:pPr>
          </w:p>
        </w:tc>
      </w:tr>
      <w:tr w:rsidR="006B4E19" w:rsidRPr="006B4E19" w14:paraId="43AE18E7" w14:textId="77777777" w:rsidTr="00522A5B">
        <w:trPr>
          <w:divId w:val="1194727850"/>
          <w:trHeight w:val="93"/>
        </w:trPr>
        <w:tc>
          <w:tcPr>
            <w:cnfStyle w:val="001000000000" w:firstRow="0" w:lastRow="0" w:firstColumn="1" w:lastColumn="0" w:oddVBand="0" w:evenVBand="0" w:oddHBand="0" w:evenHBand="0" w:firstRowFirstColumn="0" w:firstRowLastColumn="0" w:lastRowFirstColumn="0" w:lastRowLastColumn="0"/>
            <w:tcW w:w="1337" w:type="dxa"/>
            <w:shd w:val="clear" w:color="auto" w:fill="auto"/>
            <w:tcMar>
              <w:left w:w="29" w:type="dxa"/>
              <w:right w:w="29" w:type="dxa"/>
            </w:tcMar>
            <w:vAlign w:val="bottom"/>
          </w:tcPr>
          <w:p w14:paraId="54594AB3" w14:textId="77777777" w:rsidR="006B4E19" w:rsidRPr="006B4E19" w:rsidRDefault="006B4E19" w:rsidP="00243C66">
            <w:pPr>
              <w:pStyle w:val="Normal2"/>
              <w:spacing w:line="360" w:lineRule="auto"/>
              <w:contextualSpacing/>
              <w:rPr>
                <w:b w:val="0"/>
                <w:sz w:val="20"/>
              </w:rPr>
            </w:pPr>
            <w:r w:rsidRPr="006B4E19">
              <w:rPr>
                <w:b w:val="0"/>
                <w:sz w:val="20"/>
              </w:rPr>
              <w:t xml:space="preserve">  18-29</w:t>
            </w:r>
          </w:p>
        </w:tc>
        <w:tc>
          <w:tcPr>
            <w:tcW w:w="1327" w:type="dxa"/>
            <w:shd w:val="clear" w:color="auto" w:fill="auto"/>
            <w:tcMar>
              <w:left w:w="29" w:type="dxa"/>
              <w:right w:w="29" w:type="dxa"/>
            </w:tcMar>
            <w:vAlign w:val="bottom"/>
          </w:tcPr>
          <w:p w14:paraId="009391A5" w14:textId="77777777" w:rsidR="006B4E19" w:rsidRPr="006B4E19" w:rsidRDefault="006B4E19" w:rsidP="00243C66">
            <w:pPr>
              <w:pStyle w:val="Normal2"/>
              <w:spacing w:line="360" w:lineRule="auto"/>
              <w:contextualSpacing/>
              <w:cnfStyle w:val="000000000000" w:firstRow="0" w:lastRow="0" w:firstColumn="0" w:lastColumn="0" w:oddVBand="0" w:evenVBand="0" w:oddHBand="0" w:evenHBand="0" w:firstRowFirstColumn="0" w:firstRowLastColumn="0" w:lastRowFirstColumn="0" w:lastRowLastColumn="0"/>
              <w:rPr>
                <w:sz w:val="20"/>
              </w:rPr>
            </w:pPr>
            <w:r w:rsidRPr="006B4E19">
              <w:rPr>
                <w:sz w:val="20"/>
              </w:rPr>
              <w:t xml:space="preserve">22 </w:t>
            </w:r>
            <w:r w:rsidR="00243C66">
              <w:rPr>
                <w:sz w:val="20"/>
              </w:rPr>
              <w:t>245</w:t>
            </w:r>
            <w:r w:rsidRPr="006B4E19">
              <w:rPr>
                <w:sz w:val="20"/>
              </w:rPr>
              <w:t xml:space="preserve"> (13)</w:t>
            </w:r>
          </w:p>
        </w:tc>
        <w:tc>
          <w:tcPr>
            <w:tcW w:w="1027" w:type="dxa"/>
            <w:shd w:val="clear" w:color="auto" w:fill="auto"/>
            <w:tcMar>
              <w:left w:w="29" w:type="dxa"/>
              <w:right w:w="29" w:type="dxa"/>
            </w:tcMar>
            <w:vAlign w:val="bottom"/>
          </w:tcPr>
          <w:p w14:paraId="38470789" w14:textId="77777777" w:rsidR="006B4E19" w:rsidRPr="006B4E19" w:rsidRDefault="00CB7C68" w:rsidP="00CB7C68">
            <w:pPr>
              <w:pStyle w:val="Normal2"/>
              <w:spacing w:line="360" w:lineRule="auto"/>
              <w:contextualSpacing/>
              <w:cnfStyle w:val="000000000000" w:firstRow="0" w:lastRow="0" w:firstColumn="0" w:lastColumn="0" w:oddVBand="0" w:evenVBand="0" w:oddHBand="0" w:evenHBand="0" w:firstRowFirstColumn="0" w:firstRowLastColumn="0" w:lastRowFirstColumn="0" w:lastRowLastColumn="0"/>
              <w:rPr>
                <w:sz w:val="20"/>
              </w:rPr>
            </w:pPr>
            <w:r>
              <w:rPr>
                <w:sz w:val="20"/>
              </w:rPr>
              <w:t>87</w:t>
            </w:r>
            <w:r w:rsidR="006B4E19" w:rsidRPr="006B4E19">
              <w:rPr>
                <w:sz w:val="20"/>
              </w:rPr>
              <w:t xml:space="preserve"> (</w:t>
            </w:r>
            <w:r>
              <w:rPr>
                <w:sz w:val="20"/>
              </w:rPr>
              <w:t>9</w:t>
            </w:r>
            <w:r w:rsidR="006B4E19" w:rsidRPr="006B4E19">
              <w:rPr>
                <w:sz w:val="20"/>
              </w:rPr>
              <w:t>)</w:t>
            </w:r>
          </w:p>
        </w:tc>
        <w:tc>
          <w:tcPr>
            <w:tcW w:w="1198" w:type="dxa"/>
            <w:vMerge w:val="restart"/>
            <w:shd w:val="clear" w:color="auto" w:fill="auto"/>
            <w:tcMar>
              <w:left w:w="29" w:type="dxa"/>
              <w:right w:w="29" w:type="dxa"/>
            </w:tcMar>
            <w:vAlign w:val="center"/>
          </w:tcPr>
          <w:p w14:paraId="17F8ED23" w14:textId="77777777" w:rsidR="006B4E19" w:rsidRPr="006B4E19" w:rsidRDefault="00522A5B" w:rsidP="00522A5B">
            <w:pPr>
              <w:pStyle w:val="Normal2"/>
              <w:spacing w:line="360" w:lineRule="auto"/>
              <w:contextualSpacing/>
              <w:cnfStyle w:val="000000000000" w:firstRow="0" w:lastRow="0" w:firstColumn="0" w:lastColumn="0" w:oddVBand="0" w:evenVBand="0" w:oddHBand="0" w:evenHBand="0" w:firstRowFirstColumn="0" w:firstRowLastColumn="0" w:lastRowFirstColumn="0" w:lastRowLastColumn="0"/>
              <w:rPr>
                <w:sz w:val="20"/>
              </w:rPr>
            </w:pPr>
            <w:r>
              <w:rPr>
                <w:sz w:val="20"/>
              </w:rPr>
              <w:t>0.004</w:t>
            </w:r>
            <w:r w:rsidR="006B4E19" w:rsidRPr="006B4E19">
              <w:rPr>
                <w:sz w:val="20"/>
              </w:rPr>
              <w:t xml:space="preserve"> (0.</w:t>
            </w:r>
            <w:r w:rsidR="00C417E6">
              <w:rPr>
                <w:sz w:val="20"/>
              </w:rPr>
              <w:t>93</w:t>
            </w:r>
            <w:r w:rsidR="006B4E19" w:rsidRPr="006B4E19">
              <w:rPr>
                <w:sz w:val="20"/>
              </w:rPr>
              <w:t>)</w:t>
            </w:r>
          </w:p>
        </w:tc>
      </w:tr>
      <w:tr w:rsidR="006B4E19" w:rsidRPr="006B4E19" w14:paraId="231C2140" w14:textId="77777777" w:rsidTr="00522A5B">
        <w:trPr>
          <w:cnfStyle w:val="000000100000" w:firstRow="0" w:lastRow="0" w:firstColumn="0" w:lastColumn="0" w:oddVBand="0" w:evenVBand="0" w:oddHBand="1" w:evenHBand="0" w:firstRowFirstColumn="0" w:firstRowLastColumn="0" w:lastRowFirstColumn="0" w:lastRowLastColumn="0"/>
          <w:divId w:val="1194727850"/>
          <w:trHeight w:val="93"/>
        </w:trPr>
        <w:tc>
          <w:tcPr>
            <w:cnfStyle w:val="001000000000" w:firstRow="0" w:lastRow="0" w:firstColumn="1" w:lastColumn="0" w:oddVBand="0" w:evenVBand="0" w:oddHBand="0" w:evenHBand="0" w:firstRowFirstColumn="0" w:firstRowLastColumn="0" w:lastRowFirstColumn="0" w:lastRowLastColumn="0"/>
            <w:tcW w:w="1337" w:type="dxa"/>
            <w:shd w:val="clear" w:color="auto" w:fill="auto"/>
            <w:tcMar>
              <w:left w:w="29" w:type="dxa"/>
              <w:right w:w="29" w:type="dxa"/>
            </w:tcMar>
            <w:vAlign w:val="bottom"/>
          </w:tcPr>
          <w:p w14:paraId="08FE30CF" w14:textId="77777777" w:rsidR="006B4E19" w:rsidRPr="006B4E19" w:rsidRDefault="006B4E19" w:rsidP="00243C66">
            <w:pPr>
              <w:pStyle w:val="Normal2"/>
              <w:spacing w:line="360" w:lineRule="auto"/>
              <w:contextualSpacing/>
              <w:rPr>
                <w:b w:val="0"/>
                <w:sz w:val="20"/>
              </w:rPr>
            </w:pPr>
            <w:r w:rsidRPr="006B4E19">
              <w:rPr>
                <w:b w:val="0"/>
                <w:sz w:val="20"/>
              </w:rPr>
              <w:t xml:space="preserve">  30-44</w:t>
            </w:r>
          </w:p>
        </w:tc>
        <w:tc>
          <w:tcPr>
            <w:tcW w:w="1327" w:type="dxa"/>
            <w:shd w:val="clear" w:color="auto" w:fill="auto"/>
            <w:tcMar>
              <w:left w:w="29" w:type="dxa"/>
              <w:right w:w="29" w:type="dxa"/>
            </w:tcMar>
            <w:vAlign w:val="bottom"/>
          </w:tcPr>
          <w:p w14:paraId="1AA33557" w14:textId="77777777" w:rsidR="006B4E19" w:rsidRPr="006B4E19" w:rsidRDefault="006B4E19" w:rsidP="00243C66">
            <w:pPr>
              <w:pStyle w:val="Normal2"/>
              <w:spacing w:line="360" w:lineRule="auto"/>
              <w:contextualSpacing/>
              <w:cnfStyle w:val="000000100000" w:firstRow="0" w:lastRow="0" w:firstColumn="0" w:lastColumn="0" w:oddVBand="0" w:evenVBand="0" w:oddHBand="1" w:evenHBand="0" w:firstRowFirstColumn="0" w:firstRowLastColumn="0" w:lastRowFirstColumn="0" w:lastRowLastColumn="0"/>
              <w:rPr>
                <w:sz w:val="20"/>
              </w:rPr>
            </w:pPr>
            <w:r w:rsidRPr="006B4E19">
              <w:rPr>
                <w:sz w:val="20"/>
              </w:rPr>
              <w:t xml:space="preserve">38 </w:t>
            </w:r>
            <w:r w:rsidR="00243C66">
              <w:rPr>
                <w:sz w:val="20"/>
              </w:rPr>
              <w:t>845</w:t>
            </w:r>
            <w:r w:rsidRPr="006B4E19">
              <w:rPr>
                <w:sz w:val="20"/>
              </w:rPr>
              <w:t xml:space="preserve"> (23)</w:t>
            </w:r>
          </w:p>
        </w:tc>
        <w:tc>
          <w:tcPr>
            <w:tcW w:w="1027" w:type="dxa"/>
            <w:shd w:val="clear" w:color="auto" w:fill="auto"/>
            <w:tcMar>
              <w:left w:w="29" w:type="dxa"/>
              <w:right w:w="29" w:type="dxa"/>
            </w:tcMar>
            <w:vAlign w:val="bottom"/>
          </w:tcPr>
          <w:p w14:paraId="024210AB" w14:textId="77777777" w:rsidR="006B4E19" w:rsidRPr="006B4E19" w:rsidRDefault="00CB7C68" w:rsidP="00CB7C68">
            <w:pPr>
              <w:pStyle w:val="Normal2"/>
              <w:spacing w:line="360" w:lineRule="auto"/>
              <w:contextualSpacing/>
              <w:cnfStyle w:val="000000100000" w:firstRow="0" w:lastRow="0" w:firstColumn="0" w:lastColumn="0" w:oddVBand="0" w:evenVBand="0" w:oddHBand="1" w:evenHBand="0" w:firstRowFirstColumn="0" w:firstRowLastColumn="0" w:lastRowFirstColumn="0" w:lastRowLastColumn="0"/>
              <w:rPr>
                <w:sz w:val="20"/>
              </w:rPr>
            </w:pPr>
            <w:r>
              <w:rPr>
                <w:sz w:val="20"/>
              </w:rPr>
              <w:t>134</w:t>
            </w:r>
            <w:r w:rsidR="006B4E19" w:rsidRPr="006B4E19">
              <w:rPr>
                <w:sz w:val="20"/>
              </w:rPr>
              <w:t xml:space="preserve"> (</w:t>
            </w:r>
            <w:r>
              <w:rPr>
                <w:sz w:val="20"/>
              </w:rPr>
              <w:t>14</w:t>
            </w:r>
            <w:r w:rsidR="006B4E19" w:rsidRPr="006B4E19">
              <w:rPr>
                <w:sz w:val="20"/>
              </w:rPr>
              <w:t>)</w:t>
            </w:r>
          </w:p>
        </w:tc>
        <w:tc>
          <w:tcPr>
            <w:tcW w:w="1198" w:type="dxa"/>
            <w:vMerge/>
            <w:shd w:val="clear" w:color="auto" w:fill="auto"/>
            <w:tcMar>
              <w:left w:w="29" w:type="dxa"/>
              <w:right w:w="29" w:type="dxa"/>
            </w:tcMar>
            <w:vAlign w:val="bottom"/>
          </w:tcPr>
          <w:p w14:paraId="3B861D3B" w14:textId="77777777" w:rsidR="006B4E19" w:rsidRPr="006B4E19" w:rsidRDefault="006B4E19" w:rsidP="00243C66">
            <w:pPr>
              <w:pStyle w:val="Normal2"/>
              <w:spacing w:line="360" w:lineRule="auto"/>
              <w:contextualSpacing/>
              <w:cnfStyle w:val="000000100000" w:firstRow="0" w:lastRow="0" w:firstColumn="0" w:lastColumn="0" w:oddVBand="0" w:evenVBand="0" w:oddHBand="1" w:evenHBand="0" w:firstRowFirstColumn="0" w:firstRowLastColumn="0" w:lastRowFirstColumn="0" w:lastRowLastColumn="0"/>
              <w:rPr>
                <w:sz w:val="20"/>
              </w:rPr>
            </w:pPr>
          </w:p>
        </w:tc>
      </w:tr>
      <w:tr w:rsidR="006B4E19" w:rsidRPr="006B4E19" w14:paraId="78544B56" w14:textId="77777777" w:rsidTr="00522A5B">
        <w:trPr>
          <w:divId w:val="1194727850"/>
          <w:trHeight w:val="93"/>
        </w:trPr>
        <w:tc>
          <w:tcPr>
            <w:cnfStyle w:val="001000000000" w:firstRow="0" w:lastRow="0" w:firstColumn="1" w:lastColumn="0" w:oddVBand="0" w:evenVBand="0" w:oddHBand="0" w:evenHBand="0" w:firstRowFirstColumn="0" w:firstRowLastColumn="0" w:lastRowFirstColumn="0" w:lastRowLastColumn="0"/>
            <w:tcW w:w="1337" w:type="dxa"/>
            <w:shd w:val="clear" w:color="auto" w:fill="auto"/>
            <w:tcMar>
              <w:left w:w="29" w:type="dxa"/>
              <w:right w:w="29" w:type="dxa"/>
            </w:tcMar>
            <w:vAlign w:val="bottom"/>
          </w:tcPr>
          <w:p w14:paraId="0934634E" w14:textId="77777777" w:rsidR="006B4E19" w:rsidRPr="006B4E19" w:rsidRDefault="006B4E19" w:rsidP="00243C66">
            <w:pPr>
              <w:pStyle w:val="Normal2"/>
              <w:spacing w:line="360" w:lineRule="auto"/>
              <w:contextualSpacing/>
              <w:rPr>
                <w:b w:val="0"/>
                <w:sz w:val="20"/>
              </w:rPr>
            </w:pPr>
            <w:r w:rsidRPr="006B4E19">
              <w:rPr>
                <w:b w:val="0"/>
                <w:sz w:val="20"/>
              </w:rPr>
              <w:t xml:space="preserve">  45-59</w:t>
            </w:r>
          </w:p>
        </w:tc>
        <w:tc>
          <w:tcPr>
            <w:tcW w:w="1327" w:type="dxa"/>
            <w:shd w:val="clear" w:color="auto" w:fill="auto"/>
            <w:tcMar>
              <w:left w:w="29" w:type="dxa"/>
              <w:right w:w="29" w:type="dxa"/>
            </w:tcMar>
            <w:vAlign w:val="bottom"/>
          </w:tcPr>
          <w:p w14:paraId="39D24CA7" w14:textId="77777777" w:rsidR="006B4E19" w:rsidRPr="006B4E19" w:rsidRDefault="00243C66" w:rsidP="00243C66">
            <w:pPr>
              <w:pStyle w:val="Normal2"/>
              <w:spacing w:line="360" w:lineRule="auto"/>
              <w:contextualSpacing/>
              <w:cnfStyle w:val="000000000000" w:firstRow="0" w:lastRow="0" w:firstColumn="0" w:lastColumn="0" w:oddVBand="0" w:evenVBand="0" w:oddHBand="0" w:evenHBand="0" w:firstRowFirstColumn="0" w:firstRowLastColumn="0" w:lastRowFirstColumn="0" w:lastRowLastColumn="0"/>
              <w:rPr>
                <w:sz w:val="20"/>
              </w:rPr>
            </w:pPr>
            <w:r>
              <w:rPr>
                <w:sz w:val="20"/>
              </w:rPr>
              <w:t xml:space="preserve">36 999 </w:t>
            </w:r>
            <w:r w:rsidR="006B4E19" w:rsidRPr="006B4E19">
              <w:rPr>
                <w:sz w:val="20"/>
              </w:rPr>
              <w:t>(22)</w:t>
            </w:r>
          </w:p>
        </w:tc>
        <w:tc>
          <w:tcPr>
            <w:tcW w:w="1027" w:type="dxa"/>
            <w:shd w:val="clear" w:color="auto" w:fill="auto"/>
            <w:tcMar>
              <w:left w:w="29" w:type="dxa"/>
              <w:right w:w="29" w:type="dxa"/>
            </w:tcMar>
            <w:vAlign w:val="bottom"/>
          </w:tcPr>
          <w:p w14:paraId="53D367AD" w14:textId="77777777" w:rsidR="006B4E19" w:rsidRPr="006B4E19" w:rsidRDefault="00CB7C68" w:rsidP="00243C66">
            <w:pPr>
              <w:pStyle w:val="Normal2"/>
              <w:spacing w:line="360" w:lineRule="auto"/>
              <w:contextualSpacing/>
              <w:cnfStyle w:val="000000000000" w:firstRow="0" w:lastRow="0" w:firstColumn="0" w:lastColumn="0" w:oddVBand="0" w:evenVBand="0" w:oddHBand="0" w:evenHBand="0" w:firstRowFirstColumn="0" w:firstRowLastColumn="0" w:lastRowFirstColumn="0" w:lastRowLastColumn="0"/>
              <w:rPr>
                <w:sz w:val="20"/>
              </w:rPr>
            </w:pPr>
            <w:r>
              <w:rPr>
                <w:sz w:val="20"/>
              </w:rPr>
              <w:t>208</w:t>
            </w:r>
            <w:r w:rsidR="006B4E19" w:rsidRPr="006B4E19">
              <w:rPr>
                <w:sz w:val="20"/>
              </w:rPr>
              <w:t xml:space="preserve"> (22)</w:t>
            </w:r>
          </w:p>
        </w:tc>
        <w:tc>
          <w:tcPr>
            <w:tcW w:w="1198" w:type="dxa"/>
            <w:vMerge/>
            <w:shd w:val="clear" w:color="auto" w:fill="auto"/>
            <w:tcMar>
              <w:left w:w="29" w:type="dxa"/>
              <w:right w:w="29" w:type="dxa"/>
            </w:tcMar>
            <w:vAlign w:val="bottom"/>
          </w:tcPr>
          <w:p w14:paraId="703D3CD9" w14:textId="77777777" w:rsidR="006B4E19" w:rsidRPr="006B4E19" w:rsidRDefault="006B4E19" w:rsidP="00243C66">
            <w:pPr>
              <w:pStyle w:val="Normal2"/>
              <w:spacing w:line="360" w:lineRule="auto"/>
              <w:contextualSpacing/>
              <w:cnfStyle w:val="000000000000" w:firstRow="0" w:lastRow="0" w:firstColumn="0" w:lastColumn="0" w:oddVBand="0" w:evenVBand="0" w:oddHBand="0" w:evenHBand="0" w:firstRowFirstColumn="0" w:firstRowLastColumn="0" w:lastRowFirstColumn="0" w:lastRowLastColumn="0"/>
              <w:rPr>
                <w:sz w:val="20"/>
              </w:rPr>
            </w:pPr>
          </w:p>
        </w:tc>
      </w:tr>
      <w:tr w:rsidR="006B4E19" w:rsidRPr="006B4E19" w14:paraId="17A2A0C3" w14:textId="77777777" w:rsidTr="00522A5B">
        <w:trPr>
          <w:cnfStyle w:val="000000100000" w:firstRow="0" w:lastRow="0" w:firstColumn="0" w:lastColumn="0" w:oddVBand="0" w:evenVBand="0" w:oddHBand="1" w:evenHBand="0" w:firstRowFirstColumn="0" w:firstRowLastColumn="0" w:lastRowFirstColumn="0" w:lastRowLastColumn="0"/>
          <w:divId w:val="1194727850"/>
          <w:trHeight w:val="93"/>
        </w:trPr>
        <w:tc>
          <w:tcPr>
            <w:cnfStyle w:val="001000000000" w:firstRow="0" w:lastRow="0" w:firstColumn="1" w:lastColumn="0" w:oddVBand="0" w:evenVBand="0" w:oddHBand="0" w:evenHBand="0" w:firstRowFirstColumn="0" w:firstRowLastColumn="0" w:lastRowFirstColumn="0" w:lastRowLastColumn="0"/>
            <w:tcW w:w="1337" w:type="dxa"/>
            <w:shd w:val="clear" w:color="auto" w:fill="auto"/>
            <w:tcMar>
              <w:left w:w="29" w:type="dxa"/>
              <w:right w:w="29" w:type="dxa"/>
            </w:tcMar>
            <w:vAlign w:val="bottom"/>
          </w:tcPr>
          <w:p w14:paraId="54DB21D8" w14:textId="77777777" w:rsidR="006B4E19" w:rsidRPr="006B4E19" w:rsidRDefault="006B4E19" w:rsidP="00243C66">
            <w:pPr>
              <w:pStyle w:val="Normal2"/>
              <w:spacing w:line="360" w:lineRule="auto"/>
              <w:contextualSpacing/>
              <w:rPr>
                <w:b w:val="0"/>
                <w:sz w:val="20"/>
              </w:rPr>
            </w:pPr>
            <w:r w:rsidRPr="006B4E19">
              <w:rPr>
                <w:b w:val="0"/>
                <w:sz w:val="20"/>
              </w:rPr>
              <w:t xml:space="preserve">  60-74</w:t>
            </w:r>
          </w:p>
        </w:tc>
        <w:tc>
          <w:tcPr>
            <w:tcW w:w="1327" w:type="dxa"/>
            <w:shd w:val="clear" w:color="auto" w:fill="auto"/>
            <w:tcMar>
              <w:left w:w="29" w:type="dxa"/>
              <w:right w:w="29" w:type="dxa"/>
            </w:tcMar>
            <w:vAlign w:val="bottom"/>
          </w:tcPr>
          <w:p w14:paraId="75AE4231" w14:textId="77777777" w:rsidR="006B4E19" w:rsidRPr="006B4E19" w:rsidRDefault="00243C66" w:rsidP="00243C66">
            <w:pPr>
              <w:pStyle w:val="Normal2"/>
              <w:spacing w:line="360" w:lineRule="auto"/>
              <w:contextualSpacing/>
              <w:cnfStyle w:val="000000100000" w:firstRow="0" w:lastRow="0" w:firstColumn="0" w:lastColumn="0" w:oddVBand="0" w:evenVBand="0" w:oddHBand="1" w:evenHBand="0" w:firstRowFirstColumn="0" w:firstRowLastColumn="0" w:lastRowFirstColumn="0" w:lastRowLastColumn="0"/>
              <w:rPr>
                <w:sz w:val="20"/>
              </w:rPr>
            </w:pPr>
            <w:r>
              <w:rPr>
                <w:sz w:val="20"/>
              </w:rPr>
              <w:t>43</w:t>
            </w:r>
            <w:r w:rsidR="006B4E19" w:rsidRPr="006B4E19">
              <w:rPr>
                <w:sz w:val="20"/>
              </w:rPr>
              <w:t xml:space="preserve"> 6</w:t>
            </w:r>
            <w:r>
              <w:rPr>
                <w:sz w:val="20"/>
              </w:rPr>
              <w:t>43</w:t>
            </w:r>
            <w:r w:rsidR="006B4E19" w:rsidRPr="006B4E19">
              <w:rPr>
                <w:sz w:val="20"/>
              </w:rPr>
              <w:t xml:space="preserve"> (26)</w:t>
            </w:r>
          </w:p>
        </w:tc>
        <w:tc>
          <w:tcPr>
            <w:tcW w:w="1027" w:type="dxa"/>
            <w:shd w:val="clear" w:color="auto" w:fill="auto"/>
            <w:tcMar>
              <w:left w:w="29" w:type="dxa"/>
              <w:right w:w="29" w:type="dxa"/>
            </w:tcMar>
            <w:vAlign w:val="bottom"/>
          </w:tcPr>
          <w:p w14:paraId="392E5321" w14:textId="77777777" w:rsidR="006B4E19" w:rsidRPr="006B4E19" w:rsidRDefault="00CB7C68" w:rsidP="00243C66">
            <w:pPr>
              <w:pStyle w:val="Normal2"/>
              <w:spacing w:line="360" w:lineRule="auto"/>
              <w:contextualSpacing/>
              <w:cnfStyle w:val="000000100000" w:firstRow="0" w:lastRow="0" w:firstColumn="0" w:lastColumn="0" w:oddVBand="0" w:evenVBand="0" w:oddHBand="1" w:evenHBand="0" w:firstRowFirstColumn="0" w:firstRowLastColumn="0" w:lastRowFirstColumn="0" w:lastRowLastColumn="0"/>
              <w:rPr>
                <w:sz w:val="20"/>
              </w:rPr>
            </w:pPr>
            <w:r>
              <w:rPr>
                <w:sz w:val="20"/>
              </w:rPr>
              <w:t>267</w:t>
            </w:r>
            <w:r w:rsidR="006B4E19" w:rsidRPr="006B4E19">
              <w:rPr>
                <w:sz w:val="20"/>
              </w:rPr>
              <w:t xml:space="preserve"> (28)</w:t>
            </w:r>
          </w:p>
        </w:tc>
        <w:tc>
          <w:tcPr>
            <w:tcW w:w="1198" w:type="dxa"/>
            <w:vMerge/>
            <w:shd w:val="clear" w:color="auto" w:fill="auto"/>
            <w:tcMar>
              <w:left w:w="29" w:type="dxa"/>
              <w:right w:w="29" w:type="dxa"/>
            </w:tcMar>
            <w:vAlign w:val="bottom"/>
          </w:tcPr>
          <w:p w14:paraId="4137E03F" w14:textId="77777777" w:rsidR="006B4E19" w:rsidRPr="006B4E19" w:rsidRDefault="006B4E19" w:rsidP="00243C66">
            <w:pPr>
              <w:pStyle w:val="Normal2"/>
              <w:spacing w:line="360" w:lineRule="auto"/>
              <w:contextualSpacing/>
              <w:cnfStyle w:val="000000100000" w:firstRow="0" w:lastRow="0" w:firstColumn="0" w:lastColumn="0" w:oddVBand="0" w:evenVBand="0" w:oddHBand="1" w:evenHBand="0" w:firstRowFirstColumn="0" w:firstRowLastColumn="0" w:lastRowFirstColumn="0" w:lastRowLastColumn="0"/>
              <w:rPr>
                <w:sz w:val="20"/>
              </w:rPr>
            </w:pPr>
          </w:p>
        </w:tc>
      </w:tr>
      <w:tr w:rsidR="006B4E19" w:rsidRPr="006B4E19" w14:paraId="5B9FD8A4" w14:textId="77777777" w:rsidTr="00522A5B">
        <w:trPr>
          <w:divId w:val="1194727850"/>
          <w:trHeight w:val="93"/>
        </w:trPr>
        <w:tc>
          <w:tcPr>
            <w:cnfStyle w:val="001000000000" w:firstRow="0" w:lastRow="0" w:firstColumn="1" w:lastColumn="0" w:oddVBand="0" w:evenVBand="0" w:oddHBand="0" w:evenHBand="0" w:firstRowFirstColumn="0" w:firstRowLastColumn="0" w:lastRowFirstColumn="0" w:lastRowLastColumn="0"/>
            <w:tcW w:w="1337" w:type="dxa"/>
            <w:shd w:val="clear" w:color="auto" w:fill="auto"/>
            <w:tcMar>
              <w:left w:w="29" w:type="dxa"/>
              <w:right w:w="29" w:type="dxa"/>
            </w:tcMar>
            <w:vAlign w:val="bottom"/>
          </w:tcPr>
          <w:p w14:paraId="54FE2471" w14:textId="77777777" w:rsidR="006B4E19" w:rsidRPr="006B4E19" w:rsidRDefault="006B4E19" w:rsidP="00243C66">
            <w:pPr>
              <w:pStyle w:val="Normal2"/>
              <w:spacing w:line="360" w:lineRule="auto"/>
              <w:contextualSpacing/>
              <w:rPr>
                <w:b w:val="0"/>
                <w:sz w:val="20"/>
              </w:rPr>
            </w:pPr>
            <w:r w:rsidRPr="006B4E19">
              <w:rPr>
                <w:b w:val="0"/>
                <w:sz w:val="20"/>
              </w:rPr>
              <w:t xml:space="preserve">  75-90</w:t>
            </w:r>
          </w:p>
        </w:tc>
        <w:tc>
          <w:tcPr>
            <w:tcW w:w="1327" w:type="dxa"/>
            <w:shd w:val="clear" w:color="auto" w:fill="auto"/>
            <w:tcMar>
              <w:left w:w="29" w:type="dxa"/>
              <w:right w:w="29" w:type="dxa"/>
            </w:tcMar>
            <w:vAlign w:val="bottom"/>
          </w:tcPr>
          <w:p w14:paraId="34C8E775" w14:textId="77777777" w:rsidR="006B4E19" w:rsidRPr="006B4E19" w:rsidRDefault="006B4E19" w:rsidP="00243C66">
            <w:pPr>
              <w:pStyle w:val="Normal2"/>
              <w:spacing w:line="360" w:lineRule="auto"/>
              <w:contextualSpacing/>
              <w:cnfStyle w:val="000000000000" w:firstRow="0" w:lastRow="0" w:firstColumn="0" w:lastColumn="0" w:oddVBand="0" w:evenVBand="0" w:oddHBand="0" w:evenHBand="0" w:firstRowFirstColumn="0" w:firstRowLastColumn="0" w:lastRowFirstColumn="0" w:lastRowLastColumn="0"/>
              <w:rPr>
                <w:sz w:val="20"/>
              </w:rPr>
            </w:pPr>
            <w:r w:rsidRPr="006B4E19">
              <w:rPr>
                <w:sz w:val="20"/>
              </w:rPr>
              <w:t xml:space="preserve">25 </w:t>
            </w:r>
            <w:r w:rsidR="00243C66">
              <w:rPr>
                <w:sz w:val="20"/>
              </w:rPr>
              <w:t>912</w:t>
            </w:r>
            <w:r w:rsidRPr="006B4E19">
              <w:rPr>
                <w:sz w:val="20"/>
              </w:rPr>
              <w:t xml:space="preserve"> (15)</w:t>
            </w:r>
          </w:p>
        </w:tc>
        <w:tc>
          <w:tcPr>
            <w:tcW w:w="1027" w:type="dxa"/>
            <w:shd w:val="clear" w:color="auto" w:fill="auto"/>
            <w:tcMar>
              <w:left w:w="29" w:type="dxa"/>
              <w:right w:w="29" w:type="dxa"/>
            </w:tcMar>
            <w:vAlign w:val="bottom"/>
          </w:tcPr>
          <w:p w14:paraId="1A643645" w14:textId="77777777" w:rsidR="006B4E19" w:rsidRPr="006B4E19" w:rsidRDefault="00CB7C68" w:rsidP="00CB7C68">
            <w:pPr>
              <w:pStyle w:val="Normal2"/>
              <w:spacing w:line="360" w:lineRule="auto"/>
              <w:contextualSpacing/>
              <w:cnfStyle w:val="000000000000" w:firstRow="0" w:lastRow="0" w:firstColumn="0" w:lastColumn="0" w:oddVBand="0" w:evenVBand="0" w:oddHBand="0" w:evenHBand="0" w:firstRowFirstColumn="0" w:firstRowLastColumn="0" w:lastRowFirstColumn="0" w:lastRowLastColumn="0"/>
              <w:rPr>
                <w:sz w:val="20"/>
              </w:rPr>
            </w:pPr>
            <w:r>
              <w:rPr>
                <w:sz w:val="20"/>
              </w:rPr>
              <w:t>217</w:t>
            </w:r>
            <w:r w:rsidR="006B4E19" w:rsidRPr="006B4E19">
              <w:rPr>
                <w:sz w:val="20"/>
              </w:rPr>
              <w:t xml:space="preserve"> (</w:t>
            </w:r>
            <w:r>
              <w:rPr>
                <w:sz w:val="20"/>
              </w:rPr>
              <w:t>23</w:t>
            </w:r>
            <w:r w:rsidR="006B4E19" w:rsidRPr="006B4E19">
              <w:rPr>
                <w:sz w:val="20"/>
              </w:rPr>
              <w:t>)</w:t>
            </w:r>
          </w:p>
        </w:tc>
        <w:tc>
          <w:tcPr>
            <w:tcW w:w="1198" w:type="dxa"/>
            <w:vMerge/>
            <w:shd w:val="clear" w:color="auto" w:fill="auto"/>
            <w:tcMar>
              <w:left w:w="29" w:type="dxa"/>
              <w:right w:w="29" w:type="dxa"/>
            </w:tcMar>
            <w:vAlign w:val="bottom"/>
          </w:tcPr>
          <w:p w14:paraId="1182A27A" w14:textId="77777777" w:rsidR="006B4E19" w:rsidRPr="006B4E19" w:rsidRDefault="006B4E19" w:rsidP="00243C66">
            <w:pPr>
              <w:pStyle w:val="Normal2"/>
              <w:spacing w:line="360" w:lineRule="auto"/>
              <w:contextualSpacing/>
              <w:cnfStyle w:val="000000000000" w:firstRow="0" w:lastRow="0" w:firstColumn="0" w:lastColumn="0" w:oddVBand="0" w:evenVBand="0" w:oddHBand="0" w:evenHBand="0" w:firstRowFirstColumn="0" w:firstRowLastColumn="0" w:lastRowFirstColumn="0" w:lastRowLastColumn="0"/>
              <w:rPr>
                <w:sz w:val="20"/>
              </w:rPr>
            </w:pPr>
          </w:p>
        </w:tc>
      </w:tr>
      <w:tr w:rsidR="006B4E19" w:rsidRPr="006B4E19" w14:paraId="6D2CA14E" w14:textId="77777777" w:rsidTr="00522A5B">
        <w:trPr>
          <w:cnfStyle w:val="000000100000" w:firstRow="0" w:lastRow="0" w:firstColumn="0" w:lastColumn="0" w:oddVBand="0" w:evenVBand="0" w:oddHBand="1" w:evenHBand="0" w:firstRowFirstColumn="0" w:firstRowLastColumn="0" w:lastRowFirstColumn="0" w:lastRowLastColumn="0"/>
          <w:divId w:val="1194727850"/>
          <w:trHeight w:val="93"/>
        </w:trPr>
        <w:tc>
          <w:tcPr>
            <w:cnfStyle w:val="001000000000" w:firstRow="0" w:lastRow="0" w:firstColumn="1" w:lastColumn="0" w:oddVBand="0" w:evenVBand="0" w:oddHBand="0" w:evenHBand="0" w:firstRowFirstColumn="0" w:firstRowLastColumn="0" w:lastRowFirstColumn="0" w:lastRowLastColumn="0"/>
            <w:tcW w:w="1337" w:type="dxa"/>
            <w:shd w:val="clear" w:color="auto" w:fill="auto"/>
            <w:tcMar>
              <w:left w:w="29" w:type="dxa"/>
              <w:right w:w="29" w:type="dxa"/>
            </w:tcMar>
            <w:vAlign w:val="bottom"/>
          </w:tcPr>
          <w:p w14:paraId="1E46FFDF" w14:textId="77777777" w:rsidR="006B4E19" w:rsidRPr="006B4E19" w:rsidRDefault="006B4E19" w:rsidP="00243C66">
            <w:pPr>
              <w:pStyle w:val="Normal2"/>
              <w:spacing w:line="360" w:lineRule="auto"/>
              <w:contextualSpacing/>
              <w:rPr>
                <w:b w:val="0"/>
                <w:sz w:val="20"/>
              </w:rPr>
            </w:pPr>
            <w:r w:rsidRPr="006B4E19">
              <w:rPr>
                <w:b w:val="0"/>
                <w:sz w:val="20"/>
              </w:rPr>
              <w:t xml:space="preserve">  ≥90</w:t>
            </w:r>
          </w:p>
        </w:tc>
        <w:tc>
          <w:tcPr>
            <w:tcW w:w="1327" w:type="dxa"/>
            <w:shd w:val="clear" w:color="auto" w:fill="auto"/>
            <w:tcMar>
              <w:left w:w="29" w:type="dxa"/>
              <w:right w:w="29" w:type="dxa"/>
            </w:tcMar>
            <w:vAlign w:val="bottom"/>
          </w:tcPr>
          <w:p w14:paraId="24D2BDE5" w14:textId="77777777" w:rsidR="006B4E19" w:rsidRPr="006B4E19" w:rsidRDefault="006B4E19" w:rsidP="00243C66">
            <w:pPr>
              <w:pStyle w:val="Normal2"/>
              <w:spacing w:line="360" w:lineRule="auto"/>
              <w:contextualSpacing/>
              <w:cnfStyle w:val="000000100000" w:firstRow="0" w:lastRow="0" w:firstColumn="0" w:lastColumn="0" w:oddVBand="0" w:evenVBand="0" w:oddHBand="1" w:evenHBand="0" w:firstRowFirstColumn="0" w:firstRowLastColumn="0" w:lastRowFirstColumn="0" w:lastRowLastColumn="0"/>
              <w:rPr>
                <w:sz w:val="20"/>
              </w:rPr>
            </w:pPr>
            <w:r w:rsidRPr="006B4E19">
              <w:rPr>
                <w:sz w:val="20"/>
              </w:rPr>
              <w:t xml:space="preserve">3 </w:t>
            </w:r>
            <w:r w:rsidR="00243C66">
              <w:rPr>
                <w:sz w:val="20"/>
              </w:rPr>
              <w:t>202</w:t>
            </w:r>
            <w:r w:rsidRPr="006B4E19">
              <w:rPr>
                <w:sz w:val="20"/>
              </w:rPr>
              <w:t xml:space="preserve"> (2)</w:t>
            </w:r>
          </w:p>
        </w:tc>
        <w:tc>
          <w:tcPr>
            <w:tcW w:w="1027" w:type="dxa"/>
            <w:shd w:val="clear" w:color="auto" w:fill="auto"/>
            <w:tcMar>
              <w:left w:w="29" w:type="dxa"/>
              <w:right w:w="29" w:type="dxa"/>
            </w:tcMar>
            <w:vAlign w:val="bottom"/>
          </w:tcPr>
          <w:p w14:paraId="43CBB04A" w14:textId="77777777" w:rsidR="006B4E19" w:rsidRPr="006B4E19" w:rsidRDefault="00CB7C68" w:rsidP="00CB7C68">
            <w:pPr>
              <w:pStyle w:val="Normal2"/>
              <w:spacing w:line="360" w:lineRule="auto"/>
              <w:contextualSpacing/>
              <w:cnfStyle w:val="000000100000" w:firstRow="0" w:lastRow="0" w:firstColumn="0" w:lastColumn="0" w:oddVBand="0" w:evenVBand="0" w:oddHBand="1" w:evenHBand="0" w:firstRowFirstColumn="0" w:firstRowLastColumn="0" w:lastRowFirstColumn="0" w:lastRowLastColumn="0"/>
              <w:rPr>
                <w:sz w:val="20"/>
              </w:rPr>
            </w:pPr>
            <w:r>
              <w:rPr>
                <w:sz w:val="20"/>
              </w:rPr>
              <w:t>32</w:t>
            </w:r>
            <w:r w:rsidR="006B4E19" w:rsidRPr="006B4E19">
              <w:rPr>
                <w:sz w:val="20"/>
              </w:rPr>
              <w:t xml:space="preserve"> (</w:t>
            </w:r>
            <w:r>
              <w:rPr>
                <w:sz w:val="20"/>
              </w:rPr>
              <w:t>3</w:t>
            </w:r>
            <w:r w:rsidR="006B4E19" w:rsidRPr="006B4E19">
              <w:rPr>
                <w:sz w:val="20"/>
              </w:rPr>
              <w:t>)</w:t>
            </w:r>
          </w:p>
        </w:tc>
        <w:tc>
          <w:tcPr>
            <w:tcW w:w="1198" w:type="dxa"/>
            <w:vMerge/>
            <w:shd w:val="clear" w:color="auto" w:fill="auto"/>
            <w:tcMar>
              <w:left w:w="29" w:type="dxa"/>
              <w:right w:w="29" w:type="dxa"/>
            </w:tcMar>
            <w:vAlign w:val="bottom"/>
          </w:tcPr>
          <w:p w14:paraId="7836E643" w14:textId="77777777" w:rsidR="006B4E19" w:rsidRPr="006B4E19" w:rsidRDefault="006B4E19" w:rsidP="00243C66">
            <w:pPr>
              <w:pStyle w:val="Normal2"/>
              <w:spacing w:line="360" w:lineRule="auto"/>
              <w:contextualSpacing/>
              <w:cnfStyle w:val="000000100000" w:firstRow="0" w:lastRow="0" w:firstColumn="0" w:lastColumn="0" w:oddVBand="0" w:evenVBand="0" w:oddHBand="1" w:evenHBand="0" w:firstRowFirstColumn="0" w:firstRowLastColumn="0" w:lastRowFirstColumn="0" w:lastRowLastColumn="0"/>
              <w:rPr>
                <w:sz w:val="20"/>
              </w:rPr>
            </w:pPr>
          </w:p>
        </w:tc>
      </w:tr>
    </w:tbl>
    <w:p w14:paraId="64352F09" w14:textId="77777777" w:rsidR="006B4E19" w:rsidRDefault="006B4E19" w:rsidP="002314C5">
      <w:pPr>
        <w:pStyle w:val="Normal2"/>
        <w:contextualSpacing/>
        <w:divId w:val="1194727850"/>
      </w:pPr>
    </w:p>
    <w:p w14:paraId="675A564A" w14:textId="77777777" w:rsidR="00F80619" w:rsidRDefault="00F80619" w:rsidP="009130C4">
      <w:pPr>
        <w:pStyle w:val="Normal2"/>
        <w:contextualSpacing/>
        <w:divId w:val="1194727850"/>
      </w:pPr>
      <w:r>
        <w:t>Abbreviation</w:t>
      </w:r>
      <w:r w:rsidR="00CA0B7E">
        <w:t>:</w:t>
      </w:r>
      <w:r>
        <w:t xml:space="preserve"> CDI, </w:t>
      </w:r>
      <w:r>
        <w:rPr>
          <w:i/>
        </w:rPr>
        <w:t xml:space="preserve">Clostridium difficile </w:t>
      </w:r>
      <w:r>
        <w:t>infection;</w:t>
      </w:r>
      <w:r w:rsidR="00906F5F">
        <w:t xml:space="preserve"> ICD-9, </w:t>
      </w:r>
      <w:r w:rsidR="00906F5F" w:rsidRPr="00556E30">
        <w:rPr>
          <w:i/>
        </w:rPr>
        <w:t>International Classification of Diseases Ninth Revision</w:t>
      </w:r>
      <w:r w:rsidR="00906F5F">
        <w:t>;</w:t>
      </w:r>
      <w:r>
        <w:t xml:space="preserve"> </w:t>
      </w:r>
      <w:r w:rsidR="00906F5F">
        <w:t xml:space="preserve">EIA, enzyme immunoassay; PCR, polymerase chain reaction; </w:t>
      </w:r>
      <w:r>
        <w:t>SMD, standardized mean difference.</w:t>
      </w:r>
      <w:r w:rsidR="00CA0B7E">
        <w:t xml:space="preserve"> </w:t>
      </w:r>
    </w:p>
    <w:p w14:paraId="0FAD55EA" w14:textId="77777777" w:rsidR="004E1E56" w:rsidRPr="004E1E56" w:rsidRDefault="004E1E56" w:rsidP="009130C4">
      <w:pPr>
        <w:pStyle w:val="Normal2"/>
        <w:contextualSpacing/>
        <w:divId w:val="1194727850"/>
      </w:pPr>
      <w:proofErr w:type="gramStart"/>
      <w:r>
        <w:rPr>
          <w:vertAlign w:val="superscript"/>
        </w:rPr>
        <w:t>a</w:t>
      </w:r>
      <w:proofErr w:type="gramEnd"/>
      <w:r w:rsidR="00CD0DEF">
        <w:rPr>
          <w:vertAlign w:val="superscript"/>
        </w:rPr>
        <w:t xml:space="preserve"> </w:t>
      </w:r>
      <w:r w:rsidR="009D0B21">
        <w:t xml:space="preserve">Separate columns are unnecessary </w:t>
      </w:r>
      <w:r>
        <w:t xml:space="preserve">because </w:t>
      </w:r>
      <w:r w:rsidR="00C9554A">
        <w:t xml:space="preserve">1:1 </w:t>
      </w:r>
      <w:r>
        <w:t xml:space="preserve">exact matching was performed on the characteristics </w:t>
      </w:r>
      <w:r w:rsidR="00CD0DEF">
        <w:t>shown</w:t>
      </w:r>
      <w:r w:rsidR="009D0B21">
        <w:t>,</w:t>
      </w:r>
      <w:r>
        <w:t xml:space="preserve"> and therefore </w:t>
      </w:r>
      <w:r w:rsidR="009C323E">
        <w:t>all</w:t>
      </w:r>
      <w:r>
        <w:t xml:space="preserve"> v</w:t>
      </w:r>
      <w:r w:rsidR="00CD0DEF">
        <w:t xml:space="preserve">alues </w:t>
      </w:r>
      <w:r w:rsidR="00A52C5C">
        <w:t>are</w:t>
      </w:r>
      <w:r w:rsidR="00CD0DEF">
        <w:t xml:space="preserve"> identical.</w:t>
      </w:r>
    </w:p>
    <w:p w14:paraId="07C59D3F" w14:textId="77777777" w:rsidR="001819C3" w:rsidRPr="00970698" w:rsidRDefault="00CD0DEF" w:rsidP="009130C4">
      <w:pPr>
        <w:pStyle w:val="Normal2"/>
        <w:contextualSpacing/>
        <w:divId w:val="1194727850"/>
      </w:pPr>
      <w:proofErr w:type="gramStart"/>
      <w:r>
        <w:rPr>
          <w:vertAlign w:val="superscript"/>
        </w:rPr>
        <w:t>b</w:t>
      </w:r>
      <w:proofErr w:type="gramEnd"/>
      <w:r>
        <w:rPr>
          <w:vertAlign w:val="superscript"/>
        </w:rPr>
        <w:t xml:space="preserve"> </w:t>
      </w:r>
      <w:r w:rsidR="00A52C5C">
        <w:t>SMD is shown</w:t>
      </w:r>
      <w:r>
        <w:t xml:space="preserve"> for age </w:t>
      </w:r>
      <w:r w:rsidR="00A52C5C">
        <w:t xml:space="preserve">treated </w:t>
      </w:r>
      <w:r>
        <w:t xml:space="preserve">as a continuous variable; coarsened exact matching was performed using the listed </w:t>
      </w:r>
      <w:r w:rsidR="00030F19">
        <w:t xml:space="preserve">age </w:t>
      </w:r>
      <w:r>
        <w:t>ranges.</w:t>
      </w:r>
      <w:r w:rsidR="001819C3" w:rsidRPr="00970698">
        <w:br w:type="page"/>
      </w:r>
    </w:p>
    <w:p w14:paraId="432E25F2" w14:textId="461566FC" w:rsidR="00306E1F" w:rsidRDefault="001E16A3" w:rsidP="00A54E61">
      <w:pPr>
        <w:pStyle w:val="Heading1"/>
        <w:divId w:val="1194727850"/>
      </w:pPr>
      <w:r>
        <w:lastRenderedPageBreak/>
        <w:t>Figure</w:t>
      </w:r>
      <w:r w:rsidR="00427BE0">
        <w:t>s</w:t>
      </w:r>
    </w:p>
    <w:p w14:paraId="5C728742" w14:textId="6076E21E" w:rsidR="00A15236" w:rsidRDefault="005022D1" w:rsidP="002314C5">
      <w:pPr>
        <w:pStyle w:val="Normal2"/>
        <w:contextualSpacing/>
        <w:divId w:val="1194727850"/>
        <w:rPr>
          <w:b/>
        </w:rPr>
      </w:pPr>
      <w:r>
        <w:rPr>
          <w:b/>
          <w:noProof/>
        </w:rPr>
        <w:drawing>
          <wp:inline distT="0" distB="0" distL="0" distR="0" wp14:anchorId="4C88C985" wp14:editId="560841AA">
            <wp:extent cx="3568280" cy="4317590"/>
            <wp:effectExtent l="0" t="0" r="0" b="635"/>
            <wp:docPr id="2" name="Picture 2" descr="Macintosh HD:Users:powerpak:Dropbox:MSSM:kasarskis:pathogen surveillance:cdiff:cost analysis:paper:figs:1_metho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powerpak:Dropbox:MSSM:kasarskis:pathogen surveillance:cdiff:cost analysis:paper:figs:1_methods.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69242" cy="4318754"/>
                    </a:xfrm>
                    <a:prstGeom prst="rect">
                      <a:avLst/>
                    </a:prstGeom>
                    <a:noFill/>
                    <a:ln>
                      <a:noFill/>
                    </a:ln>
                  </pic:spPr>
                </pic:pic>
              </a:graphicData>
            </a:graphic>
          </wp:inline>
        </w:drawing>
      </w:r>
    </w:p>
    <w:p w14:paraId="30BBE0B8" w14:textId="73175941" w:rsidR="007C7EFA" w:rsidRDefault="007A3287" w:rsidP="00061E9A">
      <w:pPr>
        <w:pStyle w:val="Normal2"/>
        <w:contextualSpacing/>
        <w:divId w:val="1194727850"/>
      </w:pPr>
      <w:r>
        <w:rPr>
          <w:b/>
        </w:rPr>
        <w:t xml:space="preserve">Figure 1. </w:t>
      </w:r>
      <w:r w:rsidR="003423DE">
        <w:rPr>
          <w:b/>
        </w:rPr>
        <w:t>Data Sources and Inclusion/Exclusion Criteria</w:t>
      </w:r>
      <w:r w:rsidR="003423DE" w:rsidRPr="003423DE">
        <w:rPr>
          <w:b/>
        </w:rPr>
        <w:t>.</w:t>
      </w:r>
      <w:r w:rsidR="003423DE">
        <w:t xml:space="preserve"> A, entity-relationship diagram for </w:t>
      </w:r>
      <w:r w:rsidR="001E7F89">
        <w:t xml:space="preserve">all </w:t>
      </w:r>
      <w:r w:rsidR="003423DE">
        <w:t>EMR data used to</w:t>
      </w:r>
      <w:r w:rsidR="00DF3F79">
        <w:t xml:space="preserve"> gener</w:t>
      </w:r>
      <w:r w:rsidR="00B1751E">
        <w:t>a</w:t>
      </w:r>
      <w:r w:rsidR="00DF3F79">
        <w:t>te</w:t>
      </w:r>
      <w:r w:rsidR="003423DE">
        <w:t xml:space="preserve"> </w:t>
      </w:r>
      <w:r w:rsidR="00196EFD">
        <w:t>models of CDI propensity</w:t>
      </w:r>
      <w:r w:rsidR="00B12903">
        <w:t xml:space="preserve">, using </w:t>
      </w:r>
      <w:r w:rsidR="005E5BFA">
        <w:t>Information Engineering</w:t>
      </w:r>
      <w:r w:rsidR="00B12903">
        <w:t xml:space="preserve"> notation</w:t>
      </w:r>
      <w:r w:rsidR="00196EFD">
        <w:t>.</w:t>
      </w:r>
      <w:r w:rsidR="008D5BF0">
        <w:fldChar w:fldCharType="begin" w:fldLock="1"/>
      </w:r>
      <w:r w:rsidR="00717812">
        <w:instrText>ADDIN CSL_CITATION { "citationItems" : [ { "id" : "ITEM-1", "itemData" : { "ISBN" : "9780080568737", "author" : [ { "dropping-particle" : "", "family" : "Halpin", "given" : "Terry", "non-dropping-particle" : "", "parse-names" : false, "suffix" : "" }, { "dropping-particle" : "", "family" : "Morgan", "given" : "Tony", "non-dropping-particle" : "", "parse-names" : false, "suffix" : "" } ], "edition" : "2", "id" : "ITEM-1", "issued" : { "date-parts" : [ [ "2010" ] ] }, "number-of-pages" : "976", "publisher" : "Elsevier Science", "title" : "Information Modeling and Relational Databases", "type" : "book" }, "uris" : [ "http://www.mendeley.com/documents/?uuid=65abf887-7cbb-4b72-aa0b-e1d98fbdac67" ] } ], "mendeley" : { "formattedCitation" : "\\autocite{Halpin2010}", "plainTextFormattedCitation" : "\\autocite{Halpin2010}", "previouslyFormattedCitation" : "&lt;sup&gt;40&lt;/sup&gt;" }, "properties" : { "noteIndex" : 0 }, "schema" : "https://github.com/citation-style-language/schema/raw/master/csl-citation.json" }</w:instrText>
      </w:r>
      <w:r w:rsidR="008D5BF0">
        <w:fldChar w:fldCharType="separate"/>
      </w:r>
      <w:r w:rsidR="00717812" w:rsidRPr="00717812">
        <w:rPr>
          <w:noProof/>
        </w:rPr>
        <w:t>\autocite{Halpin2010}</w:t>
      </w:r>
      <w:r w:rsidR="008D5BF0">
        <w:fldChar w:fldCharType="end"/>
      </w:r>
      <w:r w:rsidR="00196EFD">
        <w:t xml:space="preserve"> </w:t>
      </w:r>
      <w:r w:rsidR="00C3389D">
        <w:t>Boxes represent tables of entities</w:t>
      </w:r>
      <w:r w:rsidR="00642460">
        <w:t xml:space="preserve"> with </w:t>
      </w:r>
      <w:r w:rsidR="00AF31DE">
        <w:t xml:space="preserve">any directly </w:t>
      </w:r>
      <w:r w:rsidR="00AE07E4">
        <w:t>associated</w:t>
      </w:r>
      <w:r w:rsidR="00AF31DE">
        <w:t xml:space="preserve"> </w:t>
      </w:r>
      <w:r w:rsidR="00C86EFC">
        <w:t>attributes (fields)</w:t>
      </w:r>
      <w:r w:rsidR="008D0B9A">
        <w:t xml:space="preserve"> </w:t>
      </w:r>
      <w:r w:rsidR="00642460">
        <w:t>listed below</w:t>
      </w:r>
      <w:r w:rsidR="00C3389D">
        <w:t>;</w:t>
      </w:r>
      <w:r w:rsidR="00D91930">
        <w:t xml:space="preserve"> single lines represent relationships</w:t>
      </w:r>
      <w:r w:rsidR="00812FAD">
        <w:t>,</w:t>
      </w:r>
      <w:r w:rsidR="00662DC4">
        <w:t xml:space="preserve"> with arrowheads indicating </w:t>
      </w:r>
      <w:r w:rsidR="00E75644">
        <w:t xml:space="preserve">the </w:t>
      </w:r>
      <w:r w:rsidR="00662DC4">
        <w:t xml:space="preserve">cardinality of </w:t>
      </w:r>
      <w:r w:rsidR="0005045A">
        <w:t>each side of the</w:t>
      </w:r>
      <w:r w:rsidR="00662DC4">
        <w:t xml:space="preserve"> relationship</w:t>
      </w:r>
      <w:r w:rsidR="00D91930">
        <w:t>;</w:t>
      </w:r>
      <w:r w:rsidR="002B7319">
        <w:t xml:space="preserve"> crow’s foot arrowh</w:t>
      </w:r>
      <w:r w:rsidR="00E66ADA">
        <w:t>ea</w:t>
      </w:r>
      <w:r w:rsidR="00B12903">
        <w:t>d with circle represents “zero or more”</w:t>
      </w:r>
      <w:r w:rsidR="00C33456">
        <w:t>;</w:t>
      </w:r>
      <w:r w:rsidR="002B7319">
        <w:t xml:space="preserve"> crow’s foot arrow</w:t>
      </w:r>
      <w:r w:rsidR="00B12903">
        <w:t xml:space="preserve">head with </w:t>
      </w:r>
      <w:r w:rsidR="00EE07F4">
        <w:t>cross-stroke</w:t>
      </w:r>
      <w:r w:rsidR="00B12903">
        <w:t xml:space="preserve"> represents “one or more”</w:t>
      </w:r>
      <w:r w:rsidR="00C33456">
        <w:t>;</w:t>
      </w:r>
      <w:r w:rsidR="002B7319">
        <w:t xml:space="preserve"> </w:t>
      </w:r>
      <w:r w:rsidR="00EE07F4">
        <w:t>cross-stroke</w:t>
      </w:r>
      <w:r w:rsidR="002B7319">
        <w:t xml:space="preserve"> arrowhead</w:t>
      </w:r>
      <w:r w:rsidR="00452136">
        <w:t xml:space="preserve"> represents</w:t>
      </w:r>
      <w:r w:rsidR="00B12903">
        <w:t xml:space="preserve"> “exactly one”</w:t>
      </w:r>
      <w:r w:rsidR="002060A7">
        <w:t>. B</w:t>
      </w:r>
      <w:r w:rsidR="00196EFD">
        <w:t>lue numbers i</w:t>
      </w:r>
      <w:r w:rsidR="00224774">
        <w:t>ndicate the</w:t>
      </w:r>
      <w:r w:rsidR="00795DF1">
        <w:t xml:space="preserve"> </w:t>
      </w:r>
      <w:r w:rsidR="00224774">
        <w:t xml:space="preserve">number of variables </w:t>
      </w:r>
      <w:r w:rsidR="0063696A">
        <w:t>extracted</w:t>
      </w:r>
      <w:r w:rsidR="00224774">
        <w:t xml:space="preserve"> from each associated table</w:t>
      </w:r>
      <w:r w:rsidR="00FB74F5">
        <w:t xml:space="preserve"> for each visit</w:t>
      </w:r>
      <w:r w:rsidR="00224774">
        <w:t>.</w:t>
      </w:r>
      <w:r w:rsidR="00AC02A1">
        <w:t xml:space="preserve"> </w:t>
      </w:r>
      <w:proofErr w:type="gramStart"/>
      <w:r w:rsidR="00AC02A1">
        <w:t xml:space="preserve">B, </w:t>
      </w:r>
      <w:r w:rsidR="00F846BE">
        <w:t>inclus</w:t>
      </w:r>
      <w:r w:rsidR="007E52FB">
        <w:t>ion/</w:t>
      </w:r>
      <w:r w:rsidR="00F846BE">
        <w:t xml:space="preserve">exclusion </w:t>
      </w:r>
      <w:r w:rsidR="005069C8">
        <w:t>procedure</w:t>
      </w:r>
      <w:r w:rsidR="00F846BE">
        <w:t xml:space="preserve"> for the </w:t>
      </w:r>
      <w:r w:rsidR="008D5BF0">
        <w:t>present</w:t>
      </w:r>
      <w:r w:rsidR="00F846BE">
        <w:t xml:space="preserve"> study.</w:t>
      </w:r>
      <w:proofErr w:type="gramEnd"/>
      <w:r w:rsidR="00D1406C">
        <w:t xml:space="preserve"> Double-line</w:t>
      </w:r>
      <w:r w:rsidR="00494D97">
        <w:t xml:space="preserve"> </w:t>
      </w:r>
      <w:r w:rsidR="007D550B">
        <w:t xml:space="preserve">arrows indicate the </w:t>
      </w:r>
      <w:r w:rsidR="004A7156">
        <w:t>procession of visit records</w:t>
      </w:r>
      <w:r w:rsidR="007D550B">
        <w:t>.</w:t>
      </w:r>
      <w:r w:rsidR="00061E9A">
        <w:t xml:space="preserve"> </w:t>
      </w:r>
      <w:r w:rsidR="00AC02A1">
        <w:t xml:space="preserve">EMR, electronic medical record; CDI, </w:t>
      </w:r>
      <w:r w:rsidR="00AC02A1">
        <w:rPr>
          <w:i/>
        </w:rPr>
        <w:t>Clostridium difficile</w:t>
      </w:r>
      <w:r w:rsidR="000C1A3F">
        <w:t xml:space="preserve"> infection.</w:t>
      </w:r>
      <w:r w:rsidR="007C7EFA">
        <w:br w:type="page"/>
      </w:r>
    </w:p>
    <w:p w14:paraId="32A8C258" w14:textId="479A12ED" w:rsidR="007C7EFA" w:rsidRDefault="003F2702" w:rsidP="007C7EFA">
      <w:pPr>
        <w:pStyle w:val="Normal2"/>
        <w:contextualSpacing/>
        <w:rPr>
          <w:b/>
        </w:rPr>
      </w:pPr>
      <w:r>
        <w:rPr>
          <w:b/>
          <w:noProof/>
        </w:rPr>
        <w:lastRenderedPageBreak/>
        <w:drawing>
          <wp:inline distT="0" distB="0" distL="0" distR="0" wp14:anchorId="3A9CC9E5" wp14:editId="32D2447C">
            <wp:extent cx="5943600" cy="3849370"/>
            <wp:effectExtent l="0" t="0" r="0" b="11430"/>
            <wp:docPr id="5" name="Picture 5" descr="Macintosh HD:Users:powerpak:Dropbox:MSSM:kasarskis:pathogen surveillance:cdiff:cost analysis:paper:figs:2_violin_survival.cru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powerpak:Dropbox:MSSM:kasarskis:pathogen surveillance:cdiff:cost analysis:paper:figs:2_violin_survival.crush.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849370"/>
                    </a:xfrm>
                    <a:prstGeom prst="rect">
                      <a:avLst/>
                    </a:prstGeom>
                    <a:noFill/>
                    <a:ln>
                      <a:noFill/>
                    </a:ln>
                  </pic:spPr>
                </pic:pic>
              </a:graphicData>
            </a:graphic>
          </wp:inline>
        </w:drawing>
      </w:r>
    </w:p>
    <w:p w14:paraId="0F347919" w14:textId="18A06335" w:rsidR="007C7EFA" w:rsidRPr="00F7300B" w:rsidRDefault="007C7EFA" w:rsidP="007C7EFA">
      <w:pPr>
        <w:pStyle w:val="Normal2"/>
        <w:contextualSpacing/>
      </w:pPr>
      <w:r>
        <w:rPr>
          <w:b/>
        </w:rPr>
        <w:t xml:space="preserve">Figure 2. </w:t>
      </w:r>
      <w:proofErr w:type="gramStart"/>
      <w:r w:rsidR="00914381">
        <w:rPr>
          <w:b/>
        </w:rPr>
        <w:t xml:space="preserve">Changes in length of stay for five case definitions of </w:t>
      </w:r>
      <w:r w:rsidR="00321DFB">
        <w:rPr>
          <w:b/>
          <w:i/>
        </w:rPr>
        <w:t>Clostridium difficile</w:t>
      </w:r>
      <w:r w:rsidR="00321DFB">
        <w:rPr>
          <w:b/>
        </w:rPr>
        <w:t xml:space="preserve"> infection</w:t>
      </w:r>
      <w:r w:rsidR="005A13DE">
        <w:rPr>
          <w:b/>
        </w:rPr>
        <w:t>,</w:t>
      </w:r>
      <w:r w:rsidR="00ED7EF4">
        <w:rPr>
          <w:b/>
        </w:rPr>
        <w:t xml:space="preserve"> </w:t>
      </w:r>
      <w:r w:rsidR="007C653A">
        <w:rPr>
          <w:b/>
        </w:rPr>
        <w:t>not</w:t>
      </w:r>
      <w:r w:rsidR="00ED7EF4">
        <w:rPr>
          <w:b/>
        </w:rPr>
        <w:t xml:space="preserve"> </w:t>
      </w:r>
      <w:r w:rsidR="00581AAB">
        <w:rPr>
          <w:b/>
        </w:rPr>
        <w:t>accounting for</w:t>
      </w:r>
      <w:r w:rsidR="00D816B2">
        <w:rPr>
          <w:b/>
        </w:rPr>
        <w:t xml:space="preserve"> time of </w:t>
      </w:r>
      <w:r w:rsidR="00ED7EF4">
        <w:rPr>
          <w:b/>
        </w:rPr>
        <w:t>infection</w:t>
      </w:r>
      <w:r w:rsidR="00321DFB">
        <w:rPr>
          <w:b/>
        </w:rPr>
        <w:t>.</w:t>
      </w:r>
      <w:proofErr w:type="gramEnd"/>
      <w:r w:rsidR="004C127B">
        <w:rPr>
          <w:b/>
        </w:rPr>
        <w:t xml:space="preserve"> </w:t>
      </w:r>
      <w:r w:rsidR="004C127B">
        <w:t xml:space="preserve">A, </w:t>
      </w:r>
      <w:r w:rsidR="00F76E21">
        <w:t>violin plot</w:t>
      </w:r>
      <w:r w:rsidR="004C094F">
        <w:t>s</w:t>
      </w:r>
      <w:r w:rsidR="00F76E21">
        <w:t xml:space="preserve"> of </w:t>
      </w:r>
      <w:r w:rsidR="002C5EF3">
        <w:t xml:space="preserve">the </w:t>
      </w:r>
      <w:r w:rsidR="00F76E21">
        <w:t xml:space="preserve">distributions in length of stay </w:t>
      </w:r>
      <w:r w:rsidR="002C5EF3">
        <w:t>for matched cases, matched controls, matched-again controls, and all controls, for each of the five case definitions.</w:t>
      </w:r>
      <w:r w:rsidR="008A0C3D">
        <w:t xml:space="preserve"> </w:t>
      </w:r>
      <w:r w:rsidR="00591885">
        <w:t>Dark</w:t>
      </w:r>
      <w:r w:rsidR="00081E9A">
        <w:t>er</w:t>
      </w:r>
      <w:r w:rsidR="00591885">
        <w:t xml:space="preserve"> p</w:t>
      </w:r>
      <w:r w:rsidR="009F4AF9">
        <w:t>oint</w:t>
      </w:r>
      <w:r w:rsidR="008A0C3D">
        <w:t>s</w:t>
      </w:r>
      <w:r w:rsidR="009F4AF9">
        <w:t xml:space="preserve"> and </w:t>
      </w:r>
      <w:r w:rsidR="008A0C3D">
        <w:t xml:space="preserve">vertical </w:t>
      </w:r>
      <w:r w:rsidR="009F4AF9">
        <w:t>bar</w:t>
      </w:r>
      <w:r w:rsidR="008A0C3D">
        <w:t>s</w:t>
      </w:r>
      <w:r w:rsidR="009F4AF9">
        <w:t xml:space="preserve"> depict the median and interquartile range</w:t>
      </w:r>
      <w:r w:rsidR="00994D7B">
        <w:t xml:space="preserve"> for each group</w:t>
      </w:r>
      <w:r w:rsidR="009F4AF9">
        <w:t>.</w:t>
      </w:r>
      <w:r w:rsidR="004D349B">
        <w:t xml:space="preserve"> Horizontal bars depict Mann-Whitney </w:t>
      </w:r>
      <w:r w:rsidR="004D349B">
        <w:rPr>
          <w:i/>
        </w:rPr>
        <w:t>U</w:t>
      </w:r>
      <w:r w:rsidR="004D349B">
        <w:t xml:space="preserve"> </w:t>
      </w:r>
      <w:r w:rsidR="00B32A56">
        <w:t>tests</w:t>
      </w:r>
      <w:r w:rsidR="004D349B">
        <w:t xml:space="preserve"> for </w:t>
      </w:r>
      <w:r w:rsidR="009469F7">
        <w:t>significance of</w:t>
      </w:r>
      <w:r w:rsidR="00B32A56">
        <w:t xml:space="preserve"> differences</w:t>
      </w:r>
      <w:r w:rsidR="004D349B">
        <w:t xml:space="preserve"> between groups</w:t>
      </w:r>
      <w:r w:rsidR="00B54774">
        <w:t xml:space="preserve"> (***, </w:t>
      </w:r>
      <w:r w:rsidR="003C5E9E">
        <w:t xml:space="preserve">Bonferroni-corrected </w:t>
      </w:r>
      <w:r w:rsidR="00B54774" w:rsidRPr="0022632A">
        <w:rPr>
          <w:i/>
        </w:rPr>
        <w:t>P</w:t>
      </w:r>
      <w:r w:rsidR="00B54774">
        <w:t xml:space="preserve"> &lt; 0.001; NS</w:t>
      </w:r>
      <w:r w:rsidR="002F3B8C">
        <w:t>,</w:t>
      </w:r>
      <w:r w:rsidR="0022632A">
        <w:t xml:space="preserve"> not significant</w:t>
      </w:r>
      <w:r w:rsidR="002F3B8C">
        <w:t xml:space="preserve"> </w:t>
      </w:r>
      <w:r w:rsidR="0022632A">
        <w:t>[</w:t>
      </w:r>
      <w:r w:rsidR="002F3B8C" w:rsidRPr="0022632A">
        <w:rPr>
          <w:i/>
        </w:rPr>
        <w:t>P</w:t>
      </w:r>
      <w:r w:rsidR="002F3B8C">
        <w:t xml:space="preserve"> &gt; 0.1</w:t>
      </w:r>
      <w:r w:rsidR="0022632A">
        <w:t>]</w:t>
      </w:r>
      <w:r w:rsidR="00B54774">
        <w:t>)</w:t>
      </w:r>
      <w:r w:rsidR="004D349B">
        <w:t>.</w:t>
      </w:r>
      <w:r w:rsidR="00ED7EF4">
        <w:t xml:space="preserve"> B-F, Kaplan</w:t>
      </w:r>
      <w:r w:rsidR="004361CF">
        <w:t>-</w:t>
      </w:r>
      <w:r w:rsidR="00ED7EF4">
        <w:t>Meier</w:t>
      </w:r>
      <w:r w:rsidR="004C094F">
        <w:t xml:space="preserve"> plots of the time-dep</w:t>
      </w:r>
      <w:r w:rsidR="00E27303">
        <w:t>endent</w:t>
      </w:r>
      <w:r w:rsidR="00CB1D76">
        <w:t xml:space="preserve"> </w:t>
      </w:r>
      <w:r w:rsidR="00E27303">
        <w:t xml:space="preserve">probability for a patient </w:t>
      </w:r>
      <w:r w:rsidR="00CB1D76">
        <w:t xml:space="preserve">to still </w:t>
      </w:r>
      <w:r w:rsidR="009F7DD0">
        <w:t>be</w:t>
      </w:r>
      <w:r w:rsidR="00E27303">
        <w:t xml:space="preserve"> in the hospital, comparing matched cases and</w:t>
      </w:r>
      <w:r w:rsidR="00856407">
        <w:t xml:space="preserve"> controls for each </w:t>
      </w:r>
      <w:r w:rsidR="00221B60">
        <w:t xml:space="preserve">case </w:t>
      </w:r>
      <w:r w:rsidR="00856407">
        <w:t>definition</w:t>
      </w:r>
      <w:r w:rsidR="00221B60">
        <w:t xml:space="preserve"> of CDI</w:t>
      </w:r>
      <w:r w:rsidR="00E27303">
        <w:t>.</w:t>
      </w:r>
      <w:r w:rsidR="00177180">
        <w:t xml:space="preserve"> Shaded area</w:t>
      </w:r>
      <w:r w:rsidR="00B51EDA">
        <w:t>s depict</w:t>
      </w:r>
      <w:r w:rsidR="00177180">
        <w:t xml:space="preserve"> 95% confidence intervals</w:t>
      </w:r>
      <w:r w:rsidR="00E62789">
        <w:t xml:space="preserve"> calculated from standard errors</w:t>
      </w:r>
      <w:r w:rsidR="00177180">
        <w:t>.</w:t>
      </w:r>
      <w:r w:rsidR="00221B60">
        <w:t xml:space="preserve"> </w:t>
      </w:r>
      <w:r w:rsidR="00F7300B">
        <w:t xml:space="preserve">CDI, </w:t>
      </w:r>
      <w:r w:rsidR="00221B60">
        <w:rPr>
          <w:i/>
        </w:rPr>
        <w:t>Clostridium difficile</w:t>
      </w:r>
      <w:r w:rsidR="00210EEF">
        <w:t xml:space="preserve"> infection; ICD</w:t>
      </w:r>
      <w:r w:rsidR="00F7300B">
        <w:t xml:space="preserve">9, </w:t>
      </w:r>
      <w:r w:rsidR="00F7300B" w:rsidRPr="006F2506">
        <w:rPr>
          <w:i/>
        </w:rPr>
        <w:t>International Classification of Diseases Ninth Revision</w:t>
      </w:r>
      <w:r w:rsidR="00F7300B">
        <w:t>; EIA, enzyme immunoassay; PCR, polymerase chain reaction.</w:t>
      </w:r>
    </w:p>
    <w:p w14:paraId="6B16605D" w14:textId="77777777" w:rsidR="007C7EFA" w:rsidRDefault="007C7EFA">
      <w:pPr>
        <w:spacing w:line="276" w:lineRule="auto"/>
      </w:pPr>
      <w:r>
        <w:br w:type="page"/>
      </w:r>
    </w:p>
    <w:p w14:paraId="547BB709" w14:textId="3D4BFABD" w:rsidR="007C7EFA" w:rsidRDefault="003F2702" w:rsidP="007C7EFA">
      <w:pPr>
        <w:pStyle w:val="Normal2"/>
        <w:contextualSpacing/>
        <w:rPr>
          <w:b/>
        </w:rPr>
      </w:pPr>
      <w:r>
        <w:rPr>
          <w:b/>
          <w:noProof/>
        </w:rPr>
        <w:lastRenderedPageBreak/>
        <w:drawing>
          <wp:inline distT="0" distB="0" distL="0" distR="0" wp14:anchorId="66FBF994" wp14:editId="5468387D">
            <wp:extent cx="5508625" cy="3488055"/>
            <wp:effectExtent l="0" t="0" r="3175" b="0"/>
            <wp:docPr id="6" name="Picture 6" descr="Macintosh HD:Users:powerpak:Dropbox:MSSM:kasarskis:pathogen surveillance:cdiff:cost analysis:paper:figs:3_timedep_violin_survival.cru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powerpak:Dropbox:MSSM:kasarskis:pathogen surveillance:cdiff:cost analysis:paper:figs:3_timedep_violin_survival.crush.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08625" cy="3488055"/>
                    </a:xfrm>
                    <a:prstGeom prst="rect">
                      <a:avLst/>
                    </a:prstGeom>
                    <a:noFill/>
                    <a:ln>
                      <a:noFill/>
                    </a:ln>
                  </pic:spPr>
                </pic:pic>
              </a:graphicData>
            </a:graphic>
          </wp:inline>
        </w:drawing>
      </w:r>
    </w:p>
    <w:p w14:paraId="2929B9CD" w14:textId="1361410E" w:rsidR="00DB474B" w:rsidRPr="00F7300B" w:rsidRDefault="00AE7F48" w:rsidP="00DB474B">
      <w:pPr>
        <w:pStyle w:val="Normal2"/>
        <w:contextualSpacing/>
      </w:pPr>
      <w:r>
        <w:rPr>
          <w:b/>
        </w:rPr>
        <w:t xml:space="preserve">Figure 3. Changes in length of stay for </w:t>
      </w:r>
      <w:r>
        <w:rPr>
          <w:b/>
          <w:i/>
        </w:rPr>
        <w:t>Clostridium difficile</w:t>
      </w:r>
      <w:r>
        <w:rPr>
          <w:b/>
        </w:rPr>
        <w:t xml:space="preserve"> infection defined by any positive toxin assay, stratified by</w:t>
      </w:r>
      <w:r w:rsidR="00640ABD">
        <w:rPr>
          <w:b/>
        </w:rPr>
        <w:t xml:space="preserve"> the</w:t>
      </w:r>
      <w:r>
        <w:rPr>
          <w:b/>
        </w:rPr>
        <w:t xml:space="preserve"> time </w:t>
      </w:r>
      <w:r w:rsidR="00640ABD">
        <w:rPr>
          <w:b/>
        </w:rPr>
        <w:t>to</w:t>
      </w:r>
      <w:r>
        <w:rPr>
          <w:b/>
        </w:rPr>
        <w:t xml:space="preserve"> infection.</w:t>
      </w:r>
      <w:r w:rsidR="00DB474B" w:rsidRPr="00DB474B">
        <w:t xml:space="preserve"> </w:t>
      </w:r>
      <w:r w:rsidR="00DB474B">
        <w:t xml:space="preserve">A, violin plots of the distributions in length of stay for matched cases, matched controls, matched-again controls, and all controls, for three ranges of </w:t>
      </w:r>
      <w:r w:rsidR="00D56D8F">
        <w:t>the result time for the first positive toxin assay</w:t>
      </w:r>
      <w:r w:rsidR="00DB474B">
        <w:t>. Point</w:t>
      </w:r>
      <w:r w:rsidR="00934F53">
        <w:t>s</w:t>
      </w:r>
      <w:r w:rsidR="00DB474B">
        <w:t xml:space="preserve"> and vertical bars depict the median and interquartile range for each group. Horizontal bars depict Mann-Whitney </w:t>
      </w:r>
      <w:r w:rsidR="00DB474B">
        <w:rPr>
          <w:i/>
        </w:rPr>
        <w:t>U</w:t>
      </w:r>
      <w:r w:rsidR="00DB474B">
        <w:t xml:space="preserve"> tests for significance of differences between groups (***,</w:t>
      </w:r>
      <w:r w:rsidR="00170135">
        <w:t xml:space="preserve"> Bonferroni-corrected</w:t>
      </w:r>
      <w:r w:rsidR="00DB474B">
        <w:t xml:space="preserve"> </w:t>
      </w:r>
      <w:r w:rsidR="00DB474B" w:rsidRPr="00C71A84">
        <w:rPr>
          <w:i/>
        </w:rPr>
        <w:t>P</w:t>
      </w:r>
      <w:r w:rsidR="00DB474B">
        <w:t xml:space="preserve"> &lt; 0.001</w:t>
      </w:r>
      <w:r w:rsidR="0022632A">
        <w:t>; NS, not significant [</w:t>
      </w:r>
      <w:r w:rsidR="0022632A" w:rsidRPr="0022632A">
        <w:rPr>
          <w:i/>
        </w:rPr>
        <w:t>P</w:t>
      </w:r>
      <w:r w:rsidR="0022632A">
        <w:t xml:space="preserve"> &gt; 0.1]</w:t>
      </w:r>
      <w:r w:rsidR="00DB474B">
        <w:t>). B-</w:t>
      </w:r>
      <w:r w:rsidR="00DA6C92">
        <w:t>D</w:t>
      </w:r>
      <w:r w:rsidR="00DB474B">
        <w:t>, Kaplan</w:t>
      </w:r>
      <w:r w:rsidR="004361CF">
        <w:t>-</w:t>
      </w:r>
      <w:r w:rsidR="00DB474B">
        <w:t xml:space="preserve">Meier </w:t>
      </w:r>
      <w:r w:rsidR="00A834F9">
        <w:t>plots</w:t>
      </w:r>
      <w:r w:rsidR="00DB474B">
        <w:t xml:space="preserve"> of the time-dependent probability for a patient to still </w:t>
      </w:r>
      <w:r w:rsidR="00FC1633">
        <w:t>be</w:t>
      </w:r>
      <w:r w:rsidR="00DB474B">
        <w:t xml:space="preserve"> in the hospital, comparing matched cases and controls for</w:t>
      </w:r>
      <w:r w:rsidR="00D904FB">
        <w:t xml:space="preserve"> the same three ranges of </w:t>
      </w:r>
      <w:r w:rsidR="00321348">
        <w:t xml:space="preserve">the </w:t>
      </w:r>
      <w:r w:rsidR="0099005E">
        <w:t xml:space="preserve">time of </w:t>
      </w:r>
      <w:r w:rsidR="00D904FB">
        <w:t>the first positive toxin assay</w:t>
      </w:r>
      <w:r w:rsidR="00DB474B">
        <w:t>. Shaded areas depict 95% confidence intervals</w:t>
      </w:r>
      <w:r w:rsidR="00866F38">
        <w:t xml:space="preserve"> calculated from standard errors</w:t>
      </w:r>
      <w:r w:rsidR="00DB474B">
        <w:t xml:space="preserve">. CDI, </w:t>
      </w:r>
      <w:r w:rsidR="00DB474B">
        <w:rPr>
          <w:i/>
        </w:rPr>
        <w:t>Clostridium difficile</w:t>
      </w:r>
      <w:r w:rsidR="00DB474B">
        <w:t xml:space="preserve"> infection</w:t>
      </w:r>
      <w:r w:rsidR="00C90176">
        <w:t>; CA, community acquired; HA, healthcare associated.</w:t>
      </w:r>
    </w:p>
    <w:p w14:paraId="40C9A5AB" w14:textId="77777777" w:rsidR="007C7EFA" w:rsidRDefault="007C7EFA" w:rsidP="007C7EFA">
      <w:pPr>
        <w:pStyle w:val="Normal2"/>
        <w:contextualSpacing/>
      </w:pPr>
    </w:p>
    <w:p w14:paraId="12E573CE" w14:textId="77777777" w:rsidR="007C7EFA" w:rsidRDefault="007C7EFA">
      <w:pPr>
        <w:spacing w:line="276" w:lineRule="auto"/>
      </w:pPr>
      <w:r>
        <w:br w:type="page"/>
      </w:r>
    </w:p>
    <w:p w14:paraId="079861C8" w14:textId="5AFAFF6C" w:rsidR="007C7EFA" w:rsidRDefault="003F2702" w:rsidP="007C7EFA">
      <w:pPr>
        <w:pStyle w:val="Normal2"/>
        <w:contextualSpacing/>
        <w:rPr>
          <w:b/>
        </w:rPr>
      </w:pPr>
      <w:r>
        <w:rPr>
          <w:b/>
          <w:noProof/>
        </w:rPr>
        <w:drawing>
          <wp:inline distT="0" distB="0" distL="0" distR="0" wp14:anchorId="6E9105B9" wp14:editId="2A3C00E4">
            <wp:extent cx="5943600" cy="3642995"/>
            <wp:effectExtent l="0" t="0" r="0" b="0"/>
            <wp:docPr id="7" name="Picture 7" descr="Macintosh HD:Users:powerpak:Dropbox:MSSM:kasarskis:pathogen surveillance:cdiff:cost analysis:paper:figs:4_etm.cru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powerpak:Dropbox:MSSM:kasarskis:pathogen surveillance:cdiff:cost analysis:paper:figs:4_etm.crush.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642995"/>
                    </a:xfrm>
                    <a:prstGeom prst="rect">
                      <a:avLst/>
                    </a:prstGeom>
                    <a:noFill/>
                    <a:ln>
                      <a:noFill/>
                    </a:ln>
                  </pic:spPr>
                </pic:pic>
              </a:graphicData>
            </a:graphic>
          </wp:inline>
        </w:drawing>
      </w:r>
    </w:p>
    <w:p w14:paraId="7BEBF51E" w14:textId="77777777" w:rsidR="007C7EFA" w:rsidRPr="003E46F8" w:rsidRDefault="007C7EFA" w:rsidP="007C7EFA">
      <w:pPr>
        <w:pStyle w:val="Normal2"/>
        <w:contextualSpacing/>
      </w:pPr>
      <w:r>
        <w:rPr>
          <w:b/>
        </w:rPr>
        <w:t xml:space="preserve">Figure 4. </w:t>
      </w:r>
      <w:r w:rsidR="00A46A95">
        <w:rPr>
          <w:b/>
        </w:rPr>
        <w:t xml:space="preserve">Multistate model </w:t>
      </w:r>
      <w:r w:rsidR="007105B0">
        <w:rPr>
          <w:b/>
        </w:rPr>
        <w:t>of</w:t>
      </w:r>
      <w:r w:rsidR="00A46A95">
        <w:rPr>
          <w:b/>
        </w:rPr>
        <w:t xml:space="preserve"> expected remaining length of stay for </w:t>
      </w:r>
      <w:r w:rsidR="00A46A95">
        <w:rPr>
          <w:b/>
          <w:i/>
        </w:rPr>
        <w:t>Clostridium difficile</w:t>
      </w:r>
      <w:r w:rsidR="003E46F8">
        <w:rPr>
          <w:b/>
        </w:rPr>
        <w:t xml:space="preserve"> infection </w:t>
      </w:r>
      <w:r w:rsidR="00A46A95">
        <w:rPr>
          <w:b/>
        </w:rPr>
        <w:t xml:space="preserve">case definitions </w:t>
      </w:r>
      <w:r w:rsidR="00681DC2">
        <w:rPr>
          <w:b/>
        </w:rPr>
        <w:t>involving</w:t>
      </w:r>
      <w:r w:rsidR="000D4C78">
        <w:rPr>
          <w:b/>
        </w:rPr>
        <w:t xml:space="preserve"> </w:t>
      </w:r>
      <w:r w:rsidR="00A46A95">
        <w:rPr>
          <w:b/>
        </w:rPr>
        <w:t>toxin assays.</w:t>
      </w:r>
      <w:r w:rsidR="003E46F8">
        <w:t xml:space="preserve"> </w:t>
      </w:r>
      <w:proofErr w:type="gramStart"/>
      <w:r w:rsidR="003E46F8">
        <w:t>A, thre</w:t>
      </w:r>
      <w:r w:rsidR="00BA7EA4">
        <w:t>e states of the multistate model</w:t>
      </w:r>
      <w:r w:rsidR="00227DE3">
        <w:t xml:space="preserve"> and allowed transitions.</w:t>
      </w:r>
      <w:proofErr w:type="gramEnd"/>
      <w:r w:rsidR="00C45097">
        <w:t xml:space="preserve"> Patients may only transition in the direction of the arrows.</w:t>
      </w:r>
      <w:r w:rsidR="00EB453E">
        <w:t xml:space="preserve"> B-D,</w:t>
      </w:r>
      <w:r w:rsidR="004221D8">
        <w:t xml:space="preserve"> </w:t>
      </w:r>
      <w:r w:rsidR="00CB26E5">
        <w:t>expected remaining</w:t>
      </w:r>
      <w:r w:rsidR="0083579C">
        <w:t xml:space="preserve"> LOS for each post-admit time </w:t>
      </w:r>
      <w:r w:rsidR="0083579C">
        <w:rPr>
          <w:i/>
        </w:rPr>
        <w:t>t</w:t>
      </w:r>
      <w:r w:rsidR="0083579C">
        <w:t xml:space="preserve"> depending on whether the patient has had a positive </w:t>
      </w:r>
      <w:r w:rsidR="00884A80">
        <w:t xml:space="preserve">(+) </w:t>
      </w:r>
      <w:r w:rsidR="0083579C">
        <w:t>toxin assay by tha</w:t>
      </w:r>
      <w:r w:rsidR="00E935FF">
        <w:t>t time</w:t>
      </w:r>
      <w:r w:rsidR="00D160F9">
        <w:t>point</w:t>
      </w:r>
      <w:r w:rsidR="006F47C0">
        <w:t>, for each of the case definitions</w:t>
      </w:r>
      <w:r w:rsidR="000E50BA">
        <w:t xml:space="preserve"> </w:t>
      </w:r>
      <w:r w:rsidR="00890782">
        <w:t>involving</w:t>
      </w:r>
      <w:r w:rsidR="000E50BA">
        <w:t xml:space="preserve"> toxin assay</w:t>
      </w:r>
      <w:r w:rsidR="00A92437">
        <w:t>s</w:t>
      </w:r>
      <w:r w:rsidR="00CB26E5">
        <w:t>.</w:t>
      </w:r>
      <w:r w:rsidR="0091230C">
        <w:t xml:space="preserve"> Shaded areas depict 95% confidence intervals calculated from 1,000 bootstrap samples.</w:t>
      </w:r>
      <w:r w:rsidR="009F00B2">
        <w:t xml:space="preserve"> CDI, </w:t>
      </w:r>
      <w:r w:rsidR="009F00B2">
        <w:rPr>
          <w:i/>
        </w:rPr>
        <w:t xml:space="preserve">Clostridium difficile </w:t>
      </w:r>
      <w:r w:rsidR="009F00B2">
        <w:t>infection; EIA, enzyme immunoassay; PCR, polymerase chain reaction; LOS, length of stay.</w:t>
      </w:r>
    </w:p>
    <w:p w14:paraId="26277A55" w14:textId="77777777" w:rsidR="00A46715" w:rsidRPr="00A54E61" w:rsidRDefault="00A46715" w:rsidP="00A54E61"/>
    <w:sectPr w:rsidR="00A46715" w:rsidRPr="00A54E61" w:rsidSect="00701E62">
      <w:headerReference w:type="default" r:id="rId16"/>
      <w:footnotePr>
        <w:numFmt w:val="lowerLetter"/>
        <w:numRestart w:val="eachSect"/>
      </w:footnotePr>
      <w:type w:val="continuous"/>
      <w:pgSz w:w="12240" w:h="15840"/>
      <w:pgMar w:top="1440" w:right="1440" w:bottom="1440" w:left="1440" w:header="720" w:footer="720" w:gutter="0"/>
      <w:lnNumType w:countBy="1" w:restart="continuous"/>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0A721EB" w14:textId="77777777" w:rsidR="00904E26" w:rsidRDefault="00904E26" w:rsidP="001819C3">
      <w:pPr>
        <w:spacing w:line="240" w:lineRule="auto"/>
      </w:pPr>
      <w:r>
        <w:separator/>
      </w:r>
    </w:p>
  </w:endnote>
  <w:endnote w:type="continuationSeparator" w:id="0">
    <w:p w14:paraId="3DEA2160" w14:textId="77777777" w:rsidR="00904E26" w:rsidRDefault="00904E26" w:rsidP="001819C3">
      <w:pPr>
        <w:spacing w:line="240" w:lineRule="auto"/>
      </w:pPr>
      <w:r>
        <w:continuationSeparator/>
      </w:r>
    </w:p>
  </w:endnote>
  <w:endnote w:type="continuationNotice" w:id="1">
    <w:p w14:paraId="14769B0B" w14:textId="77777777" w:rsidR="00904E26" w:rsidRDefault="00904E26">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Roboto Slab">
    <w:altName w:val="Times New Roman"/>
    <w:charset w:val="00"/>
    <w:family w:val="auto"/>
    <w:pitch w:val="default"/>
  </w:font>
  <w:font w:name="Trebuchet MS">
    <w:panose1 w:val="020B0603020202020204"/>
    <w:charset w:val="00"/>
    <w:family w:val="auto"/>
    <w:pitch w:val="variable"/>
    <w:sig w:usb0="00000287" w:usb1="00000000" w:usb2="00000000" w:usb3="00000000" w:csb0="0000009F" w:csb1="00000000"/>
  </w:font>
  <w:font w:name="Lucida Grande">
    <w:panose1 w:val="020B0600040502020204"/>
    <w:charset w:val="00"/>
    <w:family w:val="auto"/>
    <w:pitch w:val="variable"/>
    <w:sig w:usb0="E1000AEF" w:usb1="5000A1FF" w:usb2="00000000" w:usb3="00000000" w:csb0="000001BF" w:csb1="00000000"/>
  </w:font>
  <w:font w:name="Consolas">
    <w:panose1 w:val="020B0609020204030204"/>
    <w:charset w:val="00"/>
    <w:family w:val="auto"/>
    <w:pitch w:val="variable"/>
    <w:sig w:usb0="E10002FF" w:usb1="4000FCFF" w:usb2="00000009" w:usb3="00000000" w:csb0="0000019F" w:csb1="00000000"/>
  </w:font>
  <w:font w:name="Times">
    <w:panose1 w:val="02000500000000000000"/>
    <w:charset w:val="00"/>
    <w:family w:val="auto"/>
    <w:pitch w:val="variable"/>
    <w:sig w:usb0="00000003" w:usb1="00000000" w:usb2="00000000" w:usb3="00000000" w:csb0="00000001" w:csb1="00000000"/>
  </w:font>
  <w:font w:name="ＭＳ 明朝">
    <w:charset w:val="4E"/>
    <w:family w:val="auto"/>
    <w:pitch w:val="variable"/>
    <w:sig w:usb0="E00002FF" w:usb1="6AC7FDFB" w:usb2="00000012" w:usb3="00000000" w:csb0="0002009F" w:csb1="00000000"/>
  </w:font>
  <w:font w:name="Helvetica">
    <w:panose1 w:val="00000000000000000000"/>
    <w:charset w:val="00"/>
    <w:family w:val="auto"/>
    <w:pitch w:val="variable"/>
    <w:sig w:usb0="E00002FF" w:usb1="5000785B" w:usb2="00000000" w:usb3="00000000" w:csb0="0000019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B37C419" w14:textId="77777777" w:rsidR="00904E26" w:rsidRDefault="00904E26" w:rsidP="001819C3">
      <w:pPr>
        <w:spacing w:line="240" w:lineRule="auto"/>
      </w:pPr>
      <w:r>
        <w:separator/>
      </w:r>
    </w:p>
  </w:footnote>
  <w:footnote w:type="continuationSeparator" w:id="0">
    <w:p w14:paraId="4AB20906" w14:textId="77777777" w:rsidR="00904E26" w:rsidRDefault="00904E26" w:rsidP="001819C3">
      <w:pPr>
        <w:spacing w:line="240" w:lineRule="auto"/>
      </w:pPr>
      <w:r>
        <w:continuationSeparator/>
      </w:r>
    </w:p>
  </w:footnote>
  <w:footnote w:type="continuationNotice" w:id="1">
    <w:p w14:paraId="449BDDC7" w14:textId="77777777" w:rsidR="00904E26" w:rsidRDefault="00904E26">
      <w:pPr>
        <w:spacing w:line="240" w:lineRule="auto"/>
      </w:pPr>
    </w:p>
  </w:footnote>
  <w:footnote w:id="2">
    <w:p w14:paraId="441320BD" w14:textId="77777777" w:rsidR="00904E26" w:rsidRPr="00F052F5" w:rsidRDefault="00904E26">
      <w:pPr>
        <w:pStyle w:val="FootnoteText"/>
        <w:rPr>
          <w:sz w:val="22"/>
          <w:szCs w:val="22"/>
        </w:rPr>
      </w:pPr>
      <w:r w:rsidRPr="00AD5B73">
        <w:rPr>
          <w:rStyle w:val="FootnoteReference"/>
        </w:rPr>
        <w:footnoteRef/>
      </w:r>
      <w:r w:rsidRPr="00F052F5">
        <w:rPr>
          <w:sz w:val="22"/>
          <w:szCs w:val="22"/>
        </w:rPr>
        <w:t xml:space="preserve"> </w:t>
      </w:r>
      <w:r>
        <w:rPr>
          <w:sz w:val="22"/>
          <w:szCs w:val="22"/>
        </w:rPr>
        <w:t xml:space="preserve">Icahn </w:t>
      </w:r>
      <w:r w:rsidRPr="00F052F5">
        <w:rPr>
          <w:sz w:val="22"/>
          <w:szCs w:val="22"/>
        </w:rPr>
        <w:t>Institute and Department of Genetics and Genomic Sciences, Icahn School of Medicine at Mount Sinai, New York, NY</w:t>
      </w:r>
    </w:p>
  </w:footnote>
  <w:footnote w:id="3">
    <w:p w14:paraId="2CDBC23C" w14:textId="77777777" w:rsidR="00904E26" w:rsidRPr="00F052F5" w:rsidRDefault="00904E26" w:rsidP="009C0120">
      <w:pPr>
        <w:pStyle w:val="FootnoteText"/>
        <w:rPr>
          <w:sz w:val="22"/>
          <w:szCs w:val="22"/>
        </w:rPr>
      </w:pPr>
      <w:r w:rsidRPr="00AD5B73">
        <w:rPr>
          <w:rStyle w:val="FootnoteReference"/>
        </w:rPr>
        <w:footnoteRef/>
      </w:r>
      <w:r w:rsidRPr="00F052F5">
        <w:rPr>
          <w:sz w:val="22"/>
          <w:szCs w:val="22"/>
        </w:rPr>
        <w:t xml:space="preserve"> Division of Infectious Diseases, Department of Medicine, Icahn School of Medicine at Mount Sinai, New York, NY</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A3637CE" w14:textId="5376F7A1" w:rsidR="00904E26" w:rsidRDefault="00904E26" w:rsidP="003450BC">
    <w:pPr>
      <w:pStyle w:val="Header"/>
      <w:tabs>
        <w:tab w:val="clear" w:pos="8640"/>
        <w:tab w:val="right" w:pos="9360"/>
      </w:tabs>
    </w:pPr>
    <w:r>
      <w:tab/>
    </w:r>
    <w:r>
      <w:tab/>
      <w:t>Pak et al. page</w:t>
    </w:r>
    <w:r w:rsidRPr="003450BC">
      <w:t xml:space="preserve"> </w:t>
    </w:r>
    <w:r w:rsidRPr="003450BC">
      <w:fldChar w:fldCharType="begin"/>
    </w:r>
    <w:r w:rsidRPr="003450BC">
      <w:instrText xml:space="preserve"> PAGE </w:instrText>
    </w:r>
    <w:r w:rsidRPr="003450BC">
      <w:fldChar w:fldCharType="separate"/>
    </w:r>
    <w:r w:rsidR="00717812">
      <w:rPr>
        <w:noProof/>
      </w:rPr>
      <w:t>9</w:t>
    </w:r>
    <w:r w:rsidRPr="003450BC">
      <w:fldChar w:fldCharType="end"/>
    </w:r>
    <w:r w:rsidRPr="003450BC">
      <w:t xml:space="preserve"> of </w:t>
    </w:r>
    <w:r w:rsidR="00717812">
      <w:fldChar w:fldCharType="begin"/>
    </w:r>
    <w:r w:rsidR="00717812">
      <w:instrText xml:space="preserve"> NUMPAGES </w:instrText>
    </w:r>
    <w:r w:rsidR="00717812">
      <w:fldChar w:fldCharType="separate"/>
    </w:r>
    <w:r w:rsidR="00717812">
      <w:rPr>
        <w:noProof/>
      </w:rPr>
      <w:t>27</w:t>
    </w:r>
    <w:r w:rsidR="00717812">
      <w:rPr>
        <w:noProof/>
      </w:rPr>
      <w:fldChar w:fldCharType="end"/>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663E96"/>
    <w:multiLevelType w:val="hybridMultilevel"/>
    <w:tmpl w:val="3D0ED5FE"/>
    <w:lvl w:ilvl="0" w:tplc="B50C3234">
      <w:start w:val="1"/>
      <w:numFmt w:val="lowerRoman"/>
      <w:lvlText w:val="(%1)"/>
      <w:lvlJc w:val="righ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28340B81"/>
    <w:multiLevelType w:val="multilevel"/>
    <w:tmpl w:val="2E001A4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nsid w:val="49D95DB0"/>
    <w:multiLevelType w:val="multilevel"/>
    <w:tmpl w:val="F70C2BF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nsid w:val="50EA68AC"/>
    <w:multiLevelType w:val="multilevel"/>
    <w:tmpl w:val="C246688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nsid w:val="5A4147A1"/>
    <w:multiLevelType w:val="multilevel"/>
    <w:tmpl w:val="7756B35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nsid w:val="72504208"/>
    <w:multiLevelType w:val="hybridMultilevel"/>
    <w:tmpl w:val="D5A481C0"/>
    <w:lvl w:ilvl="0" w:tplc="7C6A815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2"/>
  </w:num>
  <w:num w:numId="3">
    <w:abstractNumId w:val="4"/>
  </w:num>
  <w:num w:numId="4">
    <w:abstractNumId w:val="1"/>
  </w:num>
  <w:num w:numId="5">
    <w:abstractNumId w:val="5"/>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2"/>
  <w:proofState w:grammar="clean"/>
  <w:defaultTabStop w:val="720"/>
  <w:characterSpacingControl w:val="doNotCompress"/>
  <w:hdrShapeDefaults>
    <o:shapedefaults v:ext="edit" spidmax="2049"/>
  </w:hdrShapeDefaults>
  <w:footnotePr>
    <w:numFmt w:val="lowerLetter"/>
    <w:numRestart w:val="eachSect"/>
    <w:footnote w:id="-1"/>
    <w:footnote w:id="0"/>
    <w:footnote w:id="1"/>
  </w:footnotePr>
  <w:endnotePr>
    <w:endnote w:id="-1"/>
    <w:endnote w:id="0"/>
    <w:endnote w:id="1"/>
  </w:endnotePr>
  <w:compat>
    <w:compatSetting w:name="compatibilityMode" w:uri="http://schemas.microsoft.com/office/word" w:val="14"/>
  </w:compat>
  <w:rsids>
    <w:rsidRoot w:val="00BC294B"/>
    <w:rsid w:val="0000020D"/>
    <w:rsid w:val="00000323"/>
    <w:rsid w:val="00000D08"/>
    <w:rsid w:val="00000D0D"/>
    <w:rsid w:val="00000DBA"/>
    <w:rsid w:val="000013DE"/>
    <w:rsid w:val="000027C7"/>
    <w:rsid w:val="00002E8F"/>
    <w:rsid w:val="00003224"/>
    <w:rsid w:val="00004456"/>
    <w:rsid w:val="00004720"/>
    <w:rsid w:val="00004CF7"/>
    <w:rsid w:val="00005B0F"/>
    <w:rsid w:val="00006DFF"/>
    <w:rsid w:val="00007472"/>
    <w:rsid w:val="000076C2"/>
    <w:rsid w:val="00007CDB"/>
    <w:rsid w:val="00007DE0"/>
    <w:rsid w:val="00010881"/>
    <w:rsid w:val="00011B67"/>
    <w:rsid w:val="000122D8"/>
    <w:rsid w:val="00012E12"/>
    <w:rsid w:val="000135E6"/>
    <w:rsid w:val="000146FD"/>
    <w:rsid w:val="00015195"/>
    <w:rsid w:val="000152C2"/>
    <w:rsid w:val="00015EB9"/>
    <w:rsid w:val="000163E4"/>
    <w:rsid w:val="00016F6F"/>
    <w:rsid w:val="00017468"/>
    <w:rsid w:val="0001792D"/>
    <w:rsid w:val="0002091C"/>
    <w:rsid w:val="00020962"/>
    <w:rsid w:val="00021A67"/>
    <w:rsid w:val="00021FDE"/>
    <w:rsid w:val="00022455"/>
    <w:rsid w:val="00023D94"/>
    <w:rsid w:val="000246BF"/>
    <w:rsid w:val="00024826"/>
    <w:rsid w:val="00024830"/>
    <w:rsid w:val="00024C2F"/>
    <w:rsid w:val="00025118"/>
    <w:rsid w:val="00025313"/>
    <w:rsid w:val="000253A4"/>
    <w:rsid w:val="00025DF9"/>
    <w:rsid w:val="00026616"/>
    <w:rsid w:val="00026917"/>
    <w:rsid w:val="000277E5"/>
    <w:rsid w:val="00030F19"/>
    <w:rsid w:val="00031685"/>
    <w:rsid w:val="00031AD3"/>
    <w:rsid w:val="00031DCF"/>
    <w:rsid w:val="000330AC"/>
    <w:rsid w:val="00033DD3"/>
    <w:rsid w:val="000355FF"/>
    <w:rsid w:val="00035F8F"/>
    <w:rsid w:val="000363EB"/>
    <w:rsid w:val="000367E2"/>
    <w:rsid w:val="000369D6"/>
    <w:rsid w:val="00036C35"/>
    <w:rsid w:val="00037096"/>
    <w:rsid w:val="00037870"/>
    <w:rsid w:val="00037EB7"/>
    <w:rsid w:val="00040B71"/>
    <w:rsid w:val="00040BD6"/>
    <w:rsid w:val="000417B2"/>
    <w:rsid w:val="00041AAF"/>
    <w:rsid w:val="00041DBE"/>
    <w:rsid w:val="00042C58"/>
    <w:rsid w:val="00042EDC"/>
    <w:rsid w:val="000431C8"/>
    <w:rsid w:val="000433E1"/>
    <w:rsid w:val="000450BA"/>
    <w:rsid w:val="0004527A"/>
    <w:rsid w:val="00045866"/>
    <w:rsid w:val="00045A8D"/>
    <w:rsid w:val="00046894"/>
    <w:rsid w:val="0004731B"/>
    <w:rsid w:val="000501A0"/>
    <w:rsid w:val="0005045A"/>
    <w:rsid w:val="00050CDB"/>
    <w:rsid w:val="000512AE"/>
    <w:rsid w:val="00051A84"/>
    <w:rsid w:val="0005281A"/>
    <w:rsid w:val="000535A6"/>
    <w:rsid w:val="000539D3"/>
    <w:rsid w:val="00054005"/>
    <w:rsid w:val="000554C3"/>
    <w:rsid w:val="000557BD"/>
    <w:rsid w:val="00055C5B"/>
    <w:rsid w:val="00055CCD"/>
    <w:rsid w:val="00055E4C"/>
    <w:rsid w:val="0005637D"/>
    <w:rsid w:val="00056D63"/>
    <w:rsid w:val="00056DAC"/>
    <w:rsid w:val="00056EFC"/>
    <w:rsid w:val="000572B9"/>
    <w:rsid w:val="00057B3D"/>
    <w:rsid w:val="00057B9A"/>
    <w:rsid w:val="00060C27"/>
    <w:rsid w:val="00060D22"/>
    <w:rsid w:val="00061755"/>
    <w:rsid w:val="00061E9A"/>
    <w:rsid w:val="00061F84"/>
    <w:rsid w:val="000622C5"/>
    <w:rsid w:val="00062740"/>
    <w:rsid w:val="0006274F"/>
    <w:rsid w:val="00062893"/>
    <w:rsid w:val="000629BB"/>
    <w:rsid w:val="00062F25"/>
    <w:rsid w:val="00063DA9"/>
    <w:rsid w:val="00064702"/>
    <w:rsid w:val="00064C13"/>
    <w:rsid w:val="00065BEE"/>
    <w:rsid w:val="00065C19"/>
    <w:rsid w:val="000666D4"/>
    <w:rsid w:val="000666FF"/>
    <w:rsid w:val="00067698"/>
    <w:rsid w:val="00067AE0"/>
    <w:rsid w:val="00071172"/>
    <w:rsid w:val="000711D0"/>
    <w:rsid w:val="000712C0"/>
    <w:rsid w:val="000715B1"/>
    <w:rsid w:val="00072036"/>
    <w:rsid w:val="00072DDA"/>
    <w:rsid w:val="000731F3"/>
    <w:rsid w:val="0007330B"/>
    <w:rsid w:val="000739FA"/>
    <w:rsid w:val="0007421C"/>
    <w:rsid w:val="00074615"/>
    <w:rsid w:val="000750AB"/>
    <w:rsid w:val="0007536B"/>
    <w:rsid w:val="00075CEB"/>
    <w:rsid w:val="00075D8B"/>
    <w:rsid w:val="00075E80"/>
    <w:rsid w:val="000761E4"/>
    <w:rsid w:val="00076C71"/>
    <w:rsid w:val="00076E49"/>
    <w:rsid w:val="00077300"/>
    <w:rsid w:val="000776B1"/>
    <w:rsid w:val="000810F4"/>
    <w:rsid w:val="00081718"/>
    <w:rsid w:val="00081E9A"/>
    <w:rsid w:val="000824FF"/>
    <w:rsid w:val="000830EA"/>
    <w:rsid w:val="0008373B"/>
    <w:rsid w:val="00083E8C"/>
    <w:rsid w:val="000840DC"/>
    <w:rsid w:val="00084693"/>
    <w:rsid w:val="0008498A"/>
    <w:rsid w:val="00085BDE"/>
    <w:rsid w:val="00085F4A"/>
    <w:rsid w:val="0008760A"/>
    <w:rsid w:val="00087870"/>
    <w:rsid w:val="00087D9E"/>
    <w:rsid w:val="00087F5B"/>
    <w:rsid w:val="000900EB"/>
    <w:rsid w:val="000907C5"/>
    <w:rsid w:val="000914D5"/>
    <w:rsid w:val="0009155E"/>
    <w:rsid w:val="00091735"/>
    <w:rsid w:val="00092768"/>
    <w:rsid w:val="00092E7F"/>
    <w:rsid w:val="00094958"/>
    <w:rsid w:val="000950B8"/>
    <w:rsid w:val="00096168"/>
    <w:rsid w:val="000962F1"/>
    <w:rsid w:val="000A03E6"/>
    <w:rsid w:val="000A1A49"/>
    <w:rsid w:val="000A2A4C"/>
    <w:rsid w:val="000A2C52"/>
    <w:rsid w:val="000A3223"/>
    <w:rsid w:val="000A338E"/>
    <w:rsid w:val="000A3C93"/>
    <w:rsid w:val="000A404E"/>
    <w:rsid w:val="000A40E7"/>
    <w:rsid w:val="000A56C8"/>
    <w:rsid w:val="000A5F99"/>
    <w:rsid w:val="000A6085"/>
    <w:rsid w:val="000A6D50"/>
    <w:rsid w:val="000A787D"/>
    <w:rsid w:val="000B057D"/>
    <w:rsid w:val="000B05FB"/>
    <w:rsid w:val="000B0D37"/>
    <w:rsid w:val="000B2D59"/>
    <w:rsid w:val="000B2F8B"/>
    <w:rsid w:val="000B3DDD"/>
    <w:rsid w:val="000B42EB"/>
    <w:rsid w:val="000B4626"/>
    <w:rsid w:val="000B50C2"/>
    <w:rsid w:val="000B5265"/>
    <w:rsid w:val="000B600E"/>
    <w:rsid w:val="000B68AE"/>
    <w:rsid w:val="000B72C4"/>
    <w:rsid w:val="000B7B4D"/>
    <w:rsid w:val="000B7FFA"/>
    <w:rsid w:val="000C040C"/>
    <w:rsid w:val="000C101F"/>
    <w:rsid w:val="000C1143"/>
    <w:rsid w:val="000C1319"/>
    <w:rsid w:val="000C1648"/>
    <w:rsid w:val="000C1A3F"/>
    <w:rsid w:val="000C252E"/>
    <w:rsid w:val="000C44C2"/>
    <w:rsid w:val="000C451D"/>
    <w:rsid w:val="000C4A45"/>
    <w:rsid w:val="000C4D8E"/>
    <w:rsid w:val="000C4EA5"/>
    <w:rsid w:val="000C5A30"/>
    <w:rsid w:val="000C6030"/>
    <w:rsid w:val="000C6191"/>
    <w:rsid w:val="000C695C"/>
    <w:rsid w:val="000C698F"/>
    <w:rsid w:val="000C7A4A"/>
    <w:rsid w:val="000C7B2F"/>
    <w:rsid w:val="000C7B47"/>
    <w:rsid w:val="000D01E1"/>
    <w:rsid w:val="000D0E36"/>
    <w:rsid w:val="000D16AF"/>
    <w:rsid w:val="000D1DEF"/>
    <w:rsid w:val="000D24C8"/>
    <w:rsid w:val="000D2676"/>
    <w:rsid w:val="000D2853"/>
    <w:rsid w:val="000D2C69"/>
    <w:rsid w:val="000D2ED7"/>
    <w:rsid w:val="000D3493"/>
    <w:rsid w:val="000D4479"/>
    <w:rsid w:val="000D4C78"/>
    <w:rsid w:val="000D5037"/>
    <w:rsid w:val="000D58BA"/>
    <w:rsid w:val="000D61F6"/>
    <w:rsid w:val="000D6970"/>
    <w:rsid w:val="000D7957"/>
    <w:rsid w:val="000E025A"/>
    <w:rsid w:val="000E0E1B"/>
    <w:rsid w:val="000E180C"/>
    <w:rsid w:val="000E1BA9"/>
    <w:rsid w:val="000E2C32"/>
    <w:rsid w:val="000E305D"/>
    <w:rsid w:val="000E3905"/>
    <w:rsid w:val="000E3E03"/>
    <w:rsid w:val="000E46F0"/>
    <w:rsid w:val="000E4AF2"/>
    <w:rsid w:val="000E50BA"/>
    <w:rsid w:val="000E51DA"/>
    <w:rsid w:val="000E5CA6"/>
    <w:rsid w:val="000E6D47"/>
    <w:rsid w:val="000E7212"/>
    <w:rsid w:val="000E7362"/>
    <w:rsid w:val="000E783E"/>
    <w:rsid w:val="000E78B5"/>
    <w:rsid w:val="000F03F2"/>
    <w:rsid w:val="000F05A9"/>
    <w:rsid w:val="000F076C"/>
    <w:rsid w:val="000F0BD0"/>
    <w:rsid w:val="000F10A3"/>
    <w:rsid w:val="000F1DE1"/>
    <w:rsid w:val="000F2CA0"/>
    <w:rsid w:val="000F333D"/>
    <w:rsid w:val="000F40D1"/>
    <w:rsid w:val="000F48A7"/>
    <w:rsid w:val="000F58F8"/>
    <w:rsid w:val="000F5B00"/>
    <w:rsid w:val="000F5F21"/>
    <w:rsid w:val="000F71DE"/>
    <w:rsid w:val="000F725B"/>
    <w:rsid w:val="00100ACA"/>
    <w:rsid w:val="0010143E"/>
    <w:rsid w:val="00102AF7"/>
    <w:rsid w:val="0010450E"/>
    <w:rsid w:val="00104802"/>
    <w:rsid w:val="00104EDB"/>
    <w:rsid w:val="001061ED"/>
    <w:rsid w:val="0010691A"/>
    <w:rsid w:val="00106F63"/>
    <w:rsid w:val="00107DA1"/>
    <w:rsid w:val="00110104"/>
    <w:rsid w:val="00110936"/>
    <w:rsid w:val="00110F62"/>
    <w:rsid w:val="001119E6"/>
    <w:rsid w:val="00112868"/>
    <w:rsid w:val="00112BD7"/>
    <w:rsid w:val="0011322E"/>
    <w:rsid w:val="00113552"/>
    <w:rsid w:val="00113F27"/>
    <w:rsid w:val="0011415D"/>
    <w:rsid w:val="00114392"/>
    <w:rsid w:val="001144AF"/>
    <w:rsid w:val="001144D4"/>
    <w:rsid w:val="001145B1"/>
    <w:rsid w:val="00114F24"/>
    <w:rsid w:val="00114F68"/>
    <w:rsid w:val="0011531A"/>
    <w:rsid w:val="00115957"/>
    <w:rsid w:val="00115C0B"/>
    <w:rsid w:val="00116116"/>
    <w:rsid w:val="0011750D"/>
    <w:rsid w:val="00120C08"/>
    <w:rsid w:val="00120C80"/>
    <w:rsid w:val="00122620"/>
    <w:rsid w:val="00122DAC"/>
    <w:rsid w:val="001234ED"/>
    <w:rsid w:val="00123635"/>
    <w:rsid w:val="00124073"/>
    <w:rsid w:val="00124E5D"/>
    <w:rsid w:val="00126913"/>
    <w:rsid w:val="001271F2"/>
    <w:rsid w:val="00127713"/>
    <w:rsid w:val="001304CC"/>
    <w:rsid w:val="0013112A"/>
    <w:rsid w:val="00132095"/>
    <w:rsid w:val="00132191"/>
    <w:rsid w:val="00132F3E"/>
    <w:rsid w:val="001343CE"/>
    <w:rsid w:val="0013467A"/>
    <w:rsid w:val="00134B08"/>
    <w:rsid w:val="00135365"/>
    <w:rsid w:val="00135482"/>
    <w:rsid w:val="001354D9"/>
    <w:rsid w:val="0013594C"/>
    <w:rsid w:val="001359A3"/>
    <w:rsid w:val="001362D9"/>
    <w:rsid w:val="00136AF8"/>
    <w:rsid w:val="001378AF"/>
    <w:rsid w:val="00137C47"/>
    <w:rsid w:val="00141890"/>
    <w:rsid w:val="00141A80"/>
    <w:rsid w:val="00142834"/>
    <w:rsid w:val="00142CEB"/>
    <w:rsid w:val="00142F49"/>
    <w:rsid w:val="00143080"/>
    <w:rsid w:val="00143325"/>
    <w:rsid w:val="00143442"/>
    <w:rsid w:val="00143660"/>
    <w:rsid w:val="001436EF"/>
    <w:rsid w:val="00143A85"/>
    <w:rsid w:val="00144EC4"/>
    <w:rsid w:val="001468C2"/>
    <w:rsid w:val="001476A2"/>
    <w:rsid w:val="00147982"/>
    <w:rsid w:val="00150004"/>
    <w:rsid w:val="001505AF"/>
    <w:rsid w:val="0015312C"/>
    <w:rsid w:val="00153D6D"/>
    <w:rsid w:val="0015449A"/>
    <w:rsid w:val="00154AEF"/>
    <w:rsid w:val="00155C85"/>
    <w:rsid w:val="001564B8"/>
    <w:rsid w:val="00156B41"/>
    <w:rsid w:val="00156F42"/>
    <w:rsid w:val="00157E4D"/>
    <w:rsid w:val="001602F7"/>
    <w:rsid w:val="001603D8"/>
    <w:rsid w:val="00160ADD"/>
    <w:rsid w:val="001612A8"/>
    <w:rsid w:val="0016139F"/>
    <w:rsid w:val="00161E58"/>
    <w:rsid w:val="00162BDB"/>
    <w:rsid w:val="00163596"/>
    <w:rsid w:val="001639C5"/>
    <w:rsid w:val="00163F8A"/>
    <w:rsid w:val="00164122"/>
    <w:rsid w:val="00164A1E"/>
    <w:rsid w:val="00164B21"/>
    <w:rsid w:val="00164FBB"/>
    <w:rsid w:val="00165536"/>
    <w:rsid w:val="001658A2"/>
    <w:rsid w:val="001662A4"/>
    <w:rsid w:val="001669F6"/>
    <w:rsid w:val="00170135"/>
    <w:rsid w:val="00170569"/>
    <w:rsid w:val="00170B68"/>
    <w:rsid w:val="00170C73"/>
    <w:rsid w:val="001723E3"/>
    <w:rsid w:val="00172CE0"/>
    <w:rsid w:val="00172EE1"/>
    <w:rsid w:val="0017397A"/>
    <w:rsid w:val="00173DA5"/>
    <w:rsid w:val="0017405D"/>
    <w:rsid w:val="00175682"/>
    <w:rsid w:val="00176337"/>
    <w:rsid w:val="00176CE8"/>
    <w:rsid w:val="00177180"/>
    <w:rsid w:val="00177C1E"/>
    <w:rsid w:val="00180D7F"/>
    <w:rsid w:val="00180E6E"/>
    <w:rsid w:val="00181313"/>
    <w:rsid w:val="001819C3"/>
    <w:rsid w:val="00181ED4"/>
    <w:rsid w:val="0018264F"/>
    <w:rsid w:val="00182796"/>
    <w:rsid w:val="001836A0"/>
    <w:rsid w:val="00183E96"/>
    <w:rsid w:val="00183F8A"/>
    <w:rsid w:val="00184AE2"/>
    <w:rsid w:val="00184FD7"/>
    <w:rsid w:val="0018508F"/>
    <w:rsid w:val="0018625B"/>
    <w:rsid w:val="00186871"/>
    <w:rsid w:val="00190026"/>
    <w:rsid w:val="00190971"/>
    <w:rsid w:val="00190A1A"/>
    <w:rsid w:val="00191B99"/>
    <w:rsid w:val="00191D08"/>
    <w:rsid w:val="001922AC"/>
    <w:rsid w:val="00192861"/>
    <w:rsid w:val="0019455B"/>
    <w:rsid w:val="00194CC3"/>
    <w:rsid w:val="001952B2"/>
    <w:rsid w:val="00195BC2"/>
    <w:rsid w:val="00195E1C"/>
    <w:rsid w:val="00196EFD"/>
    <w:rsid w:val="001975AA"/>
    <w:rsid w:val="001975D0"/>
    <w:rsid w:val="00197B47"/>
    <w:rsid w:val="00197DB6"/>
    <w:rsid w:val="001A054A"/>
    <w:rsid w:val="001A0682"/>
    <w:rsid w:val="001A0A4F"/>
    <w:rsid w:val="001A1006"/>
    <w:rsid w:val="001A227F"/>
    <w:rsid w:val="001A2804"/>
    <w:rsid w:val="001A3A3C"/>
    <w:rsid w:val="001A6E1F"/>
    <w:rsid w:val="001A718D"/>
    <w:rsid w:val="001A72DF"/>
    <w:rsid w:val="001B0132"/>
    <w:rsid w:val="001B0587"/>
    <w:rsid w:val="001B0AA1"/>
    <w:rsid w:val="001B1B2A"/>
    <w:rsid w:val="001B1E2E"/>
    <w:rsid w:val="001B1E32"/>
    <w:rsid w:val="001B220C"/>
    <w:rsid w:val="001B2601"/>
    <w:rsid w:val="001B2691"/>
    <w:rsid w:val="001B2D41"/>
    <w:rsid w:val="001B2E62"/>
    <w:rsid w:val="001B335F"/>
    <w:rsid w:val="001B345B"/>
    <w:rsid w:val="001B3FCC"/>
    <w:rsid w:val="001B4A65"/>
    <w:rsid w:val="001B5E4E"/>
    <w:rsid w:val="001B5FC2"/>
    <w:rsid w:val="001B60F4"/>
    <w:rsid w:val="001B6279"/>
    <w:rsid w:val="001C010C"/>
    <w:rsid w:val="001C02AA"/>
    <w:rsid w:val="001C0409"/>
    <w:rsid w:val="001C042F"/>
    <w:rsid w:val="001C1221"/>
    <w:rsid w:val="001C23F1"/>
    <w:rsid w:val="001C24DB"/>
    <w:rsid w:val="001C2FCF"/>
    <w:rsid w:val="001C31A4"/>
    <w:rsid w:val="001C35F2"/>
    <w:rsid w:val="001C43FA"/>
    <w:rsid w:val="001C4E6C"/>
    <w:rsid w:val="001C67AA"/>
    <w:rsid w:val="001D0171"/>
    <w:rsid w:val="001D0A63"/>
    <w:rsid w:val="001D0D88"/>
    <w:rsid w:val="001D1528"/>
    <w:rsid w:val="001D2496"/>
    <w:rsid w:val="001D276F"/>
    <w:rsid w:val="001D32A7"/>
    <w:rsid w:val="001D354C"/>
    <w:rsid w:val="001D3A37"/>
    <w:rsid w:val="001D40E5"/>
    <w:rsid w:val="001D4B02"/>
    <w:rsid w:val="001D6080"/>
    <w:rsid w:val="001D619A"/>
    <w:rsid w:val="001D6F37"/>
    <w:rsid w:val="001D6F71"/>
    <w:rsid w:val="001D7AD6"/>
    <w:rsid w:val="001D7FAD"/>
    <w:rsid w:val="001E0DFE"/>
    <w:rsid w:val="001E16A3"/>
    <w:rsid w:val="001E218D"/>
    <w:rsid w:val="001E3819"/>
    <w:rsid w:val="001E3C9B"/>
    <w:rsid w:val="001E415D"/>
    <w:rsid w:val="001E4380"/>
    <w:rsid w:val="001E47CE"/>
    <w:rsid w:val="001E4AC7"/>
    <w:rsid w:val="001E5418"/>
    <w:rsid w:val="001E56B7"/>
    <w:rsid w:val="001E596C"/>
    <w:rsid w:val="001E5CA9"/>
    <w:rsid w:val="001E6959"/>
    <w:rsid w:val="001E7924"/>
    <w:rsid w:val="001E7CBF"/>
    <w:rsid w:val="001E7F89"/>
    <w:rsid w:val="001F06C6"/>
    <w:rsid w:val="001F085D"/>
    <w:rsid w:val="001F126F"/>
    <w:rsid w:val="001F12BB"/>
    <w:rsid w:val="001F23AA"/>
    <w:rsid w:val="001F2EC8"/>
    <w:rsid w:val="001F40E4"/>
    <w:rsid w:val="001F47C6"/>
    <w:rsid w:val="001F4DB7"/>
    <w:rsid w:val="001F58A1"/>
    <w:rsid w:val="001F655D"/>
    <w:rsid w:val="001F65E1"/>
    <w:rsid w:val="00201BA0"/>
    <w:rsid w:val="00201E25"/>
    <w:rsid w:val="00201E5E"/>
    <w:rsid w:val="00202150"/>
    <w:rsid w:val="00204185"/>
    <w:rsid w:val="0020451B"/>
    <w:rsid w:val="00204553"/>
    <w:rsid w:val="002048A8"/>
    <w:rsid w:val="002049D3"/>
    <w:rsid w:val="0020520B"/>
    <w:rsid w:val="002054F2"/>
    <w:rsid w:val="00205579"/>
    <w:rsid w:val="002060A7"/>
    <w:rsid w:val="00207C52"/>
    <w:rsid w:val="00210684"/>
    <w:rsid w:val="002107F3"/>
    <w:rsid w:val="00210EEF"/>
    <w:rsid w:val="002117E3"/>
    <w:rsid w:val="00212855"/>
    <w:rsid w:val="00213633"/>
    <w:rsid w:val="00213A5A"/>
    <w:rsid w:val="00214669"/>
    <w:rsid w:val="00214B22"/>
    <w:rsid w:val="00216593"/>
    <w:rsid w:val="002175F0"/>
    <w:rsid w:val="00217C4A"/>
    <w:rsid w:val="00220844"/>
    <w:rsid w:val="00221867"/>
    <w:rsid w:val="00221B60"/>
    <w:rsid w:val="002221F1"/>
    <w:rsid w:val="00222901"/>
    <w:rsid w:val="00223C2A"/>
    <w:rsid w:val="00223E80"/>
    <w:rsid w:val="00224774"/>
    <w:rsid w:val="002247EE"/>
    <w:rsid w:val="00225A15"/>
    <w:rsid w:val="00225B94"/>
    <w:rsid w:val="00225C58"/>
    <w:rsid w:val="0022632A"/>
    <w:rsid w:val="00226C3F"/>
    <w:rsid w:val="00226ED5"/>
    <w:rsid w:val="002272AE"/>
    <w:rsid w:val="00227DE3"/>
    <w:rsid w:val="00227E66"/>
    <w:rsid w:val="00230451"/>
    <w:rsid w:val="002306F0"/>
    <w:rsid w:val="00230A0F"/>
    <w:rsid w:val="00230CE9"/>
    <w:rsid w:val="00230E37"/>
    <w:rsid w:val="002314C5"/>
    <w:rsid w:val="0023163A"/>
    <w:rsid w:val="00231AFA"/>
    <w:rsid w:val="00231CA0"/>
    <w:rsid w:val="00231E23"/>
    <w:rsid w:val="00233914"/>
    <w:rsid w:val="00233931"/>
    <w:rsid w:val="00233AC9"/>
    <w:rsid w:val="00234189"/>
    <w:rsid w:val="00235778"/>
    <w:rsid w:val="00235AEF"/>
    <w:rsid w:val="0023693F"/>
    <w:rsid w:val="00237B47"/>
    <w:rsid w:val="00237D08"/>
    <w:rsid w:val="002401C6"/>
    <w:rsid w:val="002404D6"/>
    <w:rsid w:val="00241166"/>
    <w:rsid w:val="002412F5"/>
    <w:rsid w:val="002420F2"/>
    <w:rsid w:val="0024267C"/>
    <w:rsid w:val="00242B06"/>
    <w:rsid w:val="00243C66"/>
    <w:rsid w:val="002441A9"/>
    <w:rsid w:val="0024433D"/>
    <w:rsid w:val="002445EE"/>
    <w:rsid w:val="0024460C"/>
    <w:rsid w:val="00245344"/>
    <w:rsid w:val="00245AE5"/>
    <w:rsid w:val="00245D35"/>
    <w:rsid w:val="0024634A"/>
    <w:rsid w:val="0024661E"/>
    <w:rsid w:val="0024721B"/>
    <w:rsid w:val="002472A4"/>
    <w:rsid w:val="00250E7C"/>
    <w:rsid w:val="00251B5E"/>
    <w:rsid w:val="002521D2"/>
    <w:rsid w:val="00252353"/>
    <w:rsid w:val="002525D7"/>
    <w:rsid w:val="00252ED7"/>
    <w:rsid w:val="002537CA"/>
    <w:rsid w:val="00253C87"/>
    <w:rsid w:val="00253F21"/>
    <w:rsid w:val="002544A6"/>
    <w:rsid w:val="0025459C"/>
    <w:rsid w:val="00254AC9"/>
    <w:rsid w:val="00254D0C"/>
    <w:rsid w:val="002557CB"/>
    <w:rsid w:val="00255EF3"/>
    <w:rsid w:val="00257079"/>
    <w:rsid w:val="0026013E"/>
    <w:rsid w:val="00260319"/>
    <w:rsid w:val="00260998"/>
    <w:rsid w:val="00260E75"/>
    <w:rsid w:val="00261821"/>
    <w:rsid w:val="00261ACE"/>
    <w:rsid w:val="00261C40"/>
    <w:rsid w:val="00262C78"/>
    <w:rsid w:val="00262F8F"/>
    <w:rsid w:val="002634BD"/>
    <w:rsid w:val="002638BB"/>
    <w:rsid w:val="00263DEF"/>
    <w:rsid w:val="00264C3C"/>
    <w:rsid w:val="002655EE"/>
    <w:rsid w:val="0026670F"/>
    <w:rsid w:val="002673EC"/>
    <w:rsid w:val="0026751F"/>
    <w:rsid w:val="00267ED0"/>
    <w:rsid w:val="00267F43"/>
    <w:rsid w:val="00267FEC"/>
    <w:rsid w:val="002700E9"/>
    <w:rsid w:val="00270E85"/>
    <w:rsid w:val="00272CAC"/>
    <w:rsid w:val="00272DBA"/>
    <w:rsid w:val="00272FDA"/>
    <w:rsid w:val="0027460F"/>
    <w:rsid w:val="00274C24"/>
    <w:rsid w:val="00274E1D"/>
    <w:rsid w:val="0027563E"/>
    <w:rsid w:val="002766D7"/>
    <w:rsid w:val="002767CB"/>
    <w:rsid w:val="002772E5"/>
    <w:rsid w:val="00277AC5"/>
    <w:rsid w:val="00277DAA"/>
    <w:rsid w:val="002800C1"/>
    <w:rsid w:val="002801A3"/>
    <w:rsid w:val="00281B69"/>
    <w:rsid w:val="0028276D"/>
    <w:rsid w:val="00282900"/>
    <w:rsid w:val="00282935"/>
    <w:rsid w:val="00282E79"/>
    <w:rsid w:val="002834F8"/>
    <w:rsid w:val="00283A9E"/>
    <w:rsid w:val="00284E2A"/>
    <w:rsid w:val="002859E6"/>
    <w:rsid w:val="00285DFE"/>
    <w:rsid w:val="00285F76"/>
    <w:rsid w:val="00286758"/>
    <w:rsid w:val="00286DAD"/>
    <w:rsid w:val="002870D6"/>
    <w:rsid w:val="002871DC"/>
    <w:rsid w:val="00287FAC"/>
    <w:rsid w:val="00290189"/>
    <w:rsid w:val="0029033D"/>
    <w:rsid w:val="00291359"/>
    <w:rsid w:val="002918DB"/>
    <w:rsid w:val="00291E8D"/>
    <w:rsid w:val="00292091"/>
    <w:rsid w:val="00292458"/>
    <w:rsid w:val="00293213"/>
    <w:rsid w:val="00293740"/>
    <w:rsid w:val="00293FFA"/>
    <w:rsid w:val="00294A6E"/>
    <w:rsid w:val="002953FF"/>
    <w:rsid w:val="00296296"/>
    <w:rsid w:val="002962EC"/>
    <w:rsid w:val="002978C4"/>
    <w:rsid w:val="002A03DB"/>
    <w:rsid w:val="002A0820"/>
    <w:rsid w:val="002A099F"/>
    <w:rsid w:val="002A0EBD"/>
    <w:rsid w:val="002A3013"/>
    <w:rsid w:val="002A3F1C"/>
    <w:rsid w:val="002A482B"/>
    <w:rsid w:val="002A49EE"/>
    <w:rsid w:val="002A4B7D"/>
    <w:rsid w:val="002A584A"/>
    <w:rsid w:val="002A5C37"/>
    <w:rsid w:val="002A64F8"/>
    <w:rsid w:val="002A7869"/>
    <w:rsid w:val="002B078F"/>
    <w:rsid w:val="002B18EC"/>
    <w:rsid w:val="002B1BEC"/>
    <w:rsid w:val="002B1FEE"/>
    <w:rsid w:val="002B256D"/>
    <w:rsid w:val="002B293E"/>
    <w:rsid w:val="002B3425"/>
    <w:rsid w:val="002B43C3"/>
    <w:rsid w:val="002B48B8"/>
    <w:rsid w:val="002B4983"/>
    <w:rsid w:val="002B4A95"/>
    <w:rsid w:val="002B6EB1"/>
    <w:rsid w:val="002B7319"/>
    <w:rsid w:val="002B7840"/>
    <w:rsid w:val="002B78B6"/>
    <w:rsid w:val="002B7D0F"/>
    <w:rsid w:val="002C0D06"/>
    <w:rsid w:val="002C0E03"/>
    <w:rsid w:val="002C1C25"/>
    <w:rsid w:val="002C2010"/>
    <w:rsid w:val="002C26CC"/>
    <w:rsid w:val="002C31B4"/>
    <w:rsid w:val="002C33C4"/>
    <w:rsid w:val="002C34DD"/>
    <w:rsid w:val="002C41F1"/>
    <w:rsid w:val="002C5C52"/>
    <w:rsid w:val="002C5EF3"/>
    <w:rsid w:val="002C66BE"/>
    <w:rsid w:val="002C6878"/>
    <w:rsid w:val="002C7062"/>
    <w:rsid w:val="002C7080"/>
    <w:rsid w:val="002C7397"/>
    <w:rsid w:val="002D0546"/>
    <w:rsid w:val="002D06C9"/>
    <w:rsid w:val="002D0AE9"/>
    <w:rsid w:val="002D158F"/>
    <w:rsid w:val="002D1AA5"/>
    <w:rsid w:val="002D2515"/>
    <w:rsid w:val="002D27B2"/>
    <w:rsid w:val="002D4141"/>
    <w:rsid w:val="002D4753"/>
    <w:rsid w:val="002D566D"/>
    <w:rsid w:val="002D6B9C"/>
    <w:rsid w:val="002D7075"/>
    <w:rsid w:val="002D7D40"/>
    <w:rsid w:val="002E1492"/>
    <w:rsid w:val="002E2415"/>
    <w:rsid w:val="002E2F02"/>
    <w:rsid w:val="002E3549"/>
    <w:rsid w:val="002E3748"/>
    <w:rsid w:val="002E3908"/>
    <w:rsid w:val="002E4361"/>
    <w:rsid w:val="002E4BB9"/>
    <w:rsid w:val="002E4E57"/>
    <w:rsid w:val="002E5BAD"/>
    <w:rsid w:val="002E6BDB"/>
    <w:rsid w:val="002F062E"/>
    <w:rsid w:val="002F0A85"/>
    <w:rsid w:val="002F17F9"/>
    <w:rsid w:val="002F1A6B"/>
    <w:rsid w:val="002F1D82"/>
    <w:rsid w:val="002F1DE0"/>
    <w:rsid w:val="002F203E"/>
    <w:rsid w:val="002F3A16"/>
    <w:rsid w:val="002F3B8C"/>
    <w:rsid w:val="002F3EC6"/>
    <w:rsid w:val="002F4769"/>
    <w:rsid w:val="002F5135"/>
    <w:rsid w:val="002F54FD"/>
    <w:rsid w:val="002F59BC"/>
    <w:rsid w:val="002F5D62"/>
    <w:rsid w:val="002F5E8C"/>
    <w:rsid w:val="002F5EE2"/>
    <w:rsid w:val="002F6A18"/>
    <w:rsid w:val="002F6F98"/>
    <w:rsid w:val="002F7711"/>
    <w:rsid w:val="002F7767"/>
    <w:rsid w:val="003002BF"/>
    <w:rsid w:val="00300CE5"/>
    <w:rsid w:val="00301D96"/>
    <w:rsid w:val="003022D7"/>
    <w:rsid w:val="00302F5D"/>
    <w:rsid w:val="0030398E"/>
    <w:rsid w:val="00303992"/>
    <w:rsid w:val="0030482F"/>
    <w:rsid w:val="00305160"/>
    <w:rsid w:val="0030542A"/>
    <w:rsid w:val="00305972"/>
    <w:rsid w:val="00306497"/>
    <w:rsid w:val="00306E1F"/>
    <w:rsid w:val="003072A6"/>
    <w:rsid w:val="003073C2"/>
    <w:rsid w:val="003074BA"/>
    <w:rsid w:val="003107D2"/>
    <w:rsid w:val="00310FF3"/>
    <w:rsid w:val="003112F0"/>
    <w:rsid w:val="00312643"/>
    <w:rsid w:val="00312874"/>
    <w:rsid w:val="00314B71"/>
    <w:rsid w:val="0031526E"/>
    <w:rsid w:val="00316856"/>
    <w:rsid w:val="00316A53"/>
    <w:rsid w:val="003177A5"/>
    <w:rsid w:val="00317CFE"/>
    <w:rsid w:val="00320C10"/>
    <w:rsid w:val="00321348"/>
    <w:rsid w:val="00321B9E"/>
    <w:rsid w:val="00321DFB"/>
    <w:rsid w:val="00322880"/>
    <w:rsid w:val="003229B4"/>
    <w:rsid w:val="00322D30"/>
    <w:rsid w:val="0032321F"/>
    <w:rsid w:val="00324B63"/>
    <w:rsid w:val="00325211"/>
    <w:rsid w:val="00325CD9"/>
    <w:rsid w:val="00325D75"/>
    <w:rsid w:val="0032601A"/>
    <w:rsid w:val="00326874"/>
    <w:rsid w:val="00326C34"/>
    <w:rsid w:val="003275B6"/>
    <w:rsid w:val="003277F8"/>
    <w:rsid w:val="00327FEE"/>
    <w:rsid w:val="0033021E"/>
    <w:rsid w:val="00331505"/>
    <w:rsid w:val="00331AB0"/>
    <w:rsid w:val="00333980"/>
    <w:rsid w:val="003341E0"/>
    <w:rsid w:val="003343A3"/>
    <w:rsid w:val="00334EB9"/>
    <w:rsid w:val="00334FC2"/>
    <w:rsid w:val="00335245"/>
    <w:rsid w:val="00336394"/>
    <w:rsid w:val="003363FA"/>
    <w:rsid w:val="00336D49"/>
    <w:rsid w:val="003371B1"/>
    <w:rsid w:val="003371F5"/>
    <w:rsid w:val="00337A53"/>
    <w:rsid w:val="003404BE"/>
    <w:rsid w:val="00340662"/>
    <w:rsid w:val="003421A3"/>
    <w:rsid w:val="003423DE"/>
    <w:rsid w:val="00342464"/>
    <w:rsid w:val="003429FC"/>
    <w:rsid w:val="00342AD1"/>
    <w:rsid w:val="00342CE9"/>
    <w:rsid w:val="00343B52"/>
    <w:rsid w:val="0034438D"/>
    <w:rsid w:val="003448E0"/>
    <w:rsid w:val="0034491F"/>
    <w:rsid w:val="00344DA1"/>
    <w:rsid w:val="003450BC"/>
    <w:rsid w:val="0034713E"/>
    <w:rsid w:val="003473E1"/>
    <w:rsid w:val="0035140E"/>
    <w:rsid w:val="0035198C"/>
    <w:rsid w:val="00351DAC"/>
    <w:rsid w:val="00352712"/>
    <w:rsid w:val="00352829"/>
    <w:rsid w:val="00352896"/>
    <w:rsid w:val="00352F75"/>
    <w:rsid w:val="003538E3"/>
    <w:rsid w:val="00354AF9"/>
    <w:rsid w:val="00354EF8"/>
    <w:rsid w:val="00356428"/>
    <w:rsid w:val="0035643E"/>
    <w:rsid w:val="00356742"/>
    <w:rsid w:val="003567EE"/>
    <w:rsid w:val="00356883"/>
    <w:rsid w:val="00357167"/>
    <w:rsid w:val="0035791F"/>
    <w:rsid w:val="00357A43"/>
    <w:rsid w:val="00357E90"/>
    <w:rsid w:val="0036072E"/>
    <w:rsid w:val="00360FEB"/>
    <w:rsid w:val="00361456"/>
    <w:rsid w:val="0036167B"/>
    <w:rsid w:val="00361E0C"/>
    <w:rsid w:val="00361F16"/>
    <w:rsid w:val="00362060"/>
    <w:rsid w:val="00362067"/>
    <w:rsid w:val="0036241C"/>
    <w:rsid w:val="003628CD"/>
    <w:rsid w:val="00362A42"/>
    <w:rsid w:val="00362AA8"/>
    <w:rsid w:val="00362B80"/>
    <w:rsid w:val="00362C91"/>
    <w:rsid w:val="003635D8"/>
    <w:rsid w:val="00363B6A"/>
    <w:rsid w:val="00363C88"/>
    <w:rsid w:val="00363D1E"/>
    <w:rsid w:val="00364724"/>
    <w:rsid w:val="003647AF"/>
    <w:rsid w:val="00364992"/>
    <w:rsid w:val="00364E71"/>
    <w:rsid w:val="0036648B"/>
    <w:rsid w:val="00366916"/>
    <w:rsid w:val="0036764D"/>
    <w:rsid w:val="00367DC9"/>
    <w:rsid w:val="00367F11"/>
    <w:rsid w:val="003718A8"/>
    <w:rsid w:val="00371B07"/>
    <w:rsid w:val="00371BFB"/>
    <w:rsid w:val="00372DA2"/>
    <w:rsid w:val="00373321"/>
    <w:rsid w:val="003738A1"/>
    <w:rsid w:val="00373ECC"/>
    <w:rsid w:val="00374B14"/>
    <w:rsid w:val="00374B7D"/>
    <w:rsid w:val="0037642B"/>
    <w:rsid w:val="003764AE"/>
    <w:rsid w:val="00380091"/>
    <w:rsid w:val="003805EE"/>
    <w:rsid w:val="00380D7A"/>
    <w:rsid w:val="0038190E"/>
    <w:rsid w:val="00382F42"/>
    <w:rsid w:val="00383492"/>
    <w:rsid w:val="00383D7C"/>
    <w:rsid w:val="00384663"/>
    <w:rsid w:val="00384825"/>
    <w:rsid w:val="0038571A"/>
    <w:rsid w:val="003860A8"/>
    <w:rsid w:val="003863DB"/>
    <w:rsid w:val="00386AAB"/>
    <w:rsid w:val="00387444"/>
    <w:rsid w:val="0039186E"/>
    <w:rsid w:val="00392BF2"/>
    <w:rsid w:val="00392C9B"/>
    <w:rsid w:val="003934D3"/>
    <w:rsid w:val="00393D63"/>
    <w:rsid w:val="00394153"/>
    <w:rsid w:val="00395A57"/>
    <w:rsid w:val="0039653E"/>
    <w:rsid w:val="00396746"/>
    <w:rsid w:val="00396E48"/>
    <w:rsid w:val="0039726B"/>
    <w:rsid w:val="00397658"/>
    <w:rsid w:val="00397E78"/>
    <w:rsid w:val="00397F01"/>
    <w:rsid w:val="003A0719"/>
    <w:rsid w:val="003A0D8A"/>
    <w:rsid w:val="003A0E92"/>
    <w:rsid w:val="003A0EC3"/>
    <w:rsid w:val="003A1C7B"/>
    <w:rsid w:val="003A1F33"/>
    <w:rsid w:val="003A21AE"/>
    <w:rsid w:val="003A26CD"/>
    <w:rsid w:val="003A29AF"/>
    <w:rsid w:val="003A36A0"/>
    <w:rsid w:val="003A3A57"/>
    <w:rsid w:val="003A3C91"/>
    <w:rsid w:val="003A3F15"/>
    <w:rsid w:val="003A4813"/>
    <w:rsid w:val="003A48FE"/>
    <w:rsid w:val="003A4ABE"/>
    <w:rsid w:val="003A4C8F"/>
    <w:rsid w:val="003A520D"/>
    <w:rsid w:val="003A6209"/>
    <w:rsid w:val="003A65CC"/>
    <w:rsid w:val="003A6EC5"/>
    <w:rsid w:val="003A7458"/>
    <w:rsid w:val="003B036E"/>
    <w:rsid w:val="003B0429"/>
    <w:rsid w:val="003B0C33"/>
    <w:rsid w:val="003B1583"/>
    <w:rsid w:val="003B1B37"/>
    <w:rsid w:val="003B1D5A"/>
    <w:rsid w:val="003B1F88"/>
    <w:rsid w:val="003B2590"/>
    <w:rsid w:val="003B3545"/>
    <w:rsid w:val="003B3D6D"/>
    <w:rsid w:val="003B4309"/>
    <w:rsid w:val="003B458A"/>
    <w:rsid w:val="003B48D7"/>
    <w:rsid w:val="003B4D51"/>
    <w:rsid w:val="003B5E05"/>
    <w:rsid w:val="003B5F5A"/>
    <w:rsid w:val="003B624B"/>
    <w:rsid w:val="003B6813"/>
    <w:rsid w:val="003B734B"/>
    <w:rsid w:val="003C040F"/>
    <w:rsid w:val="003C0D0A"/>
    <w:rsid w:val="003C13C3"/>
    <w:rsid w:val="003C1D58"/>
    <w:rsid w:val="003C364F"/>
    <w:rsid w:val="003C5350"/>
    <w:rsid w:val="003C5E9E"/>
    <w:rsid w:val="003C60F1"/>
    <w:rsid w:val="003C7098"/>
    <w:rsid w:val="003D10BC"/>
    <w:rsid w:val="003D1853"/>
    <w:rsid w:val="003D291C"/>
    <w:rsid w:val="003D2A9B"/>
    <w:rsid w:val="003D3A46"/>
    <w:rsid w:val="003D3E92"/>
    <w:rsid w:val="003D408A"/>
    <w:rsid w:val="003D4D85"/>
    <w:rsid w:val="003D517B"/>
    <w:rsid w:val="003D5C12"/>
    <w:rsid w:val="003D6143"/>
    <w:rsid w:val="003D61AA"/>
    <w:rsid w:val="003D6D86"/>
    <w:rsid w:val="003D7B9B"/>
    <w:rsid w:val="003E0168"/>
    <w:rsid w:val="003E01E4"/>
    <w:rsid w:val="003E05C7"/>
    <w:rsid w:val="003E0F66"/>
    <w:rsid w:val="003E1A5C"/>
    <w:rsid w:val="003E230E"/>
    <w:rsid w:val="003E238C"/>
    <w:rsid w:val="003E3081"/>
    <w:rsid w:val="003E3151"/>
    <w:rsid w:val="003E3273"/>
    <w:rsid w:val="003E3329"/>
    <w:rsid w:val="003E3606"/>
    <w:rsid w:val="003E3B7C"/>
    <w:rsid w:val="003E3BFA"/>
    <w:rsid w:val="003E3F17"/>
    <w:rsid w:val="003E446C"/>
    <w:rsid w:val="003E46F8"/>
    <w:rsid w:val="003E48BF"/>
    <w:rsid w:val="003E49EE"/>
    <w:rsid w:val="003E5188"/>
    <w:rsid w:val="003E52D7"/>
    <w:rsid w:val="003E5320"/>
    <w:rsid w:val="003E5708"/>
    <w:rsid w:val="003E5807"/>
    <w:rsid w:val="003E593E"/>
    <w:rsid w:val="003E5E3E"/>
    <w:rsid w:val="003E601E"/>
    <w:rsid w:val="003E62ED"/>
    <w:rsid w:val="003E7E57"/>
    <w:rsid w:val="003E7EB0"/>
    <w:rsid w:val="003F098B"/>
    <w:rsid w:val="003F0AA6"/>
    <w:rsid w:val="003F0B0C"/>
    <w:rsid w:val="003F11CB"/>
    <w:rsid w:val="003F133E"/>
    <w:rsid w:val="003F156C"/>
    <w:rsid w:val="003F1AB4"/>
    <w:rsid w:val="003F2702"/>
    <w:rsid w:val="003F4024"/>
    <w:rsid w:val="003F41D2"/>
    <w:rsid w:val="003F4E10"/>
    <w:rsid w:val="003F5A86"/>
    <w:rsid w:val="003F5ED3"/>
    <w:rsid w:val="003F659C"/>
    <w:rsid w:val="003F6D67"/>
    <w:rsid w:val="003F6E54"/>
    <w:rsid w:val="003F7152"/>
    <w:rsid w:val="003F7E6E"/>
    <w:rsid w:val="00400868"/>
    <w:rsid w:val="0040182A"/>
    <w:rsid w:val="00401A4A"/>
    <w:rsid w:val="00401A4C"/>
    <w:rsid w:val="00401CEA"/>
    <w:rsid w:val="004031D2"/>
    <w:rsid w:val="004035F6"/>
    <w:rsid w:val="004045F8"/>
    <w:rsid w:val="0040492A"/>
    <w:rsid w:val="004063C0"/>
    <w:rsid w:val="004072F2"/>
    <w:rsid w:val="00407333"/>
    <w:rsid w:val="00407BFE"/>
    <w:rsid w:val="0041008C"/>
    <w:rsid w:val="004104B8"/>
    <w:rsid w:val="00412655"/>
    <w:rsid w:val="004136A1"/>
    <w:rsid w:val="00414372"/>
    <w:rsid w:val="004153EA"/>
    <w:rsid w:val="00415864"/>
    <w:rsid w:val="00416D53"/>
    <w:rsid w:val="00417143"/>
    <w:rsid w:val="00417240"/>
    <w:rsid w:val="00417297"/>
    <w:rsid w:val="004179D2"/>
    <w:rsid w:val="00417CF9"/>
    <w:rsid w:val="00417FC9"/>
    <w:rsid w:val="00420A2A"/>
    <w:rsid w:val="00420A78"/>
    <w:rsid w:val="00421022"/>
    <w:rsid w:val="00421C25"/>
    <w:rsid w:val="00422117"/>
    <w:rsid w:val="004221D8"/>
    <w:rsid w:val="00422D43"/>
    <w:rsid w:val="004238E4"/>
    <w:rsid w:val="00423EF0"/>
    <w:rsid w:val="00423F38"/>
    <w:rsid w:val="0042684B"/>
    <w:rsid w:val="00426A97"/>
    <w:rsid w:val="00426E12"/>
    <w:rsid w:val="004274DD"/>
    <w:rsid w:val="004275C1"/>
    <w:rsid w:val="00427B77"/>
    <w:rsid w:val="00427BE0"/>
    <w:rsid w:val="00430C16"/>
    <w:rsid w:val="00430DF6"/>
    <w:rsid w:val="004312BB"/>
    <w:rsid w:val="00431347"/>
    <w:rsid w:val="004317FC"/>
    <w:rsid w:val="00431A7E"/>
    <w:rsid w:val="00431B17"/>
    <w:rsid w:val="00431B71"/>
    <w:rsid w:val="00433215"/>
    <w:rsid w:val="0043347C"/>
    <w:rsid w:val="00433BE1"/>
    <w:rsid w:val="00434169"/>
    <w:rsid w:val="004359FE"/>
    <w:rsid w:val="004361CF"/>
    <w:rsid w:val="0043701A"/>
    <w:rsid w:val="0043760B"/>
    <w:rsid w:val="004379E9"/>
    <w:rsid w:val="00437C5D"/>
    <w:rsid w:val="00437E6D"/>
    <w:rsid w:val="00437F2E"/>
    <w:rsid w:val="00440275"/>
    <w:rsid w:val="004405B4"/>
    <w:rsid w:val="0044112E"/>
    <w:rsid w:val="0044169B"/>
    <w:rsid w:val="004417D5"/>
    <w:rsid w:val="004421E2"/>
    <w:rsid w:val="00442255"/>
    <w:rsid w:val="00442AEA"/>
    <w:rsid w:val="004433A1"/>
    <w:rsid w:val="004449AC"/>
    <w:rsid w:val="00445502"/>
    <w:rsid w:val="004455EF"/>
    <w:rsid w:val="00445846"/>
    <w:rsid w:val="00445D4D"/>
    <w:rsid w:val="004465C5"/>
    <w:rsid w:val="0044785D"/>
    <w:rsid w:val="00447D61"/>
    <w:rsid w:val="0045132A"/>
    <w:rsid w:val="00451981"/>
    <w:rsid w:val="00452136"/>
    <w:rsid w:val="00452B0D"/>
    <w:rsid w:val="00452B0F"/>
    <w:rsid w:val="00453826"/>
    <w:rsid w:val="00454260"/>
    <w:rsid w:val="0045488C"/>
    <w:rsid w:val="00454D77"/>
    <w:rsid w:val="00456076"/>
    <w:rsid w:val="004563BB"/>
    <w:rsid w:val="004568AA"/>
    <w:rsid w:val="00457286"/>
    <w:rsid w:val="00457D34"/>
    <w:rsid w:val="00460109"/>
    <w:rsid w:val="00460505"/>
    <w:rsid w:val="004614AB"/>
    <w:rsid w:val="004615D8"/>
    <w:rsid w:val="00461ED8"/>
    <w:rsid w:val="004631B2"/>
    <w:rsid w:val="00463204"/>
    <w:rsid w:val="0046392E"/>
    <w:rsid w:val="00464207"/>
    <w:rsid w:val="0046468D"/>
    <w:rsid w:val="00464736"/>
    <w:rsid w:val="004653BE"/>
    <w:rsid w:val="00465624"/>
    <w:rsid w:val="00465BDF"/>
    <w:rsid w:val="00466C00"/>
    <w:rsid w:val="00466E0E"/>
    <w:rsid w:val="004675BE"/>
    <w:rsid w:val="00470F6B"/>
    <w:rsid w:val="0047205B"/>
    <w:rsid w:val="00472252"/>
    <w:rsid w:val="0047243A"/>
    <w:rsid w:val="004727AA"/>
    <w:rsid w:val="00472A97"/>
    <w:rsid w:val="0047306F"/>
    <w:rsid w:val="00473DEC"/>
    <w:rsid w:val="0047438C"/>
    <w:rsid w:val="00474B87"/>
    <w:rsid w:val="00474CB2"/>
    <w:rsid w:val="004752EE"/>
    <w:rsid w:val="004752F9"/>
    <w:rsid w:val="00475682"/>
    <w:rsid w:val="004764E5"/>
    <w:rsid w:val="00480698"/>
    <w:rsid w:val="0048087B"/>
    <w:rsid w:val="00480A49"/>
    <w:rsid w:val="00480A59"/>
    <w:rsid w:val="004811CD"/>
    <w:rsid w:val="0048192C"/>
    <w:rsid w:val="00481DB4"/>
    <w:rsid w:val="004821FC"/>
    <w:rsid w:val="00482A47"/>
    <w:rsid w:val="00484866"/>
    <w:rsid w:val="00484A9C"/>
    <w:rsid w:val="004853B0"/>
    <w:rsid w:val="0048597A"/>
    <w:rsid w:val="00485B87"/>
    <w:rsid w:val="004863FE"/>
    <w:rsid w:val="0049006D"/>
    <w:rsid w:val="0049031F"/>
    <w:rsid w:val="00490DF3"/>
    <w:rsid w:val="00490F0A"/>
    <w:rsid w:val="004912C8"/>
    <w:rsid w:val="004914A7"/>
    <w:rsid w:val="00491C11"/>
    <w:rsid w:val="00492349"/>
    <w:rsid w:val="00492C05"/>
    <w:rsid w:val="0049308F"/>
    <w:rsid w:val="00493202"/>
    <w:rsid w:val="004932B4"/>
    <w:rsid w:val="004938CE"/>
    <w:rsid w:val="00493BF1"/>
    <w:rsid w:val="00493E75"/>
    <w:rsid w:val="00494047"/>
    <w:rsid w:val="0049482B"/>
    <w:rsid w:val="00494D97"/>
    <w:rsid w:val="00494F65"/>
    <w:rsid w:val="004951F8"/>
    <w:rsid w:val="00495CE6"/>
    <w:rsid w:val="0049615E"/>
    <w:rsid w:val="00497053"/>
    <w:rsid w:val="004973A8"/>
    <w:rsid w:val="004A003B"/>
    <w:rsid w:val="004A1E81"/>
    <w:rsid w:val="004A2281"/>
    <w:rsid w:val="004A2BAE"/>
    <w:rsid w:val="004A3AC5"/>
    <w:rsid w:val="004A4179"/>
    <w:rsid w:val="004A4592"/>
    <w:rsid w:val="004A5291"/>
    <w:rsid w:val="004A5EC7"/>
    <w:rsid w:val="004A5F1D"/>
    <w:rsid w:val="004A65A0"/>
    <w:rsid w:val="004A7156"/>
    <w:rsid w:val="004A76B1"/>
    <w:rsid w:val="004A7AA6"/>
    <w:rsid w:val="004B03D4"/>
    <w:rsid w:val="004B0C16"/>
    <w:rsid w:val="004B1012"/>
    <w:rsid w:val="004B199F"/>
    <w:rsid w:val="004B1B6B"/>
    <w:rsid w:val="004B2704"/>
    <w:rsid w:val="004B2C2C"/>
    <w:rsid w:val="004B2F72"/>
    <w:rsid w:val="004B312D"/>
    <w:rsid w:val="004B32DD"/>
    <w:rsid w:val="004B383D"/>
    <w:rsid w:val="004B38CE"/>
    <w:rsid w:val="004B43F0"/>
    <w:rsid w:val="004B4B0E"/>
    <w:rsid w:val="004B4B1C"/>
    <w:rsid w:val="004B4BE9"/>
    <w:rsid w:val="004B55BB"/>
    <w:rsid w:val="004B6063"/>
    <w:rsid w:val="004B6BCD"/>
    <w:rsid w:val="004B77A5"/>
    <w:rsid w:val="004B785B"/>
    <w:rsid w:val="004B7A67"/>
    <w:rsid w:val="004C0205"/>
    <w:rsid w:val="004C0389"/>
    <w:rsid w:val="004C087C"/>
    <w:rsid w:val="004C094F"/>
    <w:rsid w:val="004C0AE7"/>
    <w:rsid w:val="004C0FBC"/>
    <w:rsid w:val="004C1011"/>
    <w:rsid w:val="004C127B"/>
    <w:rsid w:val="004C1A59"/>
    <w:rsid w:val="004C2B0C"/>
    <w:rsid w:val="004C3215"/>
    <w:rsid w:val="004C37DF"/>
    <w:rsid w:val="004C4619"/>
    <w:rsid w:val="004C470A"/>
    <w:rsid w:val="004C4D3B"/>
    <w:rsid w:val="004C53A5"/>
    <w:rsid w:val="004C5914"/>
    <w:rsid w:val="004C5915"/>
    <w:rsid w:val="004C6707"/>
    <w:rsid w:val="004C6EF5"/>
    <w:rsid w:val="004C748A"/>
    <w:rsid w:val="004C7735"/>
    <w:rsid w:val="004C798C"/>
    <w:rsid w:val="004C7FE6"/>
    <w:rsid w:val="004D00D5"/>
    <w:rsid w:val="004D0648"/>
    <w:rsid w:val="004D1570"/>
    <w:rsid w:val="004D16FC"/>
    <w:rsid w:val="004D1704"/>
    <w:rsid w:val="004D178B"/>
    <w:rsid w:val="004D183A"/>
    <w:rsid w:val="004D18EB"/>
    <w:rsid w:val="004D1BB3"/>
    <w:rsid w:val="004D349B"/>
    <w:rsid w:val="004D36AC"/>
    <w:rsid w:val="004D3905"/>
    <w:rsid w:val="004D47FE"/>
    <w:rsid w:val="004D4AD8"/>
    <w:rsid w:val="004D4E15"/>
    <w:rsid w:val="004D5DB1"/>
    <w:rsid w:val="004D7374"/>
    <w:rsid w:val="004D7C22"/>
    <w:rsid w:val="004E00A3"/>
    <w:rsid w:val="004E0BF4"/>
    <w:rsid w:val="004E0C8A"/>
    <w:rsid w:val="004E0FFA"/>
    <w:rsid w:val="004E18A4"/>
    <w:rsid w:val="004E1CBD"/>
    <w:rsid w:val="004E1E56"/>
    <w:rsid w:val="004E293A"/>
    <w:rsid w:val="004E2C72"/>
    <w:rsid w:val="004E31A6"/>
    <w:rsid w:val="004E3207"/>
    <w:rsid w:val="004E32EF"/>
    <w:rsid w:val="004E3F35"/>
    <w:rsid w:val="004E44A4"/>
    <w:rsid w:val="004E4747"/>
    <w:rsid w:val="004E5846"/>
    <w:rsid w:val="004E5BAE"/>
    <w:rsid w:val="004E5E0C"/>
    <w:rsid w:val="004F051E"/>
    <w:rsid w:val="004F0623"/>
    <w:rsid w:val="004F0D84"/>
    <w:rsid w:val="004F1775"/>
    <w:rsid w:val="004F1901"/>
    <w:rsid w:val="004F2DA2"/>
    <w:rsid w:val="004F3254"/>
    <w:rsid w:val="004F38BE"/>
    <w:rsid w:val="004F3A6A"/>
    <w:rsid w:val="004F475F"/>
    <w:rsid w:val="004F48A0"/>
    <w:rsid w:val="004F4C47"/>
    <w:rsid w:val="004F4F18"/>
    <w:rsid w:val="004F53D6"/>
    <w:rsid w:val="004F5404"/>
    <w:rsid w:val="004F589A"/>
    <w:rsid w:val="004F5BB8"/>
    <w:rsid w:val="004F5D4A"/>
    <w:rsid w:val="004F62FC"/>
    <w:rsid w:val="004F666E"/>
    <w:rsid w:val="004F6D42"/>
    <w:rsid w:val="00500B84"/>
    <w:rsid w:val="00501398"/>
    <w:rsid w:val="00501ECF"/>
    <w:rsid w:val="005022D1"/>
    <w:rsid w:val="00502866"/>
    <w:rsid w:val="00502ADD"/>
    <w:rsid w:val="00502B64"/>
    <w:rsid w:val="005033F4"/>
    <w:rsid w:val="00504892"/>
    <w:rsid w:val="00504AA4"/>
    <w:rsid w:val="0050512D"/>
    <w:rsid w:val="005051B9"/>
    <w:rsid w:val="00505B4A"/>
    <w:rsid w:val="00505D16"/>
    <w:rsid w:val="005063FF"/>
    <w:rsid w:val="005069C8"/>
    <w:rsid w:val="0050742F"/>
    <w:rsid w:val="00507E6F"/>
    <w:rsid w:val="005104E6"/>
    <w:rsid w:val="00511164"/>
    <w:rsid w:val="0051147B"/>
    <w:rsid w:val="00511E88"/>
    <w:rsid w:val="005124E5"/>
    <w:rsid w:val="00512629"/>
    <w:rsid w:val="00512937"/>
    <w:rsid w:val="00512ACC"/>
    <w:rsid w:val="00512B8F"/>
    <w:rsid w:val="00512D7A"/>
    <w:rsid w:val="00512F22"/>
    <w:rsid w:val="0051317A"/>
    <w:rsid w:val="00513317"/>
    <w:rsid w:val="00513EEF"/>
    <w:rsid w:val="00513F26"/>
    <w:rsid w:val="005140AE"/>
    <w:rsid w:val="00515D8A"/>
    <w:rsid w:val="00516997"/>
    <w:rsid w:val="0051713C"/>
    <w:rsid w:val="00517411"/>
    <w:rsid w:val="00517D99"/>
    <w:rsid w:val="005200CB"/>
    <w:rsid w:val="00520187"/>
    <w:rsid w:val="0052033E"/>
    <w:rsid w:val="00520521"/>
    <w:rsid w:val="0052129A"/>
    <w:rsid w:val="00521893"/>
    <w:rsid w:val="0052280C"/>
    <w:rsid w:val="00522A5B"/>
    <w:rsid w:val="00523189"/>
    <w:rsid w:val="005240AF"/>
    <w:rsid w:val="00524237"/>
    <w:rsid w:val="00524846"/>
    <w:rsid w:val="0052539B"/>
    <w:rsid w:val="00525405"/>
    <w:rsid w:val="00525505"/>
    <w:rsid w:val="0052572A"/>
    <w:rsid w:val="00525D8C"/>
    <w:rsid w:val="00527093"/>
    <w:rsid w:val="0052719C"/>
    <w:rsid w:val="00527C16"/>
    <w:rsid w:val="00527F55"/>
    <w:rsid w:val="00527F94"/>
    <w:rsid w:val="005326EC"/>
    <w:rsid w:val="00532770"/>
    <w:rsid w:val="005332EF"/>
    <w:rsid w:val="0053344D"/>
    <w:rsid w:val="00533777"/>
    <w:rsid w:val="0053457C"/>
    <w:rsid w:val="00535A9B"/>
    <w:rsid w:val="0053609C"/>
    <w:rsid w:val="005364B4"/>
    <w:rsid w:val="005368D7"/>
    <w:rsid w:val="00536FC2"/>
    <w:rsid w:val="005402A4"/>
    <w:rsid w:val="00540BDD"/>
    <w:rsid w:val="00540ED3"/>
    <w:rsid w:val="00541B81"/>
    <w:rsid w:val="00541D6D"/>
    <w:rsid w:val="00541F96"/>
    <w:rsid w:val="0054261D"/>
    <w:rsid w:val="0054356D"/>
    <w:rsid w:val="00543833"/>
    <w:rsid w:val="00543A56"/>
    <w:rsid w:val="00545368"/>
    <w:rsid w:val="005453B1"/>
    <w:rsid w:val="00545F33"/>
    <w:rsid w:val="005465A6"/>
    <w:rsid w:val="00546720"/>
    <w:rsid w:val="00546EDE"/>
    <w:rsid w:val="005472F8"/>
    <w:rsid w:val="005474F7"/>
    <w:rsid w:val="005500BE"/>
    <w:rsid w:val="005503CD"/>
    <w:rsid w:val="00550981"/>
    <w:rsid w:val="00550FD5"/>
    <w:rsid w:val="005511C3"/>
    <w:rsid w:val="00551B0B"/>
    <w:rsid w:val="005534D6"/>
    <w:rsid w:val="005535C6"/>
    <w:rsid w:val="00553D38"/>
    <w:rsid w:val="00553D6E"/>
    <w:rsid w:val="00553DC7"/>
    <w:rsid w:val="0055423B"/>
    <w:rsid w:val="005548A5"/>
    <w:rsid w:val="00555972"/>
    <w:rsid w:val="00555CB7"/>
    <w:rsid w:val="00556E30"/>
    <w:rsid w:val="005570BB"/>
    <w:rsid w:val="005571F1"/>
    <w:rsid w:val="00557BC9"/>
    <w:rsid w:val="005613D8"/>
    <w:rsid w:val="0056185F"/>
    <w:rsid w:val="00561C02"/>
    <w:rsid w:val="005628A2"/>
    <w:rsid w:val="00563F3C"/>
    <w:rsid w:val="0056443B"/>
    <w:rsid w:val="0056476D"/>
    <w:rsid w:val="0056493C"/>
    <w:rsid w:val="00565C35"/>
    <w:rsid w:val="00566199"/>
    <w:rsid w:val="005665AD"/>
    <w:rsid w:val="0056727C"/>
    <w:rsid w:val="00567DF4"/>
    <w:rsid w:val="005704EF"/>
    <w:rsid w:val="005711FA"/>
    <w:rsid w:val="00572663"/>
    <w:rsid w:val="00572C1D"/>
    <w:rsid w:val="00572C5D"/>
    <w:rsid w:val="005732ED"/>
    <w:rsid w:val="005738F8"/>
    <w:rsid w:val="00573A59"/>
    <w:rsid w:val="00573B6E"/>
    <w:rsid w:val="00573C1C"/>
    <w:rsid w:val="00573E28"/>
    <w:rsid w:val="005747DC"/>
    <w:rsid w:val="0057510E"/>
    <w:rsid w:val="0057620E"/>
    <w:rsid w:val="00576845"/>
    <w:rsid w:val="00577AAF"/>
    <w:rsid w:val="00580A40"/>
    <w:rsid w:val="00581754"/>
    <w:rsid w:val="00581AAB"/>
    <w:rsid w:val="00581DA9"/>
    <w:rsid w:val="00582170"/>
    <w:rsid w:val="00582D03"/>
    <w:rsid w:val="00582F66"/>
    <w:rsid w:val="00584AAD"/>
    <w:rsid w:val="00584B78"/>
    <w:rsid w:val="005861FF"/>
    <w:rsid w:val="00587205"/>
    <w:rsid w:val="00587BC2"/>
    <w:rsid w:val="00587E62"/>
    <w:rsid w:val="005904FE"/>
    <w:rsid w:val="00590CC8"/>
    <w:rsid w:val="00591367"/>
    <w:rsid w:val="005913F9"/>
    <w:rsid w:val="00591642"/>
    <w:rsid w:val="005917AE"/>
    <w:rsid w:val="00591885"/>
    <w:rsid w:val="00591BB1"/>
    <w:rsid w:val="00593D3F"/>
    <w:rsid w:val="0059453A"/>
    <w:rsid w:val="00594BBF"/>
    <w:rsid w:val="00594C53"/>
    <w:rsid w:val="00595061"/>
    <w:rsid w:val="005950B0"/>
    <w:rsid w:val="0059570C"/>
    <w:rsid w:val="00595D0E"/>
    <w:rsid w:val="00595EBB"/>
    <w:rsid w:val="00596827"/>
    <w:rsid w:val="00597B6C"/>
    <w:rsid w:val="00597E83"/>
    <w:rsid w:val="005A0419"/>
    <w:rsid w:val="005A108A"/>
    <w:rsid w:val="005A13DE"/>
    <w:rsid w:val="005A1620"/>
    <w:rsid w:val="005A1800"/>
    <w:rsid w:val="005A1C2A"/>
    <w:rsid w:val="005A2145"/>
    <w:rsid w:val="005A23A3"/>
    <w:rsid w:val="005A2562"/>
    <w:rsid w:val="005A3209"/>
    <w:rsid w:val="005A3D27"/>
    <w:rsid w:val="005A6AC7"/>
    <w:rsid w:val="005A6F28"/>
    <w:rsid w:val="005A7204"/>
    <w:rsid w:val="005A7DF0"/>
    <w:rsid w:val="005B03EA"/>
    <w:rsid w:val="005B07F8"/>
    <w:rsid w:val="005B09C8"/>
    <w:rsid w:val="005B0E14"/>
    <w:rsid w:val="005B1E1D"/>
    <w:rsid w:val="005B2266"/>
    <w:rsid w:val="005B2583"/>
    <w:rsid w:val="005B2F06"/>
    <w:rsid w:val="005B2F73"/>
    <w:rsid w:val="005B32FA"/>
    <w:rsid w:val="005B345D"/>
    <w:rsid w:val="005B4630"/>
    <w:rsid w:val="005B4A13"/>
    <w:rsid w:val="005B4C05"/>
    <w:rsid w:val="005B50BC"/>
    <w:rsid w:val="005B593B"/>
    <w:rsid w:val="005B5ED4"/>
    <w:rsid w:val="005B64E6"/>
    <w:rsid w:val="005B694C"/>
    <w:rsid w:val="005B7324"/>
    <w:rsid w:val="005C0065"/>
    <w:rsid w:val="005C0600"/>
    <w:rsid w:val="005C11B9"/>
    <w:rsid w:val="005C23D2"/>
    <w:rsid w:val="005C41F1"/>
    <w:rsid w:val="005C5620"/>
    <w:rsid w:val="005C581C"/>
    <w:rsid w:val="005C60F0"/>
    <w:rsid w:val="005C642B"/>
    <w:rsid w:val="005C741A"/>
    <w:rsid w:val="005C7817"/>
    <w:rsid w:val="005C7FAC"/>
    <w:rsid w:val="005D06C6"/>
    <w:rsid w:val="005D1D31"/>
    <w:rsid w:val="005D1FDE"/>
    <w:rsid w:val="005D2D29"/>
    <w:rsid w:val="005D4FC7"/>
    <w:rsid w:val="005D5228"/>
    <w:rsid w:val="005D5B75"/>
    <w:rsid w:val="005D5D46"/>
    <w:rsid w:val="005D5F17"/>
    <w:rsid w:val="005D603E"/>
    <w:rsid w:val="005D63DF"/>
    <w:rsid w:val="005D68F7"/>
    <w:rsid w:val="005D69D0"/>
    <w:rsid w:val="005D7608"/>
    <w:rsid w:val="005E0B9F"/>
    <w:rsid w:val="005E0E23"/>
    <w:rsid w:val="005E1839"/>
    <w:rsid w:val="005E1A30"/>
    <w:rsid w:val="005E1FDC"/>
    <w:rsid w:val="005E2349"/>
    <w:rsid w:val="005E2455"/>
    <w:rsid w:val="005E351C"/>
    <w:rsid w:val="005E4094"/>
    <w:rsid w:val="005E4870"/>
    <w:rsid w:val="005E5BFA"/>
    <w:rsid w:val="005E5CEE"/>
    <w:rsid w:val="005E5FFB"/>
    <w:rsid w:val="005E6C38"/>
    <w:rsid w:val="005E7604"/>
    <w:rsid w:val="005E7675"/>
    <w:rsid w:val="005E7754"/>
    <w:rsid w:val="005E7A28"/>
    <w:rsid w:val="005F0455"/>
    <w:rsid w:val="005F04A3"/>
    <w:rsid w:val="005F0FFC"/>
    <w:rsid w:val="005F10FB"/>
    <w:rsid w:val="005F114A"/>
    <w:rsid w:val="005F1353"/>
    <w:rsid w:val="005F138B"/>
    <w:rsid w:val="005F153A"/>
    <w:rsid w:val="005F15E8"/>
    <w:rsid w:val="005F2BE1"/>
    <w:rsid w:val="005F3C65"/>
    <w:rsid w:val="005F467F"/>
    <w:rsid w:val="005F480A"/>
    <w:rsid w:val="005F4868"/>
    <w:rsid w:val="005F4988"/>
    <w:rsid w:val="005F553E"/>
    <w:rsid w:val="005F60E6"/>
    <w:rsid w:val="005F6183"/>
    <w:rsid w:val="005F6322"/>
    <w:rsid w:val="005F69F8"/>
    <w:rsid w:val="005F6BDA"/>
    <w:rsid w:val="005F7E77"/>
    <w:rsid w:val="00600180"/>
    <w:rsid w:val="0060130A"/>
    <w:rsid w:val="00601C82"/>
    <w:rsid w:val="00601CA3"/>
    <w:rsid w:val="0060205B"/>
    <w:rsid w:val="0060218A"/>
    <w:rsid w:val="006026E2"/>
    <w:rsid w:val="00602BFD"/>
    <w:rsid w:val="00603880"/>
    <w:rsid w:val="00603E97"/>
    <w:rsid w:val="0060416D"/>
    <w:rsid w:val="006043C3"/>
    <w:rsid w:val="006045E9"/>
    <w:rsid w:val="00604982"/>
    <w:rsid w:val="00605445"/>
    <w:rsid w:val="006054FD"/>
    <w:rsid w:val="006058F0"/>
    <w:rsid w:val="0060596B"/>
    <w:rsid w:val="00605AB2"/>
    <w:rsid w:val="00605F40"/>
    <w:rsid w:val="00606413"/>
    <w:rsid w:val="00606417"/>
    <w:rsid w:val="006066E0"/>
    <w:rsid w:val="00606A67"/>
    <w:rsid w:val="00606B3C"/>
    <w:rsid w:val="00606B5C"/>
    <w:rsid w:val="00607AE4"/>
    <w:rsid w:val="00607CC6"/>
    <w:rsid w:val="00610B6F"/>
    <w:rsid w:val="006118EC"/>
    <w:rsid w:val="00612364"/>
    <w:rsid w:val="00613806"/>
    <w:rsid w:val="00613B86"/>
    <w:rsid w:val="00614D0E"/>
    <w:rsid w:val="00614F31"/>
    <w:rsid w:val="00615260"/>
    <w:rsid w:val="00615A22"/>
    <w:rsid w:val="00615A74"/>
    <w:rsid w:val="00616BFB"/>
    <w:rsid w:val="00617067"/>
    <w:rsid w:val="0061708E"/>
    <w:rsid w:val="0061769E"/>
    <w:rsid w:val="00617FD2"/>
    <w:rsid w:val="0062059A"/>
    <w:rsid w:val="00620AD7"/>
    <w:rsid w:val="00621194"/>
    <w:rsid w:val="00622009"/>
    <w:rsid w:val="00623AD2"/>
    <w:rsid w:val="00625185"/>
    <w:rsid w:val="00625621"/>
    <w:rsid w:val="00626A50"/>
    <w:rsid w:val="00626E30"/>
    <w:rsid w:val="00626EC4"/>
    <w:rsid w:val="00626ED3"/>
    <w:rsid w:val="00626ED6"/>
    <w:rsid w:val="0063034A"/>
    <w:rsid w:val="00630722"/>
    <w:rsid w:val="006319DC"/>
    <w:rsid w:val="00633311"/>
    <w:rsid w:val="00633D35"/>
    <w:rsid w:val="00634A4E"/>
    <w:rsid w:val="0063696A"/>
    <w:rsid w:val="00637583"/>
    <w:rsid w:val="00637EB3"/>
    <w:rsid w:val="00640ABD"/>
    <w:rsid w:val="0064145A"/>
    <w:rsid w:val="00641A47"/>
    <w:rsid w:val="00642460"/>
    <w:rsid w:val="006424EB"/>
    <w:rsid w:val="00642A0F"/>
    <w:rsid w:val="00642E91"/>
    <w:rsid w:val="006440F2"/>
    <w:rsid w:val="00645D09"/>
    <w:rsid w:val="00646342"/>
    <w:rsid w:val="006504C8"/>
    <w:rsid w:val="00651CE5"/>
    <w:rsid w:val="00653459"/>
    <w:rsid w:val="00653BF0"/>
    <w:rsid w:val="00654495"/>
    <w:rsid w:val="00654635"/>
    <w:rsid w:val="00655699"/>
    <w:rsid w:val="00655D9E"/>
    <w:rsid w:val="00657BE7"/>
    <w:rsid w:val="00657D30"/>
    <w:rsid w:val="00660825"/>
    <w:rsid w:val="00660C8E"/>
    <w:rsid w:val="00662DC4"/>
    <w:rsid w:val="006631B3"/>
    <w:rsid w:val="0066385B"/>
    <w:rsid w:val="00663C42"/>
    <w:rsid w:val="006642C3"/>
    <w:rsid w:val="006645B7"/>
    <w:rsid w:val="00664AC9"/>
    <w:rsid w:val="006655AB"/>
    <w:rsid w:val="00665B53"/>
    <w:rsid w:val="0066685F"/>
    <w:rsid w:val="0066692A"/>
    <w:rsid w:val="00667717"/>
    <w:rsid w:val="00667E90"/>
    <w:rsid w:val="00667FBE"/>
    <w:rsid w:val="00671742"/>
    <w:rsid w:val="006730E5"/>
    <w:rsid w:val="00674049"/>
    <w:rsid w:val="00674CC6"/>
    <w:rsid w:val="00675FC7"/>
    <w:rsid w:val="006762B8"/>
    <w:rsid w:val="00676BD9"/>
    <w:rsid w:val="0067752A"/>
    <w:rsid w:val="006775AE"/>
    <w:rsid w:val="00680F94"/>
    <w:rsid w:val="00681D13"/>
    <w:rsid w:val="00681DC2"/>
    <w:rsid w:val="006826F8"/>
    <w:rsid w:val="006828FC"/>
    <w:rsid w:val="00682D79"/>
    <w:rsid w:val="0068324C"/>
    <w:rsid w:val="006838FC"/>
    <w:rsid w:val="00683A41"/>
    <w:rsid w:val="00683A45"/>
    <w:rsid w:val="00683EF7"/>
    <w:rsid w:val="006841F3"/>
    <w:rsid w:val="00684F8A"/>
    <w:rsid w:val="00686346"/>
    <w:rsid w:val="00686635"/>
    <w:rsid w:val="00686AAE"/>
    <w:rsid w:val="00686B23"/>
    <w:rsid w:val="00687434"/>
    <w:rsid w:val="0068793A"/>
    <w:rsid w:val="0069024B"/>
    <w:rsid w:val="00690A96"/>
    <w:rsid w:val="00690D23"/>
    <w:rsid w:val="00690D64"/>
    <w:rsid w:val="0069114F"/>
    <w:rsid w:val="006923A6"/>
    <w:rsid w:val="006925C6"/>
    <w:rsid w:val="00692930"/>
    <w:rsid w:val="00694525"/>
    <w:rsid w:val="00694A23"/>
    <w:rsid w:val="00694E11"/>
    <w:rsid w:val="006952BC"/>
    <w:rsid w:val="006959F0"/>
    <w:rsid w:val="00695C3B"/>
    <w:rsid w:val="00695D63"/>
    <w:rsid w:val="00695F85"/>
    <w:rsid w:val="00696606"/>
    <w:rsid w:val="006966AA"/>
    <w:rsid w:val="00696CB6"/>
    <w:rsid w:val="00696E5D"/>
    <w:rsid w:val="006976E0"/>
    <w:rsid w:val="00697D68"/>
    <w:rsid w:val="006A0529"/>
    <w:rsid w:val="006A074C"/>
    <w:rsid w:val="006A07EA"/>
    <w:rsid w:val="006A0D3E"/>
    <w:rsid w:val="006A102A"/>
    <w:rsid w:val="006A102E"/>
    <w:rsid w:val="006A10A7"/>
    <w:rsid w:val="006A12A6"/>
    <w:rsid w:val="006A1542"/>
    <w:rsid w:val="006A25AB"/>
    <w:rsid w:val="006A3153"/>
    <w:rsid w:val="006A3441"/>
    <w:rsid w:val="006A3934"/>
    <w:rsid w:val="006A3A7D"/>
    <w:rsid w:val="006A3AA7"/>
    <w:rsid w:val="006A42D3"/>
    <w:rsid w:val="006A4876"/>
    <w:rsid w:val="006A4CC8"/>
    <w:rsid w:val="006A6AB4"/>
    <w:rsid w:val="006A6F51"/>
    <w:rsid w:val="006B03C4"/>
    <w:rsid w:val="006B1111"/>
    <w:rsid w:val="006B1300"/>
    <w:rsid w:val="006B1FB3"/>
    <w:rsid w:val="006B2191"/>
    <w:rsid w:val="006B21A4"/>
    <w:rsid w:val="006B2994"/>
    <w:rsid w:val="006B3323"/>
    <w:rsid w:val="006B33BF"/>
    <w:rsid w:val="006B3900"/>
    <w:rsid w:val="006B3CA7"/>
    <w:rsid w:val="006B3FE0"/>
    <w:rsid w:val="006B40CE"/>
    <w:rsid w:val="006B44E1"/>
    <w:rsid w:val="006B4B31"/>
    <w:rsid w:val="006B4BA6"/>
    <w:rsid w:val="006B4BF1"/>
    <w:rsid w:val="006B4E19"/>
    <w:rsid w:val="006B5603"/>
    <w:rsid w:val="006B5830"/>
    <w:rsid w:val="006B5969"/>
    <w:rsid w:val="006B5ECD"/>
    <w:rsid w:val="006B64AA"/>
    <w:rsid w:val="006B695D"/>
    <w:rsid w:val="006B6A94"/>
    <w:rsid w:val="006B7296"/>
    <w:rsid w:val="006B7A87"/>
    <w:rsid w:val="006C01A3"/>
    <w:rsid w:val="006C05D9"/>
    <w:rsid w:val="006C07D6"/>
    <w:rsid w:val="006C114E"/>
    <w:rsid w:val="006C205B"/>
    <w:rsid w:val="006C2405"/>
    <w:rsid w:val="006C2A6F"/>
    <w:rsid w:val="006C35BF"/>
    <w:rsid w:val="006C3AA5"/>
    <w:rsid w:val="006C3D0E"/>
    <w:rsid w:val="006C4A54"/>
    <w:rsid w:val="006C4F03"/>
    <w:rsid w:val="006C5936"/>
    <w:rsid w:val="006C76D4"/>
    <w:rsid w:val="006C7751"/>
    <w:rsid w:val="006C7AA9"/>
    <w:rsid w:val="006D11BC"/>
    <w:rsid w:val="006D1547"/>
    <w:rsid w:val="006D1734"/>
    <w:rsid w:val="006D1C70"/>
    <w:rsid w:val="006D2FD5"/>
    <w:rsid w:val="006D31E8"/>
    <w:rsid w:val="006D3204"/>
    <w:rsid w:val="006D49F1"/>
    <w:rsid w:val="006D532F"/>
    <w:rsid w:val="006D5C6B"/>
    <w:rsid w:val="006D6E9A"/>
    <w:rsid w:val="006D6F5E"/>
    <w:rsid w:val="006E1703"/>
    <w:rsid w:val="006E1E22"/>
    <w:rsid w:val="006E304E"/>
    <w:rsid w:val="006E3893"/>
    <w:rsid w:val="006E3D10"/>
    <w:rsid w:val="006E4B3B"/>
    <w:rsid w:val="006E5328"/>
    <w:rsid w:val="006E6469"/>
    <w:rsid w:val="006E6523"/>
    <w:rsid w:val="006E6C7A"/>
    <w:rsid w:val="006E7230"/>
    <w:rsid w:val="006E77A0"/>
    <w:rsid w:val="006F005C"/>
    <w:rsid w:val="006F0973"/>
    <w:rsid w:val="006F0AC4"/>
    <w:rsid w:val="006F0BFC"/>
    <w:rsid w:val="006F13DC"/>
    <w:rsid w:val="006F285C"/>
    <w:rsid w:val="006F3D41"/>
    <w:rsid w:val="006F3E96"/>
    <w:rsid w:val="006F4239"/>
    <w:rsid w:val="006F47C0"/>
    <w:rsid w:val="006F4AC9"/>
    <w:rsid w:val="006F4B0A"/>
    <w:rsid w:val="006F4BF4"/>
    <w:rsid w:val="006F4C38"/>
    <w:rsid w:val="006F4DFC"/>
    <w:rsid w:val="006F4ECE"/>
    <w:rsid w:val="006F5325"/>
    <w:rsid w:val="006F5623"/>
    <w:rsid w:val="006F56BE"/>
    <w:rsid w:val="006F655C"/>
    <w:rsid w:val="006F75CE"/>
    <w:rsid w:val="006F771A"/>
    <w:rsid w:val="006F7860"/>
    <w:rsid w:val="00700CC3"/>
    <w:rsid w:val="00700CE5"/>
    <w:rsid w:val="00701498"/>
    <w:rsid w:val="00701AEF"/>
    <w:rsid w:val="00701E62"/>
    <w:rsid w:val="00701FAD"/>
    <w:rsid w:val="00702C7E"/>
    <w:rsid w:val="007035CC"/>
    <w:rsid w:val="00703D67"/>
    <w:rsid w:val="00703E97"/>
    <w:rsid w:val="00703ECF"/>
    <w:rsid w:val="00704807"/>
    <w:rsid w:val="00705821"/>
    <w:rsid w:val="007058E2"/>
    <w:rsid w:val="00705A81"/>
    <w:rsid w:val="007060CD"/>
    <w:rsid w:val="007065E1"/>
    <w:rsid w:val="00707549"/>
    <w:rsid w:val="00707B95"/>
    <w:rsid w:val="00707D08"/>
    <w:rsid w:val="007105B0"/>
    <w:rsid w:val="00711A70"/>
    <w:rsid w:val="00711E34"/>
    <w:rsid w:val="00712398"/>
    <w:rsid w:val="00712F9C"/>
    <w:rsid w:val="00713657"/>
    <w:rsid w:val="00714843"/>
    <w:rsid w:val="00714FE3"/>
    <w:rsid w:val="00715686"/>
    <w:rsid w:val="00715CB7"/>
    <w:rsid w:val="00715DBB"/>
    <w:rsid w:val="0071609B"/>
    <w:rsid w:val="0071616D"/>
    <w:rsid w:val="00716544"/>
    <w:rsid w:val="007168C7"/>
    <w:rsid w:val="00716D53"/>
    <w:rsid w:val="00716F21"/>
    <w:rsid w:val="00717812"/>
    <w:rsid w:val="00717EC2"/>
    <w:rsid w:val="0072083D"/>
    <w:rsid w:val="00720E8D"/>
    <w:rsid w:val="007214F7"/>
    <w:rsid w:val="00721DF2"/>
    <w:rsid w:val="00721F18"/>
    <w:rsid w:val="0072354F"/>
    <w:rsid w:val="00723C05"/>
    <w:rsid w:val="0072417D"/>
    <w:rsid w:val="007242FA"/>
    <w:rsid w:val="00724F0D"/>
    <w:rsid w:val="0072503E"/>
    <w:rsid w:val="00726EB9"/>
    <w:rsid w:val="0072737E"/>
    <w:rsid w:val="0072759C"/>
    <w:rsid w:val="00727769"/>
    <w:rsid w:val="007278AA"/>
    <w:rsid w:val="007279FD"/>
    <w:rsid w:val="00730356"/>
    <w:rsid w:val="00730963"/>
    <w:rsid w:val="00730D4E"/>
    <w:rsid w:val="00731B6C"/>
    <w:rsid w:val="00731F78"/>
    <w:rsid w:val="00733182"/>
    <w:rsid w:val="00733DF3"/>
    <w:rsid w:val="0073424F"/>
    <w:rsid w:val="007345AB"/>
    <w:rsid w:val="007345E1"/>
    <w:rsid w:val="00734EB7"/>
    <w:rsid w:val="00735E6D"/>
    <w:rsid w:val="0073670B"/>
    <w:rsid w:val="00736792"/>
    <w:rsid w:val="007369D6"/>
    <w:rsid w:val="00737EC8"/>
    <w:rsid w:val="0074025D"/>
    <w:rsid w:val="00740EB4"/>
    <w:rsid w:val="00741CE9"/>
    <w:rsid w:val="0074253B"/>
    <w:rsid w:val="00742E50"/>
    <w:rsid w:val="007438A8"/>
    <w:rsid w:val="007441C9"/>
    <w:rsid w:val="0074435B"/>
    <w:rsid w:val="007444C9"/>
    <w:rsid w:val="00745B0D"/>
    <w:rsid w:val="00745DE5"/>
    <w:rsid w:val="00746116"/>
    <w:rsid w:val="0074613C"/>
    <w:rsid w:val="00746DEC"/>
    <w:rsid w:val="00747072"/>
    <w:rsid w:val="007474F3"/>
    <w:rsid w:val="00747511"/>
    <w:rsid w:val="00747A84"/>
    <w:rsid w:val="007501CF"/>
    <w:rsid w:val="0075030A"/>
    <w:rsid w:val="00750AF7"/>
    <w:rsid w:val="00750BFF"/>
    <w:rsid w:val="0075246D"/>
    <w:rsid w:val="00752876"/>
    <w:rsid w:val="00752BAF"/>
    <w:rsid w:val="00753530"/>
    <w:rsid w:val="007537A2"/>
    <w:rsid w:val="00753EB1"/>
    <w:rsid w:val="0075407B"/>
    <w:rsid w:val="0075497F"/>
    <w:rsid w:val="00754DD8"/>
    <w:rsid w:val="00755403"/>
    <w:rsid w:val="00755740"/>
    <w:rsid w:val="00756195"/>
    <w:rsid w:val="00756380"/>
    <w:rsid w:val="007600EA"/>
    <w:rsid w:val="00760272"/>
    <w:rsid w:val="007602E5"/>
    <w:rsid w:val="0076068A"/>
    <w:rsid w:val="00761213"/>
    <w:rsid w:val="007618D3"/>
    <w:rsid w:val="00761B43"/>
    <w:rsid w:val="00762AA6"/>
    <w:rsid w:val="00762CA3"/>
    <w:rsid w:val="00762E09"/>
    <w:rsid w:val="00764382"/>
    <w:rsid w:val="007661F8"/>
    <w:rsid w:val="00767A89"/>
    <w:rsid w:val="00770A32"/>
    <w:rsid w:val="007714F6"/>
    <w:rsid w:val="0077252B"/>
    <w:rsid w:val="00772B55"/>
    <w:rsid w:val="00772BEF"/>
    <w:rsid w:val="00773F55"/>
    <w:rsid w:val="007740D1"/>
    <w:rsid w:val="007743E9"/>
    <w:rsid w:val="00774887"/>
    <w:rsid w:val="00775817"/>
    <w:rsid w:val="00775A51"/>
    <w:rsid w:val="00776249"/>
    <w:rsid w:val="00776DF8"/>
    <w:rsid w:val="00780222"/>
    <w:rsid w:val="0078030F"/>
    <w:rsid w:val="00780421"/>
    <w:rsid w:val="007807BA"/>
    <w:rsid w:val="007808EA"/>
    <w:rsid w:val="00780AA7"/>
    <w:rsid w:val="00780B8F"/>
    <w:rsid w:val="00780D77"/>
    <w:rsid w:val="00780EE9"/>
    <w:rsid w:val="007810F8"/>
    <w:rsid w:val="00781251"/>
    <w:rsid w:val="007817C1"/>
    <w:rsid w:val="007819E8"/>
    <w:rsid w:val="00781F8D"/>
    <w:rsid w:val="00782C02"/>
    <w:rsid w:val="00783AA0"/>
    <w:rsid w:val="00783AD6"/>
    <w:rsid w:val="00783AE3"/>
    <w:rsid w:val="0078428F"/>
    <w:rsid w:val="0078541B"/>
    <w:rsid w:val="00785A60"/>
    <w:rsid w:val="00786AE3"/>
    <w:rsid w:val="00786D78"/>
    <w:rsid w:val="00787199"/>
    <w:rsid w:val="00787767"/>
    <w:rsid w:val="00787D81"/>
    <w:rsid w:val="00790234"/>
    <w:rsid w:val="00790FE4"/>
    <w:rsid w:val="00791C33"/>
    <w:rsid w:val="00792825"/>
    <w:rsid w:val="007930B6"/>
    <w:rsid w:val="00793576"/>
    <w:rsid w:val="00793D8A"/>
    <w:rsid w:val="00794036"/>
    <w:rsid w:val="007940D3"/>
    <w:rsid w:val="007955C2"/>
    <w:rsid w:val="00795DF1"/>
    <w:rsid w:val="007966DC"/>
    <w:rsid w:val="00796A68"/>
    <w:rsid w:val="00796EE9"/>
    <w:rsid w:val="0079704F"/>
    <w:rsid w:val="00797135"/>
    <w:rsid w:val="00797C84"/>
    <w:rsid w:val="00797D70"/>
    <w:rsid w:val="007A031C"/>
    <w:rsid w:val="007A05C8"/>
    <w:rsid w:val="007A07B3"/>
    <w:rsid w:val="007A11E6"/>
    <w:rsid w:val="007A1295"/>
    <w:rsid w:val="007A1A44"/>
    <w:rsid w:val="007A1B1F"/>
    <w:rsid w:val="007A3287"/>
    <w:rsid w:val="007A32DD"/>
    <w:rsid w:val="007A38BF"/>
    <w:rsid w:val="007A3994"/>
    <w:rsid w:val="007A3BD0"/>
    <w:rsid w:val="007A3C6A"/>
    <w:rsid w:val="007A4475"/>
    <w:rsid w:val="007A4639"/>
    <w:rsid w:val="007A6A6A"/>
    <w:rsid w:val="007A7BA7"/>
    <w:rsid w:val="007B078C"/>
    <w:rsid w:val="007B09BE"/>
    <w:rsid w:val="007B1328"/>
    <w:rsid w:val="007B2261"/>
    <w:rsid w:val="007B25FC"/>
    <w:rsid w:val="007B3232"/>
    <w:rsid w:val="007B3ABC"/>
    <w:rsid w:val="007B4409"/>
    <w:rsid w:val="007B4964"/>
    <w:rsid w:val="007B4B17"/>
    <w:rsid w:val="007B4C1F"/>
    <w:rsid w:val="007B5BDE"/>
    <w:rsid w:val="007B713F"/>
    <w:rsid w:val="007B7454"/>
    <w:rsid w:val="007B78FA"/>
    <w:rsid w:val="007C0FA1"/>
    <w:rsid w:val="007C1261"/>
    <w:rsid w:val="007C1884"/>
    <w:rsid w:val="007C1AE3"/>
    <w:rsid w:val="007C2EB0"/>
    <w:rsid w:val="007C3F97"/>
    <w:rsid w:val="007C4B5C"/>
    <w:rsid w:val="007C4B5D"/>
    <w:rsid w:val="007C4C81"/>
    <w:rsid w:val="007C5262"/>
    <w:rsid w:val="007C59DB"/>
    <w:rsid w:val="007C6416"/>
    <w:rsid w:val="007C653A"/>
    <w:rsid w:val="007C71D8"/>
    <w:rsid w:val="007C7EFA"/>
    <w:rsid w:val="007D0E10"/>
    <w:rsid w:val="007D26DE"/>
    <w:rsid w:val="007D2EC1"/>
    <w:rsid w:val="007D3766"/>
    <w:rsid w:val="007D43F1"/>
    <w:rsid w:val="007D458D"/>
    <w:rsid w:val="007D500D"/>
    <w:rsid w:val="007D550B"/>
    <w:rsid w:val="007D56B1"/>
    <w:rsid w:val="007D5CB9"/>
    <w:rsid w:val="007D6B0C"/>
    <w:rsid w:val="007D7F92"/>
    <w:rsid w:val="007E0B48"/>
    <w:rsid w:val="007E0B9E"/>
    <w:rsid w:val="007E0C88"/>
    <w:rsid w:val="007E2128"/>
    <w:rsid w:val="007E36AC"/>
    <w:rsid w:val="007E439F"/>
    <w:rsid w:val="007E446D"/>
    <w:rsid w:val="007E4480"/>
    <w:rsid w:val="007E52FB"/>
    <w:rsid w:val="007E5671"/>
    <w:rsid w:val="007E5735"/>
    <w:rsid w:val="007E57A7"/>
    <w:rsid w:val="007E6184"/>
    <w:rsid w:val="007E7320"/>
    <w:rsid w:val="007E7624"/>
    <w:rsid w:val="007E78AD"/>
    <w:rsid w:val="007E7B66"/>
    <w:rsid w:val="007F0046"/>
    <w:rsid w:val="007F00D8"/>
    <w:rsid w:val="007F01A4"/>
    <w:rsid w:val="007F26C6"/>
    <w:rsid w:val="007F2D6F"/>
    <w:rsid w:val="007F34E8"/>
    <w:rsid w:val="007F3609"/>
    <w:rsid w:val="007F3FF9"/>
    <w:rsid w:val="007F4484"/>
    <w:rsid w:val="007F532F"/>
    <w:rsid w:val="007F55C9"/>
    <w:rsid w:val="007F5916"/>
    <w:rsid w:val="007F658C"/>
    <w:rsid w:val="007F74B0"/>
    <w:rsid w:val="007F7A1F"/>
    <w:rsid w:val="008011D4"/>
    <w:rsid w:val="008011F9"/>
    <w:rsid w:val="00801BC1"/>
    <w:rsid w:val="00801FB9"/>
    <w:rsid w:val="00802578"/>
    <w:rsid w:val="008027D6"/>
    <w:rsid w:val="00802FDD"/>
    <w:rsid w:val="00803DEB"/>
    <w:rsid w:val="00804274"/>
    <w:rsid w:val="00804C52"/>
    <w:rsid w:val="0080514B"/>
    <w:rsid w:val="0080572E"/>
    <w:rsid w:val="008059E5"/>
    <w:rsid w:val="00806968"/>
    <w:rsid w:val="0080696E"/>
    <w:rsid w:val="00806B2A"/>
    <w:rsid w:val="00806C54"/>
    <w:rsid w:val="00807FC4"/>
    <w:rsid w:val="008102C4"/>
    <w:rsid w:val="0081054C"/>
    <w:rsid w:val="00810AC5"/>
    <w:rsid w:val="00812830"/>
    <w:rsid w:val="00812C20"/>
    <w:rsid w:val="00812FAD"/>
    <w:rsid w:val="008138E9"/>
    <w:rsid w:val="008138EB"/>
    <w:rsid w:val="00813E86"/>
    <w:rsid w:val="00814478"/>
    <w:rsid w:val="0081475E"/>
    <w:rsid w:val="00814AE2"/>
    <w:rsid w:val="00815AAB"/>
    <w:rsid w:val="008168B1"/>
    <w:rsid w:val="00816B79"/>
    <w:rsid w:val="00817DF8"/>
    <w:rsid w:val="00820023"/>
    <w:rsid w:val="008201A4"/>
    <w:rsid w:val="008201CA"/>
    <w:rsid w:val="0082126C"/>
    <w:rsid w:val="008218C1"/>
    <w:rsid w:val="008218C3"/>
    <w:rsid w:val="0082192A"/>
    <w:rsid w:val="00821A85"/>
    <w:rsid w:val="00821DF8"/>
    <w:rsid w:val="00822076"/>
    <w:rsid w:val="008220F6"/>
    <w:rsid w:val="008229B8"/>
    <w:rsid w:val="00822C57"/>
    <w:rsid w:val="00823B77"/>
    <w:rsid w:val="008240EF"/>
    <w:rsid w:val="00825039"/>
    <w:rsid w:val="0083016D"/>
    <w:rsid w:val="00830327"/>
    <w:rsid w:val="00830416"/>
    <w:rsid w:val="008313C8"/>
    <w:rsid w:val="0083164D"/>
    <w:rsid w:val="00831D3D"/>
    <w:rsid w:val="00832A97"/>
    <w:rsid w:val="00833654"/>
    <w:rsid w:val="00835371"/>
    <w:rsid w:val="0083579C"/>
    <w:rsid w:val="00835B45"/>
    <w:rsid w:val="00836250"/>
    <w:rsid w:val="00836301"/>
    <w:rsid w:val="00836383"/>
    <w:rsid w:val="00836610"/>
    <w:rsid w:val="00836AA3"/>
    <w:rsid w:val="00837464"/>
    <w:rsid w:val="00840C33"/>
    <w:rsid w:val="00840C56"/>
    <w:rsid w:val="00840E26"/>
    <w:rsid w:val="008434CE"/>
    <w:rsid w:val="00843626"/>
    <w:rsid w:val="008450F4"/>
    <w:rsid w:val="0084528D"/>
    <w:rsid w:val="00845E0B"/>
    <w:rsid w:val="00846662"/>
    <w:rsid w:val="00846E09"/>
    <w:rsid w:val="00847534"/>
    <w:rsid w:val="0084770B"/>
    <w:rsid w:val="00850195"/>
    <w:rsid w:val="008503A3"/>
    <w:rsid w:val="00850C79"/>
    <w:rsid w:val="00851C49"/>
    <w:rsid w:val="00851ED0"/>
    <w:rsid w:val="00852036"/>
    <w:rsid w:val="008522F6"/>
    <w:rsid w:val="0085321B"/>
    <w:rsid w:val="00854E53"/>
    <w:rsid w:val="00855910"/>
    <w:rsid w:val="00855C8A"/>
    <w:rsid w:val="00855DFA"/>
    <w:rsid w:val="00856407"/>
    <w:rsid w:val="00856861"/>
    <w:rsid w:val="00856BF0"/>
    <w:rsid w:val="00856FB2"/>
    <w:rsid w:val="00860236"/>
    <w:rsid w:val="008604A3"/>
    <w:rsid w:val="00860CFA"/>
    <w:rsid w:val="00861C79"/>
    <w:rsid w:val="008621C1"/>
    <w:rsid w:val="008626CA"/>
    <w:rsid w:val="00863E79"/>
    <w:rsid w:val="008644A5"/>
    <w:rsid w:val="00864834"/>
    <w:rsid w:val="0086609A"/>
    <w:rsid w:val="00866AFC"/>
    <w:rsid w:val="00866E21"/>
    <w:rsid w:val="00866EB0"/>
    <w:rsid w:val="00866F38"/>
    <w:rsid w:val="00867089"/>
    <w:rsid w:val="008670AF"/>
    <w:rsid w:val="00867909"/>
    <w:rsid w:val="00867F92"/>
    <w:rsid w:val="0087066B"/>
    <w:rsid w:val="00870758"/>
    <w:rsid w:val="00871AB6"/>
    <w:rsid w:val="00871DE5"/>
    <w:rsid w:val="008723B8"/>
    <w:rsid w:val="00872A49"/>
    <w:rsid w:val="0087313D"/>
    <w:rsid w:val="00873522"/>
    <w:rsid w:val="00873645"/>
    <w:rsid w:val="00874608"/>
    <w:rsid w:val="00874777"/>
    <w:rsid w:val="0087534F"/>
    <w:rsid w:val="00875C40"/>
    <w:rsid w:val="00876AF1"/>
    <w:rsid w:val="008774A4"/>
    <w:rsid w:val="00877DAE"/>
    <w:rsid w:val="008802BE"/>
    <w:rsid w:val="008809F5"/>
    <w:rsid w:val="00880D7C"/>
    <w:rsid w:val="00880DC1"/>
    <w:rsid w:val="008811E2"/>
    <w:rsid w:val="00882D5B"/>
    <w:rsid w:val="0088313F"/>
    <w:rsid w:val="00883571"/>
    <w:rsid w:val="008837E5"/>
    <w:rsid w:val="00884036"/>
    <w:rsid w:val="008847C3"/>
    <w:rsid w:val="00884A80"/>
    <w:rsid w:val="00884AA4"/>
    <w:rsid w:val="00884BDA"/>
    <w:rsid w:val="008858CC"/>
    <w:rsid w:val="008862D4"/>
    <w:rsid w:val="00886AFF"/>
    <w:rsid w:val="00886DFA"/>
    <w:rsid w:val="00886EFC"/>
    <w:rsid w:val="0089029E"/>
    <w:rsid w:val="00890782"/>
    <w:rsid w:val="00890B86"/>
    <w:rsid w:val="00890BD7"/>
    <w:rsid w:val="00892BE6"/>
    <w:rsid w:val="00893440"/>
    <w:rsid w:val="00893807"/>
    <w:rsid w:val="0089425F"/>
    <w:rsid w:val="00894541"/>
    <w:rsid w:val="00894721"/>
    <w:rsid w:val="008950FF"/>
    <w:rsid w:val="00895E11"/>
    <w:rsid w:val="0089653D"/>
    <w:rsid w:val="00897635"/>
    <w:rsid w:val="008A02FF"/>
    <w:rsid w:val="008A0C3D"/>
    <w:rsid w:val="008A0DEA"/>
    <w:rsid w:val="008A12FC"/>
    <w:rsid w:val="008A1EA7"/>
    <w:rsid w:val="008A2B55"/>
    <w:rsid w:val="008A31AF"/>
    <w:rsid w:val="008A38D8"/>
    <w:rsid w:val="008A4A71"/>
    <w:rsid w:val="008A56D1"/>
    <w:rsid w:val="008A5953"/>
    <w:rsid w:val="008A5EC0"/>
    <w:rsid w:val="008A6204"/>
    <w:rsid w:val="008A6540"/>
    <w:rsid w:val="008A677A"/>
    <w:rsid w:val="008A6871"/>
    <w:rsid w:val="008A6F31"/>
    <w:rsid w:val="008A7B33"/>
    <w:rsid w:val="008A7F98"/>
    <w:rsid w:val="008B002F"/>
    <w:rsid w:val="008B041B"/>
    <w:rsid w:val="008B091E"/>
    <w:rsid w:val="008B09AC"/>
    <w:rsid w:val="008B09B3"/>
    <w:rsid w:val="008B18A0"/>
    <w:rsid w:val="008B20ED"/>
    <w:rsid w:val="008B26A3"/>
    <w:rsid w:val="008B3838"/>
    <w:rsid w:val="008B3DDF"/>
    <w:rsid w:val="008B3EF7"/>
    <w:rsid w:val="008B4586"/>
    <w:rsid w:val="008B48D6"/>
    <w:rsid w:val="008B4F2A"/>
    <w:rsid w:val="008B5362"/>
    <w:rsid w:val="008B643E"/>
    <w:rsid w:val="008B660F"/>
    <w:rsid w:val="008B731B"/>
    <w:rsid w:val="008B745C"/>
    <w:rsid w:val="008B7B07"/>
    <w:rsid w:val="008C04C3"/>
    <w:rsid w:val="008C091B"/>
    <w:rsid w:val="008C0B51"/>
    <w:rsid w:val="008C0B7A"/>
    <w:rsid w:val="008C1E03"/>
    <w:rsid w:val="008C204C"/>
    <w:rsid w:val="008C26DB"/>
    <w:rsid w:val="008C30AA"/>
    <w:rsid w:val="008C356F"/>
    <w:rsid w:val="008C417B"/>
    <w:rsid w:val="008C41CA"/>
    <w:rsid w:val="008C6852"/>
    <w:rsid w:val="008C711B"/>
    <w:rsid w:val="008C73B0"/>
    <w:rsid w:val="008C76C8"/>
    <w:rsid w:val="008C79C5"/>
    <w:rsid w:val="008C7C06"/>
    <w:rsid w:val="008D029B"/>
    <w:rsid w:val="008D0B9A"/>
    <w:rsid w:val="008D1479"/>
    <w:rsid w:val="008D1603"/>
    <w:rsid w:val="008D2449"/>
    <w:rsid w:val="008D3031"/>
    <w:rsid w:val="008D3255"/>
    <w:rsid w:val="008D35A3"/>
    <w:rsid w:val="008D3D95"/>
    <w:rsid w:val="008D3FB3"/>
    <w:rsid w:val="008D4717"/>
    <w:rsid w:val="008D4EB0"/>
    <w:rsid w:val="008D51B1"/>
    <w:rsid w:val="008D57E2"/>
    <w:rsid w:val="008D5BF0"/>
    <w:rsid w:val="008D669E"/>
    <w:rsid w:val="008D6B65"/>
    <w:rsid w:val="008D718A"/>
    <w:rsid w:val="008D765A"/>
    <w:rsid w:val="008D76F2"/>
    <w:rsid w:val="008D7B13"/>
    <w:rsid w:val="008E06D0"/>
    <w:rsid w:val="008E1090"/>
    <w:rsid w:val="008E15CB"/>
    <w:rsid w:val="008E2537"/>
    <w:rsid w:val="008E2E0A"/>
    <w:rsid w:val="008E3271"/>
    <w:rsid w:val="008E40CC"/>
    <w:rsid w:val="008E5335"/>
    <w:rsid w:val="008E694F"/>
    <w:rsid w:val="008E6B02"/>
    <w:rsid w:val="008E6E0B"/>
    <w:rsid w:val="008E6FCA"/>
    <w:rsid w:val="008E7259"/>
    <w:rsid w:val="008F099D"/>
    <w:rsid w:val="008F0A7E"/>
    <w:rsid w:val="008F1C28"/>
    <w:rsid w:val="008F3985"/>
    <w:rsid w:val="008F3D76"/>
    <w:rsid w:val="008F47F4"/>
    <w:rsid w:val="008F5335"/>
    <w:rsid w:val="008F66F4"/>
    <w:rsid w:val="008F67C3"/>
    <w:rsid w:val="008F6899"/>
    <w:rsid w:val="008F6B2C"/>
    <w:rsid w:val="008F72FF"/>
    <w:rsid w:val="008F7C7B"/>
    <w:rsid w:val="00900584"/>
    <w:rsid w:val="00900B72"/>
    <w:rsid w:val="00900BC2"/>
    <w:rsid w:val="0090197F"/>
    <w:rsid w:val="00901DF2"/>
    <w:rsid w:val="00902133"/>
    <w:rsid w:val="009021DE"/>
    <w:rsid w:val="0090226B"/>
    <w:rsid w:val="00902358"/>
    <w:rsid w:val="0090314D"/>
    <w:rsid w:val="00903363"/>
    <w:rsid w:val="00903C63"/>
    <w:rsid w:val="00903F98"/>
    <w:rsid w:val="00904097"/>
    <w:rsid w:val="00904E26"/>
    <w:rsid w:val="00904FE1"/>
    <w:rsid w:val="0090515B"/>
    <w:rsid w:val="0090552B"/>
    <w:rsid w:val="00905D7D"/>
    <w:rsid w:val="00906092"/>
    <w:rsid w:val="009064BD"/>
    <w:rsid w:val="00906F5F"/>
    <w:rsid w:val="009077AB"/>
    <w:rsid w:val="00910213"/>
    <w:rsid w:val="00910D1C"/>
    <w:rsid w:val="009116ED"/>
    <w:rsid w:val="009118C5"/>
    <w:rsid w:val="00911978"/>
    <w:rsid w:val="009122B6"/>
    <w:rsid w:val="0091230C"/>
    <w:rsid w:val="00912A9A"/>
    <w:rsid w:val="00912D56"/>
    <w:rsid w:val="009130C4"/>
    <w:rsid w:val="00913CB9"/>
    <w:rsid w:val="00914213"/>
    <w:rsid w:val="00914381"/>
    <w:rsid w:val="0091507E"/>
    <w:rsid w:val="009151BE"/>
    <w:rsid w:val="00915249"/>
    <w:rsid w:val="00915441"/>
    <w:rsid w:val="0091567F"/>
    <w:rsid w:val="00915B68"/>
    <w:rsid w:val="00915B81"/>
    <w:rsid w:val="00915D95"/>
    <w:rsid w:val="009160D5"/>
    <w:rsid w:val="0091655E"/>
    <w:rsid w:val="00916571"/>
    <w:rsid w:val="0091741B"/>
    <w:rsid w:val="00917718"/>
    <w:rsid w:val="009179E0"/>
    <w:rsid w:val="00917E47"/>
    <w:rsid w:val="00920314"/>
    <w:rsid w:val="00920F79"/>
    <w:rsid w:val="00921373"/>
    <w:rsid w:val="009225D9"/>
    <w:rsid w:val="009227F3"/>
    <w:rsid w:val="00922C70"/>
    <w:rsid w:val="0092301E"/>
    <w:rsid w:val="00923A0A"/>
    <w:rsid w:val="00923B9D"/>
    <w:rsid w:val="00923BCA"/>
    <w:rsid w:val="00923C8B"/>
    <w:rsid w:val="00923F5E"/>
    <w:rsid w:val="00924299"/>
    <w:rsid w:val="00924674"/>
    <w:rsid w:val="00924B04"/>
    <w:rsid w:val="0092500B"/>
    <w:rsid w:val="0092514B"/>
    <w:rsid w:val="009257C6"/>
    <w:rsid w:val="00925A33"/>
    <w:rsid w:val="009272D8"/>
    <w:rsid w:val="00927331"/>
    <w:rsid w:val="00927AC9"/>
    <w:rsid w:val="00930179"/>
    <w:rsid w:val="0093054C"/>
    <w:rsid w:val="00931058"/>
    <w:rsid w:val="0093181E"/>
    <w:rsid w:val="009319B8"/>
    <w:rsid w:val="00932C6B"/>
    <w:rsid w:val="00932FA6"/>
    <w:rsid w:val="009344A9"/>
    <w:rsid w:val="00934652"/>
    <w:rsid w:val="00934F53"/>
    <w:rsid w:val="00935AF8"/>
    <w:rsid w:val="00936005"/>
    <w:rsid w:val="00936C8A"/>
    <w:rsid w:val="00936EF5"/>
    <w:rsid w:val="00937022"/>
    <w:rsid w:val="00937807"/>
    <w:rsid w:val="00940182"/>
    <w:rsid w:val="00940C87"/>
    <w:rsid w:val="009414F4"/>
    <w:rsid w:val="0094185D"/>
    <w:rsid w:val="00941955"/>
    <w:rsid w:val="00941EED"/>
    <w:rsid w:val="009421FB"/>
    <w:rsid w:val="00942448"/>
    <w:rsid w:val="009430A5"/>
    <w:rsid w:val="00943DB7"/>
    <w:rsid w:val="0094428E"/>
    <w:rsid w:val="00944C24"/>
    <w:rsid w:val="009451F4"/>
    <w:rsid w:val="0094536A"/>
    <w:rsid w:val="009453D7"/>
    <w:rsid w:val="009463EA"/>
    <w:rsid w:val="009469F7"/>
    <w:rsid w:val="00946B83"/>
    <w:rsid w:val="00947E9B"/>
    <w:rsid w:val="00950356"/>
    <w:rsid w:val="00950E4A"/>
    <w:rsid w:val="00951117"/>
    <w:rsid w:val="00951919"/>
    <w:rsid w:val="00951F97"/>
    <w:rsid w:val="0095230C"/>
    <w:rsid w:val="0095291D"/>
    <w:rsid w:val="0095297F"/>
    <w:rsid w:val="00952D5B"/>
    <w:rsid w:val="00952DF1"/>
    <w:rsid w:val="00953123"/>
    <w:rsid w:val="00953156"/>
    <w:rsid w:val="00953DC4"/>
    <w:rsid w:val="00953EC7"/>
    <w:rsid w:val="00954855"/>
    <w:rsid w:val="00954BA9"/>
    <w:rsid w:val="0095508A"/>
    <w:rsid w:val="0095535D"/>
    <w:rsid w:val="0095558E"/>
    <w:rsid w:val="009558EC"/>
    <w:rsid w:val="00955BF3"/>
    <w:rsid w:val="009569AC"/>
    <w:rsid w:val="00957691"/>
    <w:rsid w:val="00957770"/>
    <w:rsid w:val="0096000A"/>
    <w:rsid w:val="00960071"/>
    <w:rsid w:val="00960940"/>
    <w:rsid w:val="009609AC"/>
    <w:rsid w:val="009615E4"/>
    <w:rsid w:val="009616A1"/>
    <w:rsid w:val="00962086"/>
    <w:rsid w:val="009626B6"/>
    <w:rsid w:val="009630C6"/>
    <w:rsid w:val="00963665"/>
    <w:rsid w:val="00963AE3"/>
    <w:rsid w:val="00963CD2"/>
    <w:rsid w:val="009647ED"/>
    <w:rsid w:val="00964C52"/>
    <w:rsid w:val="0096653D"/>
    <w:rsid w:val="00966798"/>
    <w:rsid w:val="009671FD"/>
    <w:rsid w:val="00967501"/>
    <w:rsid w:val="00970037"/>
    <w:rsid w:val="0097028D"/>
    <w:rsid w:val="00970698"/>
    <w:rsid w:val="00970AE2"/>
    <w:rsid w:val="00970B6D"/>
    <w:rsid w:val="00972257"/>
    <w:rsid w:val="00972949"/>
    <w:rsid w:val="0097295C"/>
    <w:rsid w:val="009734CE"/>
    <w:rsid w:val="00973C53"/>
    <w:rsid w:val="009743CE"/>
    <w:rsid w:val="0097513B"/>
    <w:rsid w:val="009751FD"/>
    <w:rsid w:val="00975966"/>
    <w:rsid w:val="009759E0"/>
    <w:rsid w:val="00975A80"/>
    <w:rsid w:val="00975FAD"/>
    <w:rsid w:val="009761BB"/>
    <w:rsid w:val="009762F8"/>
    <w:rsid w:val="00977104"/>
    <w:rsid w:val="009776B9"/>
    <w:rsid w:val="00980CCC"/>
    <w:rsid w:val="009813AA"/>
    <w:rsid w:val="00981C49"/>
    <w:rsid w:val="0098274C"/>
    <w:rsid w:val="009829EA"/>
    <w:rsid w:val="00982A08"/>
    <w:rsid w:val="0098305F"/>
    <w:rsid w:val="00984C32"/>
    <w:rsid w:val="009857D7"/>
    <w:rsid w:val="009859C6"/>
    <w:rsid w:val="00985AF3"/>
    <w:rsid w:val="00985D07"/>
    <w:rsid w:val="009868AF"/>
    <w:rsid w:val="0099005E"/>
    <w:rsid w:val="009902A9"/>
    <w:rsid w:val="009908FC"/>
    <w:rsid w:val="00990A2D"/>
    <w:rsid w:val="00990EC6"/>
    <w:rsid w:val="00991118"/>
    <w:rsid w:val="00991620"/>
    <w:rsid w:val="009916F1"/>
    <w:rsid w:val="00992026"/>
    <w:rsid w:val="00993CA5"/>
    <w:rsid w:val="00994D7B"/>
    <w:rsid w:val="00995045"/>
    <w:rsid w:val="00996344"/>
    <w:rsid w:val="009974B6"/>
    <w:rsid w:val="009A00B5"/>
    <w:rsid w:val="009A0992"/>
    <w:rsid w:val="009A0A46"/>
    <w:rsid w:val="009A0FD1"/>
    <w:rsid w:val="009A1333"/>
    <w:rsid w:val="009A18B9"/>
    <w:rsid w:val="009A1AFF"/>
    <w:rsid w:val="009A1F28"/>
    <w:rsid w:val="009A252C"/>
    <w:rsid w:val="009A30F1"/>
    <w:rsid w:val="009A31CD"/>
    <w:rsid w:val="009A3BAE"/>
    <w:rsid w:val="009A40E7"/>
    <w:rsid w:val="009A4160"/>
    <w:rsid w:val="009A470B"/>
    <w:rsid w:val="009A4751"/>
    <w:rsid w:val="009A4B07"/>
    <w:rsid w:val="009A54E0"/>
    <w:rsid w:val="009A68E3"/>
    <w:rsid w:val="009A7064"/>
    <w:rsid w:val="009A7B7C"/>
    <w:rsid w:val="009A7FC6"/>
    <w:rsid w:val="009B0473"/>
    <w:rsid w:val="009B065D"/>
    <w:rsid w:val="009B07C7"/>
    <w:rsid w:val="009B0D59"/>
    <w:rsid w:val="009B0E8B"/>
    <w:rsid w:val="009B1B58"/>
    <w:rsid w:val="009B20FE"/>
    <w:rsid w:val="009B28A1"/>
    <w:rsid w:val="009B28A4"/>
    <w:rsid w:val="009B37B9"/>
    <w:rsid w:val="009B3854"/>
    <w:rsid w:val="009B38F1"/>
    <w:rsid w:val="009B4737"/>
    <w:rsid w:val="009B495F"/>
    <w:rsid w:val="009B5B5A"/>
    <w:rsid w:val="009B637A"/>
    <w:rsid w:val="009B64E8"/>
    <w:rsid w:val="009B6968"/>
    <w:rsid w:val="009B6C7C"/>
    <w:rsid w:val="009B74D1"/>
    <w:rsid w:val="009B78E8"/>
    <w:rsid w:val="009C00F4"/>
    <w:rsid w:val="009C0120"/>
    <w:rsid w:val="009C0198"/>
    <w:rsid w:val="009C135B"/>
    <w:rsid w:val="009C16AE"/>
    <w:rsid w:val="009C2181"/>
    <w:rsid w:val="009C2C4D"/>
    <w:rsid w:val="009C2E62"/>
    <w:rsid w:val="009C323E"/>
    <w:rsid w:val="009C369C"/>
    <w:rsid w:val="009C37B9"/>
    <w:rsid w:val="009C432B"/>
    <w:rsid w:val="009C44D2"/>
    <w:rsid w:val="009C6171"/>
    <w:rsid w:val="009C6D53"/>
    <w:rsid w:val="009C7130"/>
    <w:rsid w:val="009C72B8"/>
    <w:rsid w:val="009C7D54"/>
    <w:rsid w:val="009D04A2"/>
    <w:rsid w:val="009D0B21"/>
    <w:rsid w:val="009D10DF"/>
    <w:rsid w:val="009D2917"/>
    <w:rsid w:val="009D2C92"/>
    <w:rsid w:val="009D2E1C"/>
    <w:rsid w:val="009D2EF6"/>
    <w:rsid w:val="009D37A9"/>
    <w:rsid w:val="009D478A"/>
    <w:rsid w:val="009D4EEA"/>
    <w:rsid w:val="009D5BEE"/>
    <w:rsid w:val="009D683D"/>
    <w:rsid w:val="009D755E"/>
    <w:rsid w:val="009D7ACF"/>
    <w:rsid w:val="009D7F68"/>
    <w:rsid w:val="009E0654"/>
    <w:rsid w:val="009E0868"/>
    <w:rsid w:val="009E1398"/>
    <w:rsid w:val="009E20FF"/>
    <w:rsid w:val="009E2114"/>
    <w:rsid w:val="009E2678"/>
    <w:rsid w:val="009E3207"/>
    <w:rsid w:val="009E3B82"/>
    <w:rsid w:val="009E3CC5"/>
    <w:rsid w:val="009E3D9C"/>
    <w:rsid w:val="009E4783"/>
    <w:rsid w:val="009E4DCB"/>
    <w:rsid w:val="009E51FD"/>
    <w:rsid w:val="009E51FE"/>
    <w:rsid w:val="009E5234"/>
    <w:rsid w:val="009E5B48"/>
    <w:rsid w:val="009E623F"/>
    <w:rsid w:val="009E6860"/>
    <w:rsid w:val="009E6ABC"/>
    <w:rsid w:val="009E7224"/>
    <w:rsid w:val="009E74B4"/>
    <w:rsid w:val="009F00B2"/>
    <w:rsid w:val="009F03BF"/>
    <w:rsid w:val="009F04CC"/>
    <w:rsid w:val="009F0FCF"/>
    <w:rsid w:val="009F14B5"/>
    <w:rsid w:val="009F16D9"/>
    <w:rsid w:val="009F241E"/>
    <w:rsid w:val="009F3210"/>
    <w:rsid w:val="009F32FA"/>
    <w:rsid w:val="009F3F68"/>
    <w:rsid w:val="009F4171"/>
    <w:rsid w:val="009F4AF9"/>
    <w:rsid w:val="009F5C85"/>
    <w:rsid w:val="009F5FA7"/>
    <w:rsid w:val="009F63F2"/>
    <w:rsid w:val="009F69B5"/>
    <w:rsid w:val="009F79E4"/>
    <w:rsid w:val="009F7D2A"/>
    <w:rsid w:val="009F7DD0"/>
    <w:rsid w:val="00A0040B"/>
    <w:rsid w:val="00A00E77"/>
    <w:rsid w:val="00A015C2"/>
    <w:rsid w:val="00A016B5"/>
    <w:rsid w:val="00A0195C"/>
    <w:rsid w:val="00A01F50"/>
    <w:rsid w:val="00A02243"/>
    <w:rsid w:val="00A0237A"/>
    <w:rsid w:val="00A02403"/>
    <w:rsid w:val="00A031A6"/>
    <w:rsid w:val="00A0362A"/>
    <w:rsid w:val="00A040FD"/>
    <w:rsid w:val="00A04939"/>
    <w:rsid w:val="00A0561F"/>
    <w:rsid w:val="00A05C66"/>
    <w:rsid w:val="00A06BE4"/>
    <w:rsid w:val="00A07CE4"/>
    <w:rsid w:val="00A104DC"/>
    <w:rsid w:val="00A12519"/>
    <w:rsid w:val="00A13495"/>
    <w:rsid w:val="00A13D61"/>
    <w:rsid w:val="00A14212"/>
    <w:rsid w:val="00A14D2C"/>
    <w:rsid w:val="00A15236"/>
    <w:rsid w:val="00A1527C"/>
    <w:rsid w:val="00A156BD"/>
    <w:rsid w:val="00A16111"/>
    <w:rsid w:val="00A16673"/>
    <w:rsid w:val="00A16948"/>
    <w:rsid w:val="00A16DA3"/>
    <w:rsid w:val="00A17397"/>
    <w:rsid w:val="00A17530"/>
    <w:rsid w:val="00A1783C"/>
    <w:rsid w:val="00A17CC3"/>
    <w:rsid w:val="00A17E65"/>
    <w:rsid w:val="00A20ED1"/>
    <w:rsid w:val="00A2101D"/>
    <w:rsid w:val="00A2119B"/>
    <w:rsid w:val="00A21276"/>
    <w:rsid w:val="00A21943"/>
    <w:rsid w:val="00A21D41"/>
    <w:rsid w:val="00A22734"/>
    <w:rsid w:val="00A22AC0"/>
    <w:rsid w:val="00A23040"/>
    <w:rsid w:val="00A239E5"/>
    <w:rsid w:val="00A241C8"/>
    <w:rsid w:val="00A24879"/>
    <w:rsid w:val="00A24A32"/>
    <w:rsid w:val="00A258FB"/>
    <w:rsid w:val="00A25B53"/>
    <w:rsid w:val="00A262CE"/>
    <w:rsid w:val="00A267BF"/>
    <w:rsid w:val="00A26BA9"/>
    <w:rsid w:val="00A2768B"/>
    <w:rsid w:val="00A27A78"/>
    <w:rsid w:val="00A27F12"/>
    <w:rsid w:val="00A30897"/>
    <w:rsid w:val="00A310D0"/>
    <w:rsid w:val="00A3146D"/>
    <w:rsid w:val="00A32B45"/>
    <w:rsid w:val="00A32EF6"/>
    <w:rsid w:val="00A3367C"/>
    <w:rsid w:val="00A33913"/>
    <w:rsid w:val="00A33FC2"/>
    <w:rsid w:val="00A350DC"/>
    <w:rsid w:val="00A358E4"/>
    <w:rsid w:val="00A35D18"/>
    <w:rsid w:val="00A3613B"/>
    <w:rsid w:val="00A36DBA"/>
    <w:rsid w:val="00A404E4"/>
    <w:rsid w:val="00A406A1"/>
    <w:rsid w:val="00A40F80"/>
    <w:rsid w:val="00A421A3"/>
    <w:rsid w:val="00A42F2E"/>
    <w:rsid w:val="00A43484"/>
    <w:rsid w:val="00A445C4"/>
    <w:rsid w:val="00A44B70"/>
    <w:rsid w:val="00A44CBE"/>
    <w:rsid w:val="00A450C9"/>
    <w:rsid w:val="00A451CB"/>
    <w:rsid w:val="00A45441"/>
    <w:rsid w:val="00A45444"/>
    <w:rsid w:val="00A4578B"/>
    <w:rsid w:val="00A461A6"/>
    <w:rsid w:val="00A46715"/>
    <w:rsid w:val="00A46A95"/>
    <w:rsid w:val="00A47CA9"/>
    <w:rsid w:val="00A503CA"/>
    <w:rsid w:val="00A5041F"/>
    <w:rsid w:val="00A50FC1"/>
    <w:rsid w:val="00A51D5C"/>
    <w:rsid w:val="00A5278B"/>
    <w:rsid w:val="00A52C5C"/>
    <w:rsid w:val="00A52DE4"/>
    <w:rsid w:val="00A52FB0"/>
    <w:rsid w:val="00A5322F"/>
    <w:rsid w:val="00A53A5A"/>
    <w:rsid w:val="00A54484"/>
    <w:rsid w:val="00A545FD"/>
    <w:rsid w:val="00A54CB3"/>
    <w:rsid w:val="00A54E61"/>
    <w:rsid w:val="00A55C65"/>
    <w:rsid w:val="00A55C9F"/>
    <w:rsid w:val="00A565C5"/>
    <w:rsid w:val="00A57EB0"/>
    <w:rsid w:val="00A57FDA"/>
    <w:rsid w:val="00A6025B"/>
    <w:rsid w:val="00A60CCD"/>
    <w:rsid w:val="00A60F8E"/>
    <w:rsid w:val="00A61509"/>
    <w:rsid w:val="00A6182F"/>
    <w:rsid w:val="00A619E6"/>
    <w:rsid w:val="00A61A53"/>
    <w:rsid w:val="00A61DD1"/>
    <w:rsid w:val="00A61FC7"/>
    <w:rsid w:val="00A6233D"/>
    <w:rsid w:val="00A62599"/>
    <w:rsid w:val="00A62B80"/>
    <w:rsid w:val="00A63065"/>
    <w:rsid w:val="00A630D4"/>
    <w:rsid w:val="00A63A6A"/>
    <w:rsid w:val="00A63BB6"/>
    <w:rsid w:val="00A6423C"/>
    <w:rsid w:val="00A64FE5"/>
    <w:rsid w:val="00A65E6D"/>
    <w:rsid w:val="00A66103"/>
    <w:rsid w:val="00A667CF"/>
    <w:rsid w:val="00A66C82"/>
    <w:rsid w:val="00A67120"/>
    <w:rsid w:val="00A67B19"/>
    <w:rsid w:val="00A70C49"/>
    <w:rsid w:val="00A71D97"/>
    <w:rsid w:val="00A71F8C"/>
    <w:rsid w:val="00A722B2"/>
    <w:rsid w:val="00A72B55"/>
    <w:rsid w:val="00A72BC6"/>
    <w:rsid w:val="00A72FE7"/>
    <w:rsid w:val="00A73337"/>
    <w:rsid w:val="00A733AB"/>
    <w:rsid w:val="00A73412"/>
    <w:rsid w:val="00A745A0"/>
    <w:rsid w:val="00A75029"/>
    <w:rsid w:val="00A75948"/>
    <w:rsid w:val="00A7601B"/>
    <w:rsid w:val="00A77081"/>
    <w:rsid w:val="00A770F3"/>
    <w:rsid w:val="00A77ACB"/>
    <w:rsid w:val="00A77F68"/>
    <w:rsid w:val="00A81683"/>
    <w:rsid w:val="00A817D4"/>
    <w:rsid w:val="00A81D21"/>
    <w:rsid w:val="00A81F4C"/>
    <w:rsid w:val="00A825A9"/>
    <w:rsid w:val="00A82F0D"/>
    <w:rsid w:val="00A83064"/>
    <w:rsid w:val="00A834F9"/>
    <w:rsid w:val="00A83653"/>
    <w:rsid w:val="00A838A8"/>
    <w:rsid w:val="00A83AFE"/>
    <w:rsid w:val="00A84359"/>
    <w:rsid w:val="00A84E13"/>
    <w:rsid w:val="00A850F5"/>
    <w:rsid w:val="00A851FD"/>
    <w:rsid w:val="00A8677F"/>
    <w:rsid w:val="00A86E03"/>
    <w:rsid w:val="00A872A2"/>
    <w:rsid w:val="00A90EE3"/>
    <w:rsid w:val="00A9172E"/>
    <w:rsid w:val="00A92437"/>
    <w:rsid w:val="00A92B99"/>
    <w:rsid w:val="00A94119"/>
    <w:rsid w:val="00A962D8"/>
    <w:rsid w:val="00A968BD"/>
    <w:rsid w:val="00A974EB"/>
    <w:rsid w:val="00A97FA9"/>
    <w:rsid w:val="00A97FC9"/>
    <w:rsid w:val="00AA0656"/>
    <w:rsid w:val="00AA10BC"/>
    <w:rsid w:val="00AA16A9"/>
    <w:rsid w:val="00AA1F26"/>
    <w:rsid w:val="00AA20AC"/>
    <w:rsid w:val="00AA2894"/>
    <w:rsid w:val="00AA3060"/>
    <w:rsid w:val="00AA32BC"/>
    <w:rsid w:val="00AA32FE"/>
    <w:rsid w:val="00AA3C0D"/>
    <w:rsid w:val="00AA44A4"/>
    <w:rsid w:val="00AA47AF"/>
    <w:rsid w:val="00AA5DFA"/>
    <w:rsid w:val="00AA69C6"/>
    <w:rsid w:val="00AA6B6C"/>
    <w:rsid w:val="00AA6C4D"/>
    <w:rsid w:val="00AA78BF"/>
    <w:rsid w:val="00AA7961"/>
    <w:rsid w:val="00AA7A3F"/>
    <w:rsid w:val="00AB0001"/>
    <w:rsid w:val="00AB0202"/>
    <w:rsid w:val="00AB1D02"/>
    <w:rsid w:val="00AB2BF4"/>
    <w:rsid w:val="00AB3923"/>
    <w:rsid w:val="00AB3EE5"/>
    <w:rsid w:val="00AB419E"/>
    <w:rsid w:val="00AB449A"/>
    <w:rsid w:val="00AB4AF3"/>
    <w:rsid w:val="00AB5646"/>
    <w:rsid w:val="00AB58A1"/>
    <w:rsid w:val="00AB5C43"/>
    <w:rsid w:val="00AB5D53"/>
    <w:rsid w:val="00AB5E3F"/>
    <w:rsid w:val="00AB605D"/>
    <w:rsid w:val="00AB61FA"/>
    <w:rsid w:val="00AB75C3"/>
    <w:rsid w:val="00AC02A1"/>
    <w:rsid w:val="00AC1399"/>
    <w:rsid w:val="00AC1885"/>
    <w:rsid w:val="00AC18A2"/>
    <w:rsid w:val="00AC1FEF"/>
    <w:rsid w:val="00AC31B2"/>
    <w:rsid w:val="00AC36F4"/>
    <w:rsid w:val="00AC4542"/>
    <w:rsid w:val="00AC4EA0"/>
    <w:rsid w:val="00AC561C"/>
    <w:rsid w:val="00AC5CAA"/>
    <w:rsid w:val="00AC6E4B"/>
    <w:rsid w:val="00AC6F2E"/>
    <w:rsid w:val="00AC705C"/>
    <w:rsid w:val="00AC713C"/>
    <w:rsid w:val="00AC74F1"/>
    <w:rsid w:val="00AC7680"/>
    <w:rsid w:val="00AC7DF1"/>
    <w:rsid w:val="00AD0435"/>
    <w:rsid w:val="00AD0CA2"/>
    <w:rsid w:val="00AD1088"/>
    <w:rsid w:val="00AD1669"/>
    <w:rsid w:val="00AD19D1"/>
    <w:rsid w:val="00AD1E7B"/>
    <w:rsid w:val="00AD22E1"/>
    <w:rsid w:val="00AD3CE5"/>
    <w:rsid w:val="00AD3D7D"/>
    <w:rsid w:val="00AD417F"/>
    <w:rsid w:val="00AD4404"/>
    <w:rsid w:val="00AD4A70"/>
    <w:rsid w:val="00AD5B73"/>
    <w:rsid w:val="00AD5E5C"/>
    <w:rsid w:val="00AD6A12"/>
    <w:rsid w:val="00AD7296"/>
    <w:rsid w:val="00AE07E4"/>
    <w:rsid w:val="00AE1233"/>
    <w:rsid w:val="00AE20EA"/>
    <w:rsid w:val="00AE2452"/>
    <w:rsid w:val="00AE2523"/>
    <w:rsid w:val="00AE27ED"/>
    <w:rsid w:val="00AE3889"/>
    <w:rsid w:val="00AE3A3A"/>
    <w:rsid w:val="00AE3C3C"/>
    <w:rsid w:val="00AE4263"/>
    <w:rsid w:val="00AE4614"/>
    <w:rsid w:val="00AE5BE5"/>
    <w:rsid w:val="00AE63E9"/>
    <w:rsid w:val="00AE6F99"/>
    <w:rsid w:val="00AE7DCA"/>
    <w:rsid w:val="00AE7F48"/>
    <w:rsid w:val="00AF05A8"/>
    <w:rsid w:val="00AF1E3E"/>
    <w:rsid w:val="00AF2273"/>
    <w:rsid w:val="00AF3046"/>
    <w:rsid w:val="00AF31DE"/>
    <w:rsid w:val="00AF37D0"/>
    <w:rsid w:val="00AF39FD"/>
    <w:rsid w:val="00AF5030"/>
    <w:rsid w:val="00AF57A3"/>
    <w:rsid w:val="00AF5DF0"/>
    <w:rsid w:val="00AF5E97"/>
    <w:rsid w:val="00AF6095"/>
    <w:rsid w:val="00AF643C"/>
    <w:rsid w:val="00AF6E51"/>
    <w:rsid w:val="00AF7383"/>
    <w:rsid w:val="00AF7425"/>
    <w:rsid w:val="00AF7FDC"/>
    <w:rsid w:val="00B009DB"/>
    <w:rsid w:val="00B01F91"/>
    <w:rsid w:val="00B01FDC"/>
    <w:rsid w:val="00B03C34"/>
    <w:rsid w:val="00B0527A"/>
    <w:rsid w:val="00B06156"/>
    <w:rsid w:val="00B068C1"/>
    <w:rsid w:val="00B071E8"/>
    <w:rsid w:val="00B1047D"/>
    <w:rsid w:val="00B10487"/>
    <w:rsid w:val="00B10FC4"/>
    <w:rsid w:val="00B1101F"/>
    <w:rsid w:val="00B12903"/>
    <w:rsid w:val="00B12F4A"/>
    <w:rsid w:val="00B14298"/>
    <w:rsid w:val="00B144D0"/>
    <w:rsid w:val="00B15091"/>
    <w:rsid w:val="00B15D39"/>
    <w:rsid w:val="00B15D69"/>
    <w:rsid w:val="00B162EE"/>
    <w:rsid w:val="00B164FB"/>
    <w:rsid w:val="00B16BFD"/>
    <w:rsid w:val="00B1751E"/>
    <w:rsid w:val="00B17B46"/>
    <w:rsid w:val="00B216F9"/>
    <w:rsid w:val="00B21972"/>
    <w:rsid w:val="00B21F56"/>
    <w:rsid w:val="00B22614"/>
    <w:rsid w:val="00B228F1"/>
    <w:rsid w:val="00B22905"/>
    <w:rsid w:val="00B237C8"/>
    <w:rsid w:val="00B23D5C"/>
    <w:rsid w:val="00B23D97"/>
    <w:rsid w:val="00B24104"/>
    <w:rsid w:val="00B24DB6"/>
    <w:rsid w:val="00B253E9"/>
    <w:rsid w:val="00B26DAA"/>
    <w:rsid w:val="00B26E34"/>
    <w:rsid w:val="00B27F9F"/>
    <w:rsid w:val="00B306ED"/>
    <w:rsid w:val="00B30736"/>
    <w:rsid w:val="00B30A25"/>
    <w:rsid w:val="00B31429"/>
    <w:rsid w:val="00B32493"/>
    <w:rsid w:val="00B32A56"/>
    <w:rsid w:val="00B3306E"/>
    <w:rsid w:val="00B3326F"/>
    <w:rsid w:val="00B3445D"/>
    <w:rsid w:val="00B3482C"/>
    <w:rsid w:val="00B34914"/>
    <w:rsid w:val="00B34B9D"/>
    <w:rsid w:val="00B34BC0"/>
    <w:rsid w:val="00B34D25"/>
    <w:rsid w:val="00B357A0"/>
    <w:rsid w:val="00B360F0"/>
    <w:rsid w:val="00B36672"/>
    <w:rsid w:val="00B36AA7"/>
    <w:rsid w:val="00B405FA"/>
    <w:rsid w:val="00B423C9"/>
    <w:rsid w:val="00B4253B"/>
    <w:rsid w:val="00B42622"/>
    <w:rsid w:val="00B428E0"/>
    <w:rsid w:val="00B429D9"/>
    <w:rsid w:val="00B42C35"/>
    <w:rsid w:val="00B435D4"/>
    <w:rsid w:val="00B4385A"/>
    <w:rsid w:val="00B44261"/>
    <w:rsid w:val="00B45352"/>
    <w:rsid w:val="00B45779"/>
    <w:rsid w:val="00B4577C"/>
    <w:rsid w:val="00B45D0C"/>
    <w:rsid w:val="00B45FBC"/>
    <w:rsid w:val="00B46BB3"/>
    <w:rsid w:val="00B46DAA"/>
    <w:rsid w:val="00B46E10"/>
    <w:rsid w:val="00B46FC3"/>
    <w:rsid w:val="00B475CF"/>
    <w:rsid w:val="00B47A17"/>
    <w:rsid w:val="00B47F38"/>
    <w:rsid w:val="00B5016E"/>
    <w:rsid w:val="00B517E2"/>
    <w:rsid w:val="00B51809"/>
    <w:rsid w:val="00B518A6"/>
    <w:rsid w:val="00B51EDA"/>
    <w:rsid w:val="00B52816"/>
    <w:rsid w:val="00B528B7"/>
    <w:rsid w:val="00B5304F"/>
    <w:rsid w:val="00B53F03"/>
    <w:rsid w:val="00B54626"/>
    <w:rsid w:val="00B54774"/>
    <w:rsid w:val="00B55012"/>
    <w:rsid w:val="00B55D0E"/>
    <w:rsid w:val="00B57D78"/>
    <w:rsid w:val="00B57FB1"/>
    <w:rsid w:val="00B61A0C"/>
    <w:rsid w:val="00B61C6D"/>
    <w:rsid w:val="00B62DF5"/>
    <w:rsid w:val="00B63240"/>
    <w:rsid w:val="00B63371"/>
    <w:rsid w:val="00B63873"/>
    <w:rsid w:val="00B64244"/>
    <w:rsid w:val="00B6553A"/>
    <w:rsid w:val="00B6567B"/>
    <w:rsid w:val="00B65BB6"/>
    <w:rsid w:val="00B6659F"/>
    <w:rsid w:val="00B66FD0"/>
    <w:rsid w:val="00B670E9"/>
    <w:rsid w:val="00B674C1"/>
    <w:rsid w:val="00B70028"/>
    <w:rsid w:val="00B71A09"/>
    <w:rsid w:val="00B71D55"/>
    <w:rsid w:val="00B722F5"/>
    <w:rsid w:val="00B72316"/>
    <w:rsid w:val="00B72626"/>
    <w:rsid w:val="00B72681"/>
    <w:rsid w:val="00B72E02"/>
    <w:rsid w:val="00B73ADD"/>
    <w:rsid w:val="00B743A0"/>
    <w:rsid w:val="00B74768"/>
    <w:rsid w:val="00B74A28"/>
    <w:rsid w:val="00B74C00"/>
    <w:rsid w:val="00B7661C"/>
    <w:rsid w:val="00B76EB7"/>
    <w:rsid w:val="00B7741D"/>
    <w:rsid w:val="00B77A4C"/>
    <w:rsid w:val="00B77E64"/>
    <w:rsid w:val="00B8017E"/>
    <w:rsid w:val="00B8152A"/>
    <w:rsid w:val="00B82114"/>
    <w:rsid w:val="00B82E07"/>
    <w:rsid w:val="00B82E94"/>
    <w:rsid w:val="00B83E25"/>
    <w:rsid w:val="00B85183"/>
    <w:rsid w:val="00B85866"/>
    <w:rsid w:val="00B859EA"/>
    <w:rsid w:val="00B8653D"/>
    <w:rsid w:val="00B86596"/>
    <w:rsid w:val="00B86A8B"/>
    <w:rsid w:val="00B870EE"/>
    <w:rsid w:val="00B8746E"/>
    <w:rsid w:val="00B87FA5"/>
    <w:rsid w:val="00B90421"/>
    <w:rsid w:val="00B909C2"/>
    <w:rsid w:val="00B90E25"/>
    <w:rsid w:val="00B90F52"/>
    <w:rsid w:val="00B91E63"/>
    <w:rsid w:val="00B92436"/>
    <w:rsid w:val="00B924FA"/>
    <w:rsid w:val="00B92526"/>
    <w:rsid w:val="00B92CC5"/>
    <w:rsid w:val="00B9659F"/>
    <w:rsid w:val="00B96C72"/>
    <w:rsid w:val="00B96D95"/>
    <w:rsid w:val="00B96E62"/>
    <w:rsid w:val="00B970F8"/>
    <w:rsid w:val="00B976A6"/>
    <w:rsid w:val="00B97D91"/>
    <w:rsid w:val="00BA0A8A"/>
    <w:rsid w:val="00BA1858"/>
    <w:rsid w:val="00BA1D1C"/>
    <w:rsid w:val="00BA3218"/>
    <w:rsid w:val="00BA3579"/>
    <w:rsid w:val="00BA3D0D"/>
    <w:rsid w:val="00BA4767"/>
    <w:rsid w:val="00BA603A"/>
    <w:rsid w:val="00BA6C37"/>
    <w:rsid w:val="00BA749B"/>
    <w:rsid w:val="00BA7622"/>
    <w:rsid w:val="00BA7EA4"/>
    <w:rsid w:val="00BB0D9D"/>
    <w:rsid w:val="00BB1656"/>
    <w:rsid w:val="00BB2037"/>
    <w:rsid w:val="00BB2A82"/>
    <w:rsid w:val="00BB2BE2"/>
    <w:rsid w:val="00BB3C4F"/>
    <w:rsid w:val="00BB4054"/>
    <w:rsid w:val="00BB453D"/>
    <w:rsid w:val="00BB494F"/>
    <w:rsid w:val="00BB4A57"/>
    <w:rsid w:val="00BB5044"/>
    <w:rsid w:val="00BB56D7"/>
    <w:rsid w:val="00BB57AB"/>
    <w:rsid w:val="00BB5F55"/>
    <w:rsid w:val="00BB6040"/>
    <w:rsid w:val="00BB61B5"/>
    <w:rsid w:val="00BB6DC4"/>
    <w:rsid w:val="00BB722E"/>
    <w:rsid w:val="00BB7454"/>
    <w:rsid w:val="00BB7FB8"/>
    <w:rsid w:val="00BC0792"/>
    <w:rsid w:val="00BC0912"/>
    <w:rsid w:val="00BC237F"/>
    <w:rsid w:val="00BC294B"/>
    <w:rsid w:val="00BC2E69"/>
    <w:rsid w:val="00BC34CA"/>
    <w:rsid w:val="00BC3B4F"/>
    <w:rsid w:val="00BC3CA5"/>
    <w:rsid w:val="00BC4218"/>
    <w:rsid w:val="00BC434C"/>
    <w:rsid w:val="00BC5531"/>
    <w:rsid w:val="00BC5673"/>
    <w:rsid w:val="00BC5E4E"/>
    <w:rsid w:val="00BC640E"/>
    <w:rsid w:val="00BC652E"/>
    <w:rsid w:val="00BC6CDF"/>
    <w:rsid w:val="00BC7F57"/>
    <w:rsid w:val="00BD03A2"/>
    <w:rsid w:val="00BD07D1"/>
    <w:rsid w:val="00BD096D"/>
    <w:rsid w:val="00BD11BE"/>
    <w:rsid w:val="00BD1FE0"/>
    <w:rsid w:val="00BD38F5"/>
    <w:rsid w:val="00BD3FBC"/>
    <w:rsid w:val="00BD40E9"/>
    <w:rsid w:val="00BD47D7"/>
    <w:rsid w:val="00BD4DEE"/>
    <w:rsid w:val="00BD4E2E"/>
    <w:rsid w:val="00BD58A0"/>
    <w:rsid w:val="00BD5C56"/>
    <w:rsid w:val="00BD60AD"/>
    <w:rsid w:val="00BD66C0"/>
    <w:rsid w:val="00BD6CF5"/>
    <w:rsid w:val="00BD76E6"/>
    <w:rsid w:val="00BD7AD8"/>
    <w:rsid w:val="00BD7D9A"/>
    <w:rsid w:val="00BE001E"/>
    <w:rsid w:val="00BE011E"/>
    <w:rsid w:val="00BE0441"/>
    <w:rsid w:val="00BE0C6D"/>
    <w:rsid w:val="00BE122C"/>
    <w:rsid w:val="00BE2163"/>
    <w:rsid w:val="00BE2895"/>
    <w:rsid w:val="00BE3770"/>
    <w:rsid w:val="00BE3913"/>
    <w:rsid w:val="00BE3E34"/>
    <w:rsid w:val="00BE4980"/>
    <w:rsid w:val="00BE4BE6"/>
    <w:rsid w:val="00BE5594"/>
    <w:rsid w:val="00BE57B3"/>
    <w:rsid w:val="00BE5CBF"/>
    <w:rsid w:val="00BE5D4F"/>
    <w:rsid w:val="00BE5F58"/>
    <w:rsid w:val="00BE5FB3"/>
    <w:rsid w:val="00BE60E6"/>
    <w:rsid w:val="00BE6722"/>
    <w:rsid w:val="00BE67B6"/>
    <w:rsid w:val="00BE6AFE"/>
    <w:rsid w:val="00BE7221"/>
    <w:rsid w:val="00BE7636"/>
    <w:rsid w:val="00BE76B7"/>
    <w:rsid w:val="00BF09D4"/>
    <w:rsid w:val="00BF0A3A"/>
    <w:rsid w:val="00BF2DAB"/>
    <w:rsid w:val="00BF3D45"/>
    <w:rsid w:val="00BF4023"/>
    <w:rsid w:val="00BF4F32"/>
    <w:rsid w:val="00BF523C"/>
    <w:rsid w:val="00BF64D4"/>
    <w:rsid w:val="00BF6E2B"/>
    <w:rsid w:val="00BF6ED0"/>
    <w:rsid w:val="00BF79B3"/>
    <w:rsid w:val="00C00702"/>
    <w:rsid w:val="00C0140C"/>
    <w:rsid w:val="00C01820"/>
    <w:rsid w:val="00C01B9D"/>
    <w:rsid w:val="00C01D17"/>
    <w:rsid w:val="00C024D4"/>
    <w:rsid w:val="00C02B20"/>
    <w:rsid w:val="00C03F91"/>
    <w:rsid w:val="00C056AC"/>
    <w:rsid w:val="00C06333"/>
    <w:rsid w:val="00C10037"/>
    <w:rsid w:val="00C108E1"/>
    <w:rsid w:val="00C108FD"/>
    <w:rsid w:val="00C11642"/>
    <w:rsid w:val="00C11873"/>
    <w:rsid w:val="00C12619"/>
    <w:rsid w:val="00C12740"/>
    <w:rsid w:val="00C12971"/>
    <w:rsid w:val="00C12D9A"/>
    <w:rsid w:val="00C12DE7"/>
    <w:rsid w:val="00C145EE"/>
    <w:rsid w:val="00C1544A"/>
    <w:rsid w:val="00C15A78"/>
    <w:rsid w:val="00C15AD7"/>
    <w:rsid w:val="00C15C6C"/>
    <w:rsid w:val="00C16B2C"/>
    <w:rsid w:val="00C17129"/>
    <w:rsid w:val="00C17753"/>
    <w:rsid w:val="00C17E64"/>
    <w:rsid w:val="00C20366"/>
    <w:rsid w:val="00C205E7"/>
    <w:rsid w:val="00C20F98"/>
    <w:rsid w:val="00C211BA"/>
    <w:rsid w:val="00C22E00"/>
    <w:rsid w:val="00C22F56"/>
    <w:rsid w:val="00C23436"/>
    <w:rsid w:val="00C2366C"/>
    <w:rsid w:val="00C2408F"/>
    <w:rsid w:val="00C2557C"/>
    <w:rsid w:val="00C25624"/>
    <w:rsid w:val="00C25E66"/>
    <w:rsid w:val="00C2612B"/>
    <w:rsid w:val="00C2699D"/>
    <w:rsid w:val="00C26BF2"/>
    <w:rsid w:val="00C27858"/>
    <w:rsid w:val="00C27A12"/>
    <w:rsid w:val="00C27AEB"/>
    <w:rsid w:val="00C301B8"/>
    <w:rsid w:val="00C31218"/>
    <w:rsid w:val="00C31870"/>
    <w:rsid w:val="00C318F6"/>
    <w:rsid w:val="00C32524"/>
    <w:rsid w:val="00C32967"/>
    <w:rsid w:val="00C32AEC"/>
    <w:rsid w:val="00C33249"/>
    <w:rsid w:val="00C33456"/>
    <w:rsid w:val="00C3389D"/>
    <w:rsid w:val="00C33B99"/>
    <w:rsid w:val="00C34303"/>
    <w:rsid w:val="00C343AC"/>
    <w:rsid w:val="00C3442D"/>
    <w:rsid w:val="00C344A6"/>
    <w:rsid w:val="00C344B6"/>
    <w:rsid w:val="00C35A7C"/>
    <w:rsid w:val="00C35C69"/>
    <w:rsid w:val="00C37041"/>
    <w:rsid w:val="00C37D61"/>
    <w:rsid w:val="00C4000A"/>
    <w:rsid w:val="00C40B4B"/>
    <w:rsid w:val="00C40D3D"/>
    <w:rsid w:val="00C417E6"/>
    <w:rsid w:val="00C418BD"/>
    <w:rsid w:val="00C41BBD"/>
    <w:rsid w:val="00C427E7"/>
    <w:rsid w:val="00C43451"/>
    <w:rsid w:val="00C43532"/>
    <w:rsid w:val="00C438E3"/>
    <w:rsid w:val="00C446F6"/>
    <w:rsid w:val="00C45097"/>
    <w:rsid w:val="00C4722A"/>
    <w:rsid w:val="00C47BCA"/>
    <w:rsid w:val="00C50070"/>
    <w:rsid w:val="00C505F6"/>
    <w:rsid w:val="00C509BF"/>
    <w:rsid w:val="00C512FA"/>
    <w:rsid w:val="00C519EC"/>
    <w:rsid w:val="00C519FC"/>
    <w:rsid w:val="00C51CB6"/>
    <w:rsid w:val="00C53567"/>
    <w:rsid w:val="00C536F0"/>
    <w:rsid w:val="00C53CB9"/>
    <w:rsid w:val="00C53F41"/>
    <w:rsid w:val="00C540BE"/>
    <w:rsid w:val="00C54433"/>
    <w:rsid w:val="00C54A10"/>
    <w:rsid w:val="00C54D5B"/>
    <w:rsid w:val="00C54E9C"/>
    <w:rsid w:val="00C55961"/>
    <w:rsid w:val="00C55CCF"/>
    <w:rsid w:val="00C55D06"/>
    <w:rsid w:val="00C56882"/>
    <w:rsid w:val="00C57510"/>
    <w:rsid w:val="00C577F7"/>
    <w:rsid w:val="00C61093"/>
    <w:rsid w:val="00C61B48"/>
    <w:rsid w:val="00C61DD5"/>
    <w:rsid w:val="00C61EB8"/>
    <w:rsid w:val="00C61F32"/>
    <w:rsid w:val="00C6217E"/>
    <w:rsid w:val="00C63B10"/>
    <w:rsid w:val="00C6474D"/>
    <w:rsid w:val="00C6586F"/>
    <w:rsid w:val="00C65A37"/>
    <w:rsid w:val="00C66DFB"/>
    <w:rsid w:val="00C66E92"/>
    <w:rsid w:val="00C66F16"/>
    <w:rsid w:val="00C67100"/>
    <w:rsid w:val="00C6798B"/>
    <w:rsid w:val="00C7041D"/>
    <w:rsid w:val="00C71004"/>
    <w:rsid w:val="00C7155C"/>
    <w:rsid w:val="00C715BA"/>
    <w:rsid w:val="00C71727"/>
    <w:rsid w:val="00C71A84"/>
    <w:rsid w:val="00C72670"/>
    <w:rsid w:val="00C72CBB"/>
    <w:rsid w:val="00C734AB"/>
    <w:rsid w:val="00C74479"/>
    <w:rsid w:val="00C74D42"/>
    <w:rsid w:val="00C75AE0"/>
    <w:rsid w:val="00C7759D"/>
    <w:rsid w:val="00C775DE"/>
    <w:rsid w:val="00C7766B"/>
    <w:rsid w:val="00C77A3A"/>
    <w:rsid w:val="00C77CD4"/>
    <w:rsid w:val="00C801CB"/>
    <w:rsid w:val="00C810A9"/>
    <w:rsid w:val="00C81C5E"/>
    <w:rsid w:val="00C82BF0"/>
    <w:rsid w:val="00C82EF6"/>
    <w:rsid w:val="00C8308F"/>
    <w:rsid w:val="00C83C04"/>
    <w:rsid w:val="00C856CC"/>
    <w:rsid w:val="00C8614C"/>
    <w:rsid w:val="00C8636E"/>
    <w:rsid w:val="00C86EFC"/>
    <w:rsid w:val="00C87BD2"/>
    <w:rsid w:val="00C90176"/>
    <w:rsid w:val="00C901AD"/>
    <w:rsid w:val="00C905CF"/>
    <w:rsid w:val="00C91437"/>
    <w:rsid w:val="00C91499"/>
    <w:rsid w:val="00C91F4E"/>
    <w:rsid w:val="00C93292"/>
    <w:rsid w:val="00C93BBB"/>
    <w:rsid w:val="00C93F79"/>
    <w:rsid w:val="00C94228"/>
    <w:rsid w:val="00C95501"/>
    <w:rsid w:val="00C9554A"/>
    <w:rsid w:val="00C956CC"/>
    <w:rsid w:val="00C956D2"/>
    <w:rsid w:val="00C95CF9"/>
    <w:rsid w:val="00C9622E"/>
    <w:rsid w:val="00C96F58"/>
    <w:rsid w:val="00C9765A"/>
    <w:rsid w:val="00C979B4"/>
    <w:rsid w:val="00C97BF9"/>
    <w:rsid w:val="00C97E1B"/>
    <w:rsid w:val="00CA090D"/>
    <w:rsid w:val="00CA0A2C"/>
    <w:rsid w:val="00CA0B73"/>
    <w:rsid w:val="00CA0B7E"/>
    <w:rsid w:val="00CA1200"/>
    <w:rsid w:val="00CA1682"/>
    <w:rsid w:val="00CA1B3E"/>
    <w:rsid w:val="00CA20B6"/>
    <w:rsid w:val="00CA2543"/>
    <w:rsid w:val="00CA271B"/>
    <w:rsid w:val="00CA2FC0"/>
    <w:rsid w:val="00CA37E9"/>
    <w:rsid w:val="00CA3DA4"/>
    <w:rsid w:val="00CA524D"/>
    <w:rsid w:val="00CA5475"/>
    <w:rsid w:val="00CA5DC8"/>
    <w:rsid w:val="00CA5E76"/>
    <w:rsid w:val="00CA628B"/>
    <w:rsid w:val="00CA66B1"/>
    <w:rsid w:val="00CA7975"/>
    <w:rsid w:val="00CA7F16"/>
    <w:rsid w:val="00CB1564"/>
    <w:rsid w:val="00CB1B60"/>
    <w:rsid w:val="00CB1D76"/>
    <w:rsid w:val="00CB2185"/>
    <w:rsid w:val="00CB26E5"/>
    <w:rsid w:val="00CB3E1F"/>
    <w:rsid w:val="00CB4475"/>
    <w:rsid w:val="00CB4E3B"/>
    <w:rsid w:val="00CB52E8"/>
    <w:rsid w:val="00CB756F"/>
    <w:rsid w:val="00CB7C51"/>
    <w:rsid w:val="00CB7C68"/>
    <w:rsid w:val="00CB7EC7"/>
    <w:rsid w:val="00CC0412"/>
    <w:rsid w:val="00CC162D"/>
    <w:rsid w:val="00CC191C"/>
    <w:rsid w:val="00CC1CAF"/>
    <w:rsid w:val="00CC21CB"/>
    <w:rsid w:val="00CC2C0F"/>
    <w:rsid w:val="00CC3867"/>
    <w:rsid w:val="00CC4199"/>
    <w:rsid w:val="00CC438E"/>
    <w:rsid w:val="00CC450C"/>
    <w:rsid w:val="00CC4841"/>
    <w:rsid w:val="00CC4EC8"/>
    <w:rsid w:val="00CC4FE3"/>
    <w:rsid w:val="00CC6B4D"/>
    <w:rsid w:val="00CC7D3C"/>
    <w:rsid w:val="00CC7DF4"/>
    <w:rsid w:val="00CD0324"/>
    <w:rsid w:val="00CD096B"/>
    <w:rsid w:val="00CD0DEF"/>
    <w:rsid w:val="00CD0E78"/>
    <w:rsid w:val="00CD1187"/>
    <w:rsid w:val="00CD124B"/>
    <w:rsid w:val="00CD245A"/>
    <w:rsid w:val="00CD2779"/>
    <w:rsid w:val="00CD27D6"/>
    <w:rsid w:val="00CD404F"/>
    <w:rsid w:val="00CD406B"/>
    <w:rsid w:val="00CD4C4A"/>
    <w:rsid w:val="00CD5E66"/>
    <w:rsid w:val="00CD6536"/>
    <w:rsid w:val="00CD670F"/>
    <w:rsid w:val="00CD6A21"/>
    <w:rsid w:val="00CD6ED4"/>
    <w:rsid w:val="00CD7269"/>
    <w:rsid w:val="00CE13D7"/>
    <w:rsid w:val="00CE15F0"/>
    <w:rsid w:val="00CE18A2"/>
    <w:rsid w:val="00CE1C10"/>
    <w:rsid w:val="00CE2332"/>
    <w:rsid w:val="00CE270C"/>
    <w:rsid w:val="00CE2B59"/>
    <w:rsid w:val="00CE336D"/>
    <w:rsid w:val="00CE4367"/>
    <w:rsid w:val="00CE49A0"/>
    <w:rsid w:val="00CE5AEA"/>
    <w:rsid w:val="00CE637B"/>
    <w:rsid w:val="00CE6528"/>
    <w:rsid w:val="00CE6576"/>
    <w:rsid w:val="00CE6D95"/>
    <w:rsid w:val="00CF09AA"/>
    <w:rsid w:val="00CF0C58"/>
    <w:rsid w:val="00CF0F27"/>
    <w:rsid w:val="00CF11EC"/>
    <w:rsid w:val="00CF179E"/>
    <w:rsid w:val="00CF1C18"/>
    <w:rsid w:val="00CF2A3B"/>
    <w:rsid w:val="00CF33DC"/>
    <w:rsid w:val="00CF3B04"/>
    <w:rsid w:val="00CF3E7D"/>
    <w:rsid w:val="00CF4CA7"/>
    <w:rsid w:val="00CF524B"/>
    <w:rsid w:val="00CF5720"/>
    <w:rsid w:val="00CF62E4"/>
    <w:rsid w:val="00CF637D"/>
    <w:rsid w:val="00CF6CCB"/>
    <w:rsid w:val="00CF7122"/>
    <w:rsid w:val="00CF728F"/>
    <w:rsid w:val="00CF76F8"/>
    <w:rsid w:val="00D00F72"/>
    <w:rsid w:val="00D0141E"/>
    <w:rsid w:val="00D0149C"/>
    <w:rsid w:val="00D01670"/>
    <w:rsid w:val="00D019F0"/>
    <w:rsid w:val="00D01A28"/>
    <w:rsid w:val="00D01FA2"/>
    <w:rsid w:val="00D02259"/>
    <w:rsid w:val="00D028F9"/>
    <w:rsid w:val="00D02B58"/>
    <w:rsid w:val="00D03DD0"/>
    <w:rsid w:val="00D03DE4"/>
    <w:rsid w:val="00D040E1"/>
    <w:rsid w:val="00D0431B"/>
    <w:rsid w:val="00D04BE1"/>
    <w:rsid w:val="00D04E1E"/>
    <w:rsid w:val="00D04EC7"/>
    <w:rsid w:val="00D05DAB"/>
    <w:rsid w:val="00D05F29"/>
    <w:rsid w:val="00D0661D"/>
    <w:rsid w:val="00D0674C"/>
    <w:rsid w:val="00D07589"/>
    <w:rsid w:val="00D075A1"/>
    <w:rsid w:val="00D1002E"/>
    <w:rsid w:val="00D10747"/>
    <w:rsid w:val="00D107A9"/>
    <w:rsid w:val="00D10E81"/>
    <w:rsid w:val="00D11C68"/>
    <w:rsid w:val="00D11F21"/>
    <w:rsid w:val="00D12200"/>
    <w:rsid w:val="00D128A4"/>
    <w:rsid w:val="00D132D7"/>
    <w:rsid w:val="00D133A5"/>
    <w:rsid w:val="00D1354A"/>
    <w:rsid w:val="00D137C3"/>
    <w:rsid w:val="00D13CF0"/>
    <w:rsid w:val="00D1406C"/>
    <w:rsid w:val="00D146DE"/>
    <w:rsid w:val="00D149A6"/>
    <w:rsid w:val="00D15743"/>
    <w:rsid w:val="00D15808"/>
    <w:rsid w:val="00D15E39"/>
    <w:rsid w:val="00D160F9"/>
    <w:rsid w:val="00D161B4"/>
    <w:rsid w:val="00D16D27"/>
    <w:rsid w:val="00D17010"/>
    <w:rsid w:val="00D17232"/>
    <w:rsid w:val="00D17314"/>
    <w:rsid w:val="00D207C9"/>
    <w:rsid w:val="00D220A0"/>
    <w:rsid w:val="00D22CC7"/>
    <w:rsid w:val="00D240E1"/>
    <w:rsid w:val="00D24E1B"/>
    <w:rsid w:val="00D2576A"/>
    <w:rsid w:val="00D26321"/>
    <w:rsid w:val="00D27953"/>
    <w:rsid w:val="00D3004A"/>
    <w:rsid w:val="00D30714"/>
    <w:rsid w:val="00D3072D"/>
    <w:rsid w:val="00D315B2"/>
    <w:rsid w:val="00D319F9"/>
    <w:rsid w:val="00D32305"/>
    <w:rsid w:val="00D32963"/>
    <w:rsid w:val="00D334F7"/>
    <w:rsid w:val="00D33579"/>
    <w:rsid w:val="00D33E1C"/>
    <w:rsid w:val="00D348C8"/>
    <w:rsid w:val="00D34CC6"/>
    <w:rsid w:val="00D34E77"/>
    <w:rsid w:val="00D352AF"/>
    <w:rsid w:val="00D356A3"/>
    <w:rsid w:val="00D367B6"/>
    <w:rsid w:val="00D36FBE"/>
    <w:rsid w:val="00D403F6"/>
    <w:rsid w:val="00D4119C"/>
    <w:rsid w:val="00D424A2"/>
    <w:rsid w:val="00D42562"/>
    <w:rsid w:val="00D43595"/>
    <w:rsid w:val="00D43C00"/>
    <w:rsid w:val="00D43CE2"/>
    <w:rsid w:val="00D44292"/>
    <w:rsid w:val="00D44A37"/>
    <w:rsid w:val="00D44C0C"/>
    <w:rsid w:val="00D453FB"/>
    <w:rsid w:val="00D459B9"/>
    <w:rsid w:val="00D45C24"/>
    <w:rsid w:val="00D466FE"/>
    <w:rsid w:val="00D46A05"/>
    <w:rsid w:val="00D47A14"/>
    <w:rsid w:val="00D47B08"/>
    <w:rsid w:val="00D47F0F"/>
    <w:rsid w:val="00D47FD0"/>
    <w:rsid w:val="00D50166"/>
    <w:rsid w:val="00D50450"/>
    <w:rsid w:val="00D50DD1"/>
    <w:rsid w:val="00D50F9C"/>
    <w:rsid w:val="00D51046"/>
    <w:rsid w:val="00D51673"/>
    <w:rsid w:val="00D51955"/>
    <w:rsid w:val="00D51A6F"/>
    <w:rsid w:val="00D51ADD"/>
    <w:rsid w:val="00D53BD0"/>
    <w:rsid w:val="00D53CBB"/>
    <w:rsid w:val="00D54099"/>
    <w:rsid w:val="00D541A1"/>
    <w:rsid w:val="00D54BE9"/>
    <w:rsid w:val="00D54C5D"/>
    <w:rsid w:val="00D55436"/>
    <w:rsid w:val="00D557CA"/>
    <w:rsid w:val="00D55ACF"/>
    <w:rsid w:val="00D55BCA"/>
    <w:rsid w:val="00D56D8F"/>
    <w:rsid w:val="00D577D8"/>
    <w:rsid w:val="00D57F0D"/>
    <w:rsid w:val="00D60C6F"/>
    <w:rsid w:val="00D6171E"/>
    <w:rsid w:val="00D6371A"/>
    <w:rsid w:val="00D63B6D"/>
    <w:rsid w:val="00D63D21"/>
    <w:rsid w:val="00D64599"/>
    <w:rsid w:val="00D647A6"/>
    <w:rsid w:val="00D64A73"/>
    <w:rsid w:val="00D65535"/>
    <w:rsid w:val="00D661AA"/>
    <w:rsid w:val="00D66445"/>
    <w:rsid w:val="00D6655B"/>
    <w:rsid w:val="00D66A11"/>
    <w:rsid w:val="00D6701A"/>
    <w:rsid w:val="00D672DD"/>
    <w:rsid w:val="00D67953"/>
    <w:rsid w:val="00D67BF5"/>
    <w:rsid w:val="00D703F2"/>
    <w:rsid w:val="00D7052E"/>
    <w:rsid w:val="00D705A2"/>
    <w:rsid w:val="00D70A21"/>
    <w:rsid w:val="00D728F0"/>
    <w:rsid w:val="00D729C4"/>
    <w:rsid w:val="00D72DFB"/>
    <w:rsid w:val="00D73877"/>
    <w:rsid w:val="00D73D4E"/>
    <w:rsid w:val="00D7430E"/>
    <w:rsid w:val="00D74DAF"/>
    <w:rsid w:val="00D754EA"/>
    <w:rsid w:val="00D754FE"/>
    <w:rsid w:val="00D75ADE"/>
    <w:rsid w:val="00D760A5"/>
    <w:rsid w:val="00D7648B"/>
    <w:rsid w:val="00D77E3D"/>
    <w:rsid w:val="00D77FD1"/>
    <w:rsid w:val="00D8032A"/>
    <w:rsid w:val="00D8069E"/>
    <w:rsid w:val="00D80ACE"/>
    <w:rsid w:val="00D80CA8"/>
    <w:rsid w:val="00D80DF9"/>
    <w:rsid w:val="00D815EC"/>
    <w:rsid w:val="00D816B2"/>
    <w:rsid w:val="00D82272"/>
    <w:rsid w:val="00D8274F"/>
    <w:rsid w:val="00D82ABC"/>
    <w:rsid w:val="00D83039"/>
    <w:rsid w:val="00D83174"/>
    <w:rsid w:val="00D8407D"/>
    <w:rsid w:val="00D84386"/>
    <w:rsid w:val="00D8442C"/>
    <w:rsid w:val="00D84955"/>
    <w:rsid w:val="00D850A9"/>
    <w:rsid w:val="00D858D1"/>
    <w:rsid w:val="00D8594F"/>
    <w:rsid w:val="00D85F4D"/>
    <w:rsid w:val="00D8654A"/>
    <w:rsid w:val="00D86D58"/>
    <w:rsid w:val="00D8717E"/>
    <w:rsid w:val="00D8771D"/>
    <w:rsid w:val="00D87842"/>
    <w:rsid w:val="00D904FB"/>
    <w:rsid w:val="00D90639"/>
    <w:rsid w:val="00D90AF8"/>
    <w:rsid w:val="00D91930"/>
    <w:rsid w:val="00D91CFC"/>
    <w:rsid w:val="00D92866"/>
    <w:rsid w:val="00D928F1"/>
    <w:rsid w:val="00D92CAE"/>
    <w:rsid w:val="00D93298"/>
    <w:rsid w:val="00D93E34"/>
    <w:rsid w:val="00D94640"/>
    <w:rsid w:val="00D94BBC"/>
    <w:rsid w:val="00D94BD6"/>
    <w:rsid w:val="00D96DDB"/>
    <w:rsid w:val="00D97035"/>
    <w:rsid w:val="00D97149"/>
    <w:rsid w:val="00D979BC"/>
    <w:rsid w:val="00D979CB"/>
    <w:rsid w:val="00D97BCC"/>
    <w:rsid w:val="00D97ED0"/>
    <w:rsid w:val="00DA08AD"/>
    <w:rsid w:val="00DA0C03"/>
    <w:rsid w:val="00DA153F"/>
    <w:rsid w:val="00DA1E82"/>
    <w:rsid w:val="00DA219D"/>
    <w:rsid w:val="00DA243B"/>
    <w:rsid w:val="00DA25DA"/>
    <w:rsid w:val="00DA29C4"/>
    <w:rsid w:val="00DA2EA0"/>
    <w:rsid w:val="00DA3430"/>
    <w:rsid w:val="00DA354E"/>
    <w:rsid w:val="00DA3593"/>
    <w:rsid w:val="00DA3D1D"/>
    <w:rsid w:val="00DA4697"/>
    <w:rsid w:val="00DA52E7"/>
    <w:rsid w:val="00DA5452"/>
    <w:rsid w:val="00DA5B37"/>
    <w:rsid w:val="00DA60E5"/>
    <w:rsid w:val="00DA65BF"/>
    <w:rsid w:val="00DA6803"/>
    <w:rsid w:val="00DA6C92"/>
    <w:rsid w:val="00DA7353"/>
    <w:rsid w:val="00DA7757"/>
    <w:rsid w:val="00DA7BCE"/>
    <w:rsid w:val="00DB0083"/>
    <w:rsid w:val="00DB059A"/>
    <w:rsid w:val="00DB0A53"/>
    <w:rsid w:val="00DB123D"/>
    <w:rsid w:val="00DB1637"/>
    <w:rsid w:val="00DB1F58"/>
    <w:rsid w:val="00DB2D43"/>
    <w:rsid w:val="00DB3252"/>
    <w:rsid w:val="00DB455D"/>
    <w:rsid w:val="00DB4663"/>
    <w:rsid w:val="00DB474B"/>
    <w:rsid w:val="00DB4ACF"/>
    <w:rsid w:val="00DB52DD"/>
    <w:rsid w:val="00DB5692"/>
    <w:rsid w:val="00DB5A48"/>
    <w:rsid w:val="00DB60E6"/>
    <w:rsid w:val="00DB6667"/>
    <w:rsid w:val="00DB6670"/>
    <w:rsid w:val="00DB6A07"/>
    <w:rsid w:val="00DB7A2D"/>
    <w:rsid w:val="00DC000C"/>
    <w:rsid w:val="00DC0822"/>
    <w:rsid w:val="00DC09AC"/>
    <w:rsid w:val="00DC16A1"/>
    <w:rsid w:val="00DC1A0C"/>
    <w:rsid w:val="00DC1DDA"/>
    <w:rsid w:val="00DC1F3C"/>
    <w:rsid w:val="00DC222F"/>
    <w:rsid w:val="00DC24B6"/>
    <w:rsid w:val="00DC24E3"/>
    <w:rsid w:val="00DC25F6"/>
    <w:rsid w:val="00DC2887"/>
    <w:rsid w:val="00DC3EC1"/>
    <w:rsid w:val="00DC4061"/>
    <w:rsid w:val="00DC48E9"/>
    <w:rsid w:val="00DC55FB"/>
    <w:rsid w:val="00DC5D24"/>
    <w:rsid w:val="00DC657B"/>
    <w:rsid w:val="00DC6B0B"/>
    <w:rsid w:val="00DC7ED5"/>
    <w:rsid w:val="00DD0100"/>
    <w:rsid w:val="00DD0438"/>
    <w:rsid w:val="00DD04C5"/>
    <w:rsid w:val="00DD0B5E"/>
    <w:rsid w:val="00DD18B2"/>
    <w:rsid w:val="00DD19D8"/>
    <w:rsid w:val="00DD1FFB"/>
    <w:rsid w:val="00DD2EAE"/>
    <w:rsid w:val="00DD41F3"/>
    <w:rsid w:val="00DD62CC"/>
    <w:rsid w:val="00DD6519"/>
    <w:rsid w:val="00DD74C7"/>
    <w:rsid w:val="00DD7DA0"/>
    <w:rsid w:val="00DD7F0A"/>
    <w:rsid w:val="00DE00A7"/>
    <w:rsid w:val="00DE0B28"/>
    <w:rsid w:val="00DE138C"/>
    <w:rsid w:val="00DE193A"/>
    <w:rsid w:val="00DE20D7"/>
    <w:rsid w:val="00DE212E"/>
    <w:rsid w:val="00DE3BCB"/>
    <w:rsid w:val="00DE3CE1"/>
    <w:rsid w:val="00DE42D1"/>
    <w:rsid w:val="00DE4315"/>
    <w:rsid w:val="00DE4C75"/>
    <w:rsid w:val="00DE5804"/>
    <w:rsid w:val="00DE5C02"/>
    <w:rsid w:val="00DE6C05"/>
    <w:rsid w:val="00DE7AC8"/>
    <w:rsid w:val="00DE7C9F"/>
    <w:rsid w:val="00DE7D1C"/>
    <w:rsid w:val="00DE7ED1"/>
    <w:rsid w:val="00DE7F3E"/>
    <w:rsid w:val="00DF000C"/>
    <w:rsid w:val="00DF084F"/>
    <w:rsid w:val="00DF18E7"/>
    <w:rsid w:val="00DF2107"/>
    <w:rsid w:val="00DF2374"/>
    <w:rsid w:val="00DF2578"/>
    <w:rsid w:val="00DF2635"/>
    <w:rsid w:val="00DF372F"/>
    <w:rsid w:val="00DF395F"/>
    <w:rsid w:val="00DF3CE9"/>
    <w:rsid w:val="00DF3F79"/>
    <w:rsid w:val="00DF4065"/>
    <w:rsid w:val="00DF4324"/>
    <w:rsid w:val="00DF4B1D"/>
    <w:rsid w:val="00DF4B97"/>
    <w:rsid w:val="00DF4DE5"/>
    <w:rsid w:val="00DF51B0"/>
    <w:rsid w:val="00DF5A75"/>
    <w:rsid w:val="00DF5B65"/>
    <w:rsid w:val="00DF69DA"/>
    <w:rsid w:val="00DF6F76"/>
    <w:rsid w:val="00DF700A"/>
    <w:rsid w:val="00DF731A"/>
    <w:rsid w:val="00DF7E7F"/>
    <w:rsid w:val="00DF7F36"/>
    <w:rsid w:val="00E00353"/>
    <w:rsid w:val="00E004B3"/>
    <w:rsid w:val="00E01272"/>
    <w:rsid w:val="00E0131B"/>
    <w:rsid w:val="00E01A3B"/>
    <w:rsid w:val="00E01B5C"/>
    <w:rsid w:val="00E0303B"/>
    <w:rsid w:val="00E0571E"/>
    <w:rsid w:val="00E05BB8"/>
    <w:rsid w:val="00E05D5F"/>
    <w:rsid w:val="00E07A17"/>
    <w:rsid w:val="00E1059A"/>
    <w:rsid w:val="00E125F6"/>
    <w:rsid w:val="00E12E19"/>
    <w:rsid w:val="00E14765"/>
    <w:rsid w:val="00E14829"/>
    <w:rsid w:val="00E14C54"/>
    <w:rsid w:val="00E14CF8"/>
    <w:rsid w:val="00E14EB1"/>
    <w:rsid w:val="00E15045"/>
    <w:rsid w:val="00E15683"/>
    <w:rsid w:val="00E202E7"/>
    <w:rsid w:val="00E208E3"/>
    <w:rsid w:val="00E20BD5"/>
    <w:rsid w:val="00E213C0"/>
    <w:rsid w:val="00E21D71"/>
    <w:rsid w:val="00E21DEC"/>
    <w:rsid w:val="00E2254B"/>
    <w:rsid w:val="00E24996"/>
    <w:rsid w:val="00E2542E"/>
    <w:rsid w:val="00E255DB"/>
    <w:rsid w:val="00E25A9B"/>
    <w:rsid w:val="00E25B3C"/>
    <w:rsid w:val="00E25E90"/>
    <w:rsid w:val="00E261D8"/>
    <w:rsid w:val="00E26522"/>
    <w:rsid w:val="00E26853"/>
    <w:rsid w:val="00E27303"/>
    <w:rsid w:val="00E27859"/>
    <w:rsid w:val="00E27D9B"/>
    <w:rsid w:val="00E27ED7"/>
    <w:rsid w:val="00E3186B"/>
    <w:rsid w:val="00E32532"/>
    <w:rsid w:val="00E32599"/>
    <w:rsid w:val="00E3405F"/>
    <w:rsid w:val="00E345B8"/>
    <w:rsid w:val="00E35A89"/>
    <w:rsid w:val="00E35AF7"/>
    <w:rsid w:val="00E3653D"/>
    <w:rsid w:val="00E3665E"/>
    <w:rsid w:val="00E36720"/>
    <w:rsid w:val="00E36AAB"/>
    <w:rsid w:val="00E40B86"/>
    <w:rsid w:val="00E40DC5"/>
    <w:rsid w:val="00E41534"/>
    <w:rsid w:val="00E416B9"/>
    <w:rsid w:val="00E41C5D"/>
    <w:rsid w:val="00E42287"/>
    <w:rsid w:val="00E42B08"/>
    <w:rsid w:val="00E437F7"/>
    <w:rsid w:val="00E43A1C"/>
    <w:rsid w:val="00E447D3"/>
    <w:rsid w:val="00E45461"/>
    <w:rsid w:val="00E45507"/>
    <w:rsid w:val="00E46843"/>
    <w:rsid w:val="00E47EF3"/>
    <w:rsid w:val="00E50C25"/>
    <w:rsid w:val="00E50F2E"/>
    <w:rsid w:val="00E527A5"/>
    <w:rsid w:val="00E532B8"/>
    <w:rsid w:val="00E53D03"/>
    <w:rsid w:val="00E53F30"/>
    <w:rsid w:val="00E54C04"/>
    <w:rsid w:val="00E55281"/>
    <w:rsid w:val="00E55A47"/>
    <w:rsid w:val="00E55AC1"/>
    <w:rsid w:val="00E55E4B"/>
    <w:rsid w:val="00E5625E"/>
    <w:rsid w:val="00E564D6"/>
    <w:rsid w:val="00E568E3"/>
    <w:rsid w:val="00E56B8E"/>
    <w:rsid w:val="00E572DB"/>
    <w:rsid w:val="00E57B1D"/>
    <w:rsid w:val="00E57F7E"/>
    <w:rsid w:val="00E601D9"/>
    <w:rsid w:val="00E60ECD"/>
    <w:rsid w:val="00E61227"/>
    <w:rsid w:val="00E612A7"/>
    <w:rsid w:val="00E61370"/>
    <w:rsid w:val="00E61D92"/>
    <w:rsid w:val="00E61E73"/>
    <w:rsid w:val="00E62339"/>
    <w:rsid w:val="00E62789"/>
    <w:rsid w:val="00E636A0"/>
    <w:rsid w:val="00E636DD"/>
    <w:rsid w:val="00E639C3"/>
    <w:rsid w:val="00E64264"/>
    <w:rsid w:val="00E64347"/>
    <w:rsid w:val="00E649C6"/>
    <w:rsid w:val="00E64CA7"/>
    <w:rsid w:val="00E6541B"/>
    <w:rsid w:val="00E6548B"/>
    <w:rsid w:val="00E65885"/>
    <w:rsid w:val="00E65BC8"/>
    <w:rsid w:val="00E65EA0"/>
    <w:rsid w:val="00E6669E"/>
    <w:rsid w:val="00E66ADA"/>
    <w:rsid w:val="00E66C67"/>
    <w:rsid w:val="00E67BC8"/>
    <w:rsid w:val="00E72A94"/>
    <w:rsid w:val="00E72AD8"/>
    <w:rsid w:val="00E73A58"/>
    <w:rsid w:val="00E74B81"/>
    <w:rsid w:val="00E74E8E"/>
    <w:rsid w:val="00E75289"/>
    <w:rsid w:val="00E75395"/>
    <w:rsid w:val="00E75542"/>
    <w:rsid w:val="00E75644"/>
    <w:rsid w:val="00E7590B"/>
    <w:rsid w:val="00E75B7C"/>
    <w:rsid w:val="00E75BC2"/>
    <w:rsid w:val="00E76A53"/>
    <w:rsid w:val="00E76DB9"/>
    <w:rsid w:val="00E77134"/>
    <w:rsid w:val="00E81778"/>
    <w:rsid w:val="00E81C44"/>
    <w:rsid w:val="00E844E0"/>
    <w:rsid w:val="00E847E0"/>
    <w:rsid w:val="00E84C7F"/>
    <w:rsid w:val="00E8608E"/>
    <w:rsid w:val="00E867D8"/>
    <w:rsid w:val="00E86ECD"/>
    <w:rsid w:val="00E86EE3"/>
    <w:rsid w:val="00E86F2F"/>
    <w:rsid w:val="00E876EF"/>
    <w:rsid w:val="00E90D16"/>
    <w:rsid w:val="00E91234"/>
    <w:rsid w:val="00E915B3"/>
    <w:rsid w:val="00E91601"/>
    <w:rsid w:val="00E91688"/>
    <w:rsid w:val="00E91AB7"/>
    <w:rsid w:val="00E929DB"/>
    <w:rsid w:val="00E935FF"/>
    <w:rsid w:val="00E9368A"/>
    <w:rsid w:val="00E93B90"/>
    <w:rsid w:val="00E946A8"/>
    <w:rsid w:val="00E94DCA"/>
    <w:rsid w:val="00E96881"/>
    <w:rsid w:val="00E96F83"/>
    <w:rsid w:val="00E97486"/>
    <w:rsid w:val="00EA0208"/>
    <w:rsid w:val="00EA123D"/>
    <w:rsid w:val="00EA3C0F"/>
    <w:rsid w:val="00EA4800"/>
    <w:rsid w:val="00EA51FB"/>
    <w:rsid w:val="00EA52FF"/>
    <w:rsid w:val="00EA56D2"/>
    <w:rsid w:val="00EA5EFE"/>
    <w:rsid w:val="00EA5F74"/>
    <w:rsid w:val="00EA632C"/>
    <w:rsid w:val="00EA75B2"/>
    <w:rsid w:val="00EB0AA9"/>
    <w:rsid w:val="00EB0B9E"/>
    <w:rsid w:val="00EB1397"/>
    <w:rsid w:val="00EB1410"/>
    <w:rsid w:val="00EB453E"/>
    <w:rsid w:val="00EB47B4"/>
    <w:rsid w:val="00EB489C"/>
    <w:rsid w:val="00EB5296"/>
    <w:rsid w:val="00EB619C"/>
    <w:rsid w:val="00EB7292"/>
    <w:rsid w:val="00EB78F6"/>
    <w:rsid w:val="00EB7954"/>
    <w:rsid w:val="00EC0298"/>
    <w:rsid w:val="00EC0661"/>
    <w:rsid w:val="00EC1BA9"/>
    <w:rsid w:val="00EC281F"/>
    <w:rsid w:val="00EC351C"/>
    <w:rsid w:val="00EC3714"/>
    <w:rsid w:val="00EC4010"/>
    <w:rsid w:val="00EC4099"/>
    <w:rsid w:val="00EC477C"/>
    <w:rsid w:val="00EC4DF5"/>
    <w:rsid w:val="00EC4E69"/>
    <w:rsid w:val="00EC55ED"/>
    <w:rsid w:val="00EC5A81"/>
    <w:rsid w:val="00EC7676"/>
    <w:rsid w:val="00EC7E66"/>
    <w:rsid w:val="00ED01A7"/>
    <w:rsid w:val="00ED0225"/>
    <w:rsid w:val="00ED0239"/>
    <w:rsid w:val="00ED02FC"/>
    <w:rsid w:val="00ED0483"/>
    <w:rsid w:val="00ED089C"/>
    <w:rsid w:val="00ED0CCC"/>
    <w:rsid w:val="00ED1215"/>
    <w:rsid w:val="00ED13FD"/>
    <w:rsid w:val="00ED1D26"/>
    <w:rsid w:val="00ED2960"/>
    <w:rsid w:val="00ED2D2D"/>
    <w:rsid w:val="00ED33BA"/>
    <w:rsid w:val="00ED3C39"/>
    <w:rsid w:val="00ED472A"/>
    <w:rsid w:val="00ED4F26"/>
    <w:rsid w:val="00ED561B"/>
    <w:rsid w:val="00ED6AA6"/>
    <w:rsid w:val="00ED7539"/>
    <w:rsid w:val="00ED75B8"/>
    <w:rsid w:val="00ED7D88"/>
    <w:rsid w:val="00ED7EF4"/>
    <w:rsid w:val="00EE010D"/>
    <w:rsid w:val="00EE0231"/>
    <w:rsid w:val="00EE0495"/>
    <w:rsid w:val="00EE07F4"/>
    <w:rsid w:val="00EE180F"/>
    <w:rsid w:val="00EE1BB3"/>
    <w:rsid w:val="00EE1E33"/>
    <w:rsid w:val="00EE2C95"/>
    <w:rsid w:val="00EE3105"/>
    <w:rsid w:val="00EE4634"/>
    <w:rsid w:val="00EE489C"/>
    <w:rsid w:val="00EE56AB"/>
    <w:rsid w:val="00EE6121"/>
    <w:rsid w:val="00EE64C6"/>
    <w:rsid w:val="00EE66A9"/>
    <w:rsid w:val="00EF0658"/>
    <w:rsid w:val="00EF1008"/>
    <w:rsid w:val="00EF10CB"/>
    <w:rsid w:val="00EF111C"/>
    <w:rsid w:val="00EF13DF"/>
    <w:rsid w:val="00EF2ED9"/>
    <w:rsid w:val="00EF2F84"/>
    <w:rsid w:val="00EF3B58"/>
    <w:rsid w:val="00EF439B"/>
    <w:rsid w:val="00EF46B6"/>
    <w:rsid w:val="00EF6FA8"/>
    <w:rsid w:val="00EF7149"/>
    <w:rsid w:val="00EF75A2"/>
    <w:rsid w:val="00EF7759"/>
    <w:rsid w:val="00F005B2"/>
    <w:rsid w:val="00F013AE"/>
    <w:rsid w:val="00F02A7C"/>
    <w:rsid w:val="00F02D67"/>
    <w:rsid w:val="00F02F7E"/>
    <w:rsid w:val="00F02FB5"/>
    <w:rsid w:val="00F04259"/>
    <w:rsid w:val="00F052F5"/>
    <w:rsid w:val="00F053A6"/>
    <w:rsid w:val="00F056C6"/>
    <w:rsid w:val="00F064EC"/>
    <w:rsid w:val="00F06789"/>
    <w:rsid w:val="00F06ACF"/>
    <w:rsid w:val="00F07349"/>
    <w:rsid w:val="00F07ADC"/>
    <w:rsid w:val="00F100CC"/>
    <w:rsid w:val="00F1017E"/>
    <w:rsid w:val="00F10354"/>
    <w:rsid w:val="00F108C7"/>
    <w:rsid w:val="00F10B87"/>
    <w:rsid w:val="00F10D1E"/>
    <w:rsid w:val="00F11A52"/>
    <w:rsid w:val="00F11CE1"/>
    <w:rsid w:val="00F127E7"/>
    <w:rsid w:val="00F128A2"/>
    <w:rsid w:val="00F132AB"/>
    <w:rsid w:val="00F13522"/>
    <w:rsid w:val="00F1489D"/>
    <w:rsid w:val="00F14966"/>
    <w:rsid w:val="00F15686"/>
    <w:rsid w:val="00F15E20"/>
    <w:rsid w:val="00F15FF5"/>
    <w:rsid w:val="00F1618B"/>
    <w:rsid w:val="00F16567"/>
    <w:rsid w:val="00F16C9E"/>
    <w:rsid w:val="00F1722E"/>
    <w:rsid w:val="00F175F0"/>
    <w:rsid w:val="00F208E4"/>
    <w:rsid w:val="00F20D9C"/>
    <w:rsid w:val="00F22515"/>
    <w:rsid w:val="00F22595"/>
    <w:rsid w:val="00F236DC"/>
    <w:rsid w:val="00F23B8D"/>
    <w:rsid w:val="00F258E9"/>
    <w:rsid w:val="00F26234"/>
    <w:rsid w:val="00F26442"/>
    <w:rsid w:val="00F26D33"/>
    <w:rsid w:val="00F27200"/>
    <w:rsid w:val="00F2767A"/>
    <w:rsid w:val="00F301E0"/>
    <w:rsid w:val="00F301F7"/>
    <w:rsid w:val="00F317FE"/>
    <w:rsid w:val="00F31D4A"/>
    <w:rsid w:val="00F321E0"/>
    <w:rsid w:val="00F32B19"/>
    <w:rsid w:val="00F337D3"/>
    <w:rsid w:val="00F33C6A"/>
    <w:rsid w:val="00F34441"/>
    <w:rsid w:val="00F34520"/>
    <w:rsid w:val="00F3526A"/>
    <w:rsid w:val="00F35C8D"/>
    <w:rsid w:val="00F36367"/>
    <w:rsid w:val="00F3670E"/>
    <w:rsid w:val="00F36908"/>
    <w:rsid w:val="00F4083F"/>
    <w:rsid w:val="00F4137B"/>
    <w:rsid w:val="00F41B95"/>
    <w:rsid w:val="00F434EB"/>
    <w:rsid w:val="00F43B15"/>
    <w:rsid w:val="00F43CAE"/>
    <w:rsid w:val="00F46369"/>
    <w:rsid w:val="00F46BDB"/>
    <w:rsid w:val="00F500EC"/>
    <w:rsid w:val="00F5016E"/>
    <w:rsid w:val="00F50436"/>
    <w:rsid w:val="00F514BC"/>
    <w:rsid w:val="00F51564"/>
    <w:rsid w:val="00F5186E"/>
    <w:rsid w:val="00F51CD3"/>
    <w:rsid w:val="00F52D6E"/>
    <w:rsid w:val="00F5301D"/>
    <w:rsid w:val="00F53992"/>
    <w:rsid w:val="00F5499C"/>
    <w:rsid w:val="00F554C0"/>
    <w:rsid w:val="00F5585D"/>
    <w:rsid w:val="00F560C9"/>
    <w:rsid w:val="00F569C3"/>
    <w:rsid w:val="00F56F01"/>
    <w:rsid w:val="00F5721F"/>
    <w:rsid w:val="00F57ECF"/>
    <w:rsid w:val="00F60479"/>
    <w:rsid w:val="00F60675"/>
    <w:rsid w:val="00F60A01"/>
    <w:rsid w:val="00F60E4C"/>
    <w:rsid w:val="00F61D63"/>
    <w:rsid w:val="00F620F0"/>
    <w:rsid w:val="00F62863"/>
    <w:rsid w:val="00F62FF5"/>
    <w:rsid w:val="00F63078"/>
    <w:rsid w:val="00F6347B"/>
    <w:rsid w:val="00F637C8"/>
    <w:rsid w:val="00F63D13"/>
    <w:rsid w:val="00F652A2"/>
    <w:rsid w:val="00F65D6F"/>
    <w:rsid w:val="00F65DB6"/>
    <w:rsid w:val="00F662E8"/>
    <w:rsid w:val="00F668EC"/>
    <w:rsid w:val="00F66EBD"/>
    <w:rsid w:val="00F708F4"/>
    <w:rsid w:val="00F71B2D"/>
    <w:rsid w:val="00F72160"/>
    <w:rsid w:val="00F72782"/>
    <w:rsid w:val="00F72E4C"/>
    <w:rsid w:val="00F72F83"/>
    <w:rsid w:val="00F7300B"/>
    <w:rsid w:val="00F7310B"/>
    <w:rsid w:val="00F7450B"/>
    <w:rsid w:val="00F7540C"/>
    <w:rsid w:val="00F75D68"/>
    <w:rsid w:val="00F75E5B"/>
    <w:rsid w:val="00F76505"/>
    <w:rsid w:val="00F76DF8"/>
    <w:rsid w:val="00F76E21"/>
    <w:rsid w:val="00F773A9"/>
    <w:rsid w:val="00F800A1"/>
    <w:rsid w:val="00F80619"/>
    <w:rsid w:val="00F819CC"/>
    <w:rsid w:val="00F82FBA"/>
    <w:rsid w:val="00F833F8"/>
    <w:rsid w:val="00F83889"/>
    <w:rsid w:val="00F83A59"/>
    <w:rsid w:val="00F843C5"/>
    <w:rsid w:val="00F8448F"/>
    <w:rsid w:val="00F846BE"/>
    <w:rsid w:val="00F84AFF"/>
    <w:rsid w:val="00F84D54"/>
    <w:rsid w:val="00F84E67"/>
    <w:rsid w:val="00F84E97"/>
    <w:rsid w:val="00F85962"/>
    <w:rsid w:val="00F85E81"/>
    <w:rsid w:val="00F864C7"/>
    <w:rsid w:val="00F866C0"/>
    <w:rsid w:val="00F86877"/>
    <w:rsid w:val="00F86D81"/>
    <w:rsid w:val="00F877DD"/>
    <w:rsid w:val="00F87926"/>
    <w:rsid w:val="00F90478"/>
    <w:rsid w:val="00F9095E"/>
    <w:rsid w:val="00F91BD9"/>
    <w:rsid w:val="00F91C91"/>
    <w:rsid w:val="00F92C3E"/>
    <w:rsid w:val="00F935D9"/>
    <w:rsid w:val="00F93AE9"/>
    <w:rsid w:val="00F94604"/>
    <w:rsid w:val="00F9485C"/>
    <w:rsid w:val="00F94B4F"/>
    <w:rsid w:val="00F9586D"/>
    <w:rsid w:val="00F95CBB"/>
    <w:rsid w:val="00F96061"/>
    <w:rsid w:val="00F96072"/>
    <w:rsid w:val="00F963E8"/>
    <w:rsid w:val="00FA0797"/>
    <w:rsid w:val="00FA08EC"/>
    <w:rsid w:val="00FA08F3"/>
    <w:rsid w:val="00FA138B"/>
    <w:rsid w:val="00FA14BF"/>
    <w:rsid w:val="00FA1666"/>
    <w:rsid w:val="00FA20C4"/>
    <w:rsid w:val="00FA2891"/>
    <w:rsid w:val="00FA3946"/>
    <w:rsid w:val="00FA4292"/>
    <w:rsid w:val="00FA4745"/>
    <w:rsid w:val="00FA53CF"/>
    <w:rsid w:val="00FA5702"/>
    <w:rsid w:val="00FA72D7"/>
    <w:rsid w:val="00FA79B9"/>
    <w:rsid w:val="00FB005D"/>
    <w:rsid w:val="00FB0262"/>
    <w:rsid w:val="00FB0591"/>
    <w:rsid w:val="00FB1962"/>
    <w:rsid w:val="00FB201D"/>
    <w:rsid w:val="00FB22E6"/>
    <w:rsid w:val="00FB283D"/>
    <w:rsid w:val="00FB2B9F"/>
    <w:rsid w:val="00FB2DAD"/>
    <w:rsid w:val="00FB331F"/>
    <w:rsid w:val="00FB35BD"/>
    <w:rsid w:val="00FB3611"/>
    <w:rsid w:val="00FB3816"/>
    <w:rsid w:val="00FB45BE"/>
    <w:rsid w:val="00FB4777"/>
    <w:rsid w:val="00FB4A0C"/>
    <w:rsid w:val="00FB4C6A"/>
    <w:rsid w:val="00FB4F1C"/>
    <w:rsid w:val="00FB5DEB"/>
    <w:rsid w:val="00FB7067"/>
    <w:rsid w:val="00FB74E9"/>
    <w:rsid w:val="00FB74F5"/>
    <w:rsid w:val="00FC024E"/>
    <w:rsid w:val="00FC0653"/>
    <w:rsid w:val="00FC0715"/>
    <w:rsid w:val="00FC0E2C"/>
    <w:rsid w:val="00FC0ED0"/>
    <w:rsid w:val="00FC108B"/>
    <w:rsid w:val="00FC1633"/>
    <w:rsid w:val="00FC1E02"/>
    <w:rsid w:val="00FC1EC2"/>
    <w:rsid w:val="00FC24DF"/>
    <w:rsid w:val="00FC2731"/>
    <w:rsid w:val="00FC33F7"/>
    <w:rsid w:val="00FC3BE7"/>
    <w:rsid w:val="00FC5ED8"/>
    <w:rsid w:val="00FC60E4"/>
    <w:rsid w:val="00FC6770"/>
    <w:rsid w:val="00FC692C"/>
    <w:rsid w:val="00FC7928"/>
    <w:rsid w:val="00FD05AD"/>
    <w:rsid w:val="00FD0CE2"/>
    <w:rsid w:val="00FD12E0"/>
    <w:rsid w:val="00FD20CA"/>
    <w:rsid w:val="00FD541A"/>
    <w:rsid w:val="00FD5B16"/>
    <w:rsid w:val="00FD5D5A"/>
    <w:rsid w:val="00FD5FDB"/>
    <w:rsid w:val="00FD623C"/>
    <w:rsid w:val="00FD62F4"/>
    <w:rsid w:val="00FD6A62"/>
    <w:rsid w:val="00FD78D4"/>
    <w:rsid w:val="00FE01FB"/>
    <w:rsid w:val="00FE0712"/>
    <w:rsid w:val="00FE1030"/>
    <w:rsid w:val="00FE13FE"/>
    <w:rsid w:val="00FE1EF1"/>
    <w:rsid w:val="00FE2312"/>
    <w:rsid w:val="00FE3409"/>
    <w:rsid w:val="00FE3BA3"/>
    <w:rsid w:val="00FE46FA"/>
    <w:rsid w:val="00FE4AC9"/>
    <w:rsid w:val="00FE4FD5"/>
    <w:rsid w:val="00FE5365"/>
    <w:rsid w:val="00FE56EB"/>
    <w:rsid w:val="00FE5F9D"/>
    <w:rsid w:val="00FE67EB"/>
    <w:rsid w:val="00FE719B"/>
    <w:rsid w:val="00FE7596"/>
    <w:rsid w:val="00FF028D"/>
    <w:rsid w:val="00FF033F"/>
    <w:rsid w:val="00FF105C"/>
    <w:rsid w:val="00FF1227"/>
    <w:rsid w:val="00FF20DA"/>
    <w:rsid w:val="00FF2244"/>
    <w:rsid w:val="00FF2EB3"/>
    <w:rsid w:val="00FF327F"/>
    <w:rsid w:val="00FF34F6"/>
    <w:rsid w:val="00FF3649"/>
    <w:rsid w:val="00FF3D9C"/>
    <w:rsid w:val="00FF3F8B"/>
    <w:rsid w:val="00FF4175"/>
    <w:rsid w:val="00FF461D"/>
    <w:rsid w:val="00FF4B84"/>
    <w:rsid w:val="00FF4C0B"/>
    <w:rsid w:val="00FF50EC"/>
    <w:rsid w:val="00FF5185"/>
    <w:rsid w:val="00FF5E1D"/>
    <w:rsid w:val="00FF6BB7"/>
    <w:rsid w:val="00FF6CB1"/>
    <w:rsid w:val="00FF756C"/>
    <w:rsid w:val="00FF758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37E54E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color w:val="000000"/>
        <w:sz w:val="22"/>
        <w:lang w:val="en-US" w:eastAsia="en-US" w:bidi="ar-SA"/>
      </w:rPr>
    </w:rPrDefault>
    <w:pPrDefault>
      <w:pP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3034A"/>
    <w:pPr>
      <w:spacing w:line="480" w:lineRule="auto"/>
    </w:pPr>
  </w:style>
  <w:style w:type="paragraph" w:styleId="Heading1">
    <w:name w:val="heading 1"/>
    <w:basedOn w:val="Normal2"/>
    <w:next w:val="Normal2"/>
    <w:rsid w:val="008C30AA"/>
    <w:pPr>
      <w:keepNext/>
      <w:keepLines/>
      <w:spacing w:before="200" w:after="200"/>
      <w:contextualSpacing/>
      <w:outlineLvl w:val="0"/>
    </w:pPr>
    <w:rPr>
      <w:rFonts w:eastAsia="Roboto Slab" w:cs="Roboto Slab"/>
      <w:sz w:val="32"/>
    </w:rPr>
  </w:style>
  <w:style w:type="paragraph" w:styleId="Heading2">
    <w:name w:val="heading 2"/>
    <w:basedOn w:val="Normal2"/>
    <w:next w:val="Normal2"/>
    <w:link w:val="Heading2Char"/>
    <w:rsid w:val="002A7869"/>
    <w:pPr>
      <w:keepNext/>
      <w:keepLines/>
      <w:spacing w:before="200" w:after="200"/>
      <w:contextualSpacing/>
      <w:outlineLvl w:val="1"/>
    </w:pPr>
    <w:rPr>
      <w:rFonts w:eastAsia="Roboto Slab" w:cs="Roboto Slab"/>
      <w:b/>
      <w:sz w:val="26"/>
    </w:rPr>
  </w:style>
  <w:style w:type="paragraph" w:styleId="Heading3">
    <w:name w:val="heading 3"/>
    <w:basedOn w:val="Normal2"/>
    <w:next w:val="Normal2"/>
    <w:link w:val="Heading3Char"/>
    <w:rsid w:val="002A7869"/>
    <w:pPr>
      <w:keepNext/>
      <w:keepLines/>
      <w:spacing w:before="160"/>
      <w:contextualSpacing/>
      <w:outlineLvl w:val="2"/>
    </w:pPr>
    <w:rPr>
      <w:rFonts w:eastAsia="Roboto Slab" w:cs="Roboto Slab"/>
      <w:i/>
      <w:color w:val="666666"/>
      <w:sz w:val="24"/>
    </w:rPr>
  </w:style>
  <w:style w:type="paragraph" w:styleId="Heading4">
    <w:name w:val="heading 4"/>
    <w:basedOn w:val="Normal2"/>
    <w:next w:val="Normal2"/>
    <w:pPr>
      <w:keepNext/>
      <w:keepLines/>
      <w:spacing w:before="160"/>
      <w:contextualSpacing/>
      <w:outlineLvl w:val="3"/>
    </w:pPr>
    <w:rPr>
      <w:rFonts w:ascii="Trebuchet MS" w:eastAsia="Trebuchet MS" w:hAnsi="Trebuchet MS" w:cs="Trebuchet MS"/>
      <w:color w:val="666666"/>
      <w:u w:val="single"/>
    </w:rPr>
  </w:style>
  <w:style w:type="paragraph" w:styleId="Heading5">
    <w:name w:val="heading 5"/>
    <w:basedOn w:val="Normal2"/>
    <w:next w:val="Normal2"/>
    <w:pPr>
      <w:keepNext/>
      <w:keepLines/>
      <w:spacing w:before="160"/>
      <w:contextualSpacing/>
      <w:outlineLvl w:val="4"/>
    </w:pPr>
    <w:rPr>
      <w:rFonts w:ascii="Trebuchet MS" w:eastAsia="Trebuchet MS" w:hAnsi="Trebuchet MS" w:cs="Trebuchet MS"/>
      <w:color w:val="666666"/>
    </w:rPr>
  </w:style>
  <w:style w:type="paragraph" w:styleId="Heading6">
    <w:name w:val="heading 6"/>
    <w:basedOn w:val="Normal2"/>
    <w:next w:val="Normal2"/>
    <w:pPr>
      <w:keepNext/>
      <w:keepLines/>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2">
    <w:name w:val="Normal2"/>
    <w:rsid w:val="0063034A"/>
    <w:pPr>
      <w:spacing w:line="480" w:lineRule="auto"/>
    </w:pPr>
  </w:style>
  <w:style w:type="paragraph" w:styleId="Title">
    <w:name w:val="Title"/>
    <w:basedOn w:val="Normal2"/>
    <w:next w:val="Normal2"/>
    <w:pPr>
      <w:keepNext/>
      <w:keepLines/>
      <w:contextualSpacing/>
    </w:pPr>
    <w:rPr>
      <w:rFonts w:ascii="Roboto Slab" w:eastAsia="Roboto Slab" w:hAnsi="Roboto Slab" w:cs="Roboto Slab"/>
      <w:sz w:val="42"/>
    </w:rPr>
  </w:style>
  <w:style w:type="paragraph" w:styleId="Subtitle">
    <w:name w:val="Subtitle"/>
    <w:basedOn w:val="Normal2"/>
    <w:next w:val="Normal2"/>
    <w:pPr>
      <w:keepNext/>
      <w:keepLines/>
      <w:spacing w:after="200"/>
      <w:contextualSpacing/>
    </w:pPr>
    <w:rPr>
      <w:i/>
      <w:color w:val="666666"/>
      <w:sz w:val="26"/>
    </w:rPr>
  </w:style>
  <w:style w:type="paragraph" w:styleId="CommentText">
    <w:name w:val="annotation text"/>
    <w:basedOn w:val="Normal"/>
    <w:link w:val="CommentTextChar"/>
    <w:uiPriority w:val="99"/>
    <w:semiHidden/>
    <w:unhideWhenUsed/>
    <w:pPr>
      <w:spacing w:line="240" w:lineRule="auto"/>
    </w:pPr>
    <w:rPr>
      <w:sz w:val="24"/>
      <w:szCs w:val="24"/>
    </w:rPr>
  </w:style>
  <w:style w:type="character" w:customStyle="1" w:styleId="CommentTextChar">
    <w:name w:val="Comment Text Char"/>
    <w:basedOn w:val="DefaultParagraphFont"/>
    <w:link w:val="CommentText"/>
    <w:uiPriority w:val="99"/>
    <w:semiHidden/>
    <w:rPr>
      <w:sz w:val="24"/>
      <w:szCs w:val="24"/>
    </w:rPr>
  </w:style>
  <w:style w:type="character" w:styleId="CommentReference">
    <w:name w:val="annotation reference"/>
    <w:basedOn w:val="DefaultParagraphFont"/>
    <w:uiPriority w:val="99"/>
    <w:semiHidden/>
    <w:unhideWhenUsed/>
    <w:rPr>
      <w:sz w:val="18"/>
      <w:szCs w:val="18"/>
    </w:rPr>
  </w:style>
  <w:style w:type="paragraph" w:styleId="BalloonText">
    <w:name w:val="Balloon Text"/>
    <w:basedOn w:val="Normal"/>
    <w:link w:val="BalloonTextChar"/>
    <w:uiPriority w:val="99"/>
    <w:semiHidden/>
    <w:unhideWhenUsed/>
    <w:rsid w:val="00DC000C"/>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DC000C"/>
    <w:rPr>
      <w:rFonts w:ascii="Lucida Grande" w:hAnsi="Lucida Grande" w:cs="Lucida Grande"/>
      <w:sz w:val="18"/>
      <w:szCs w:val="18"/>
    </w:rPr>
  </w:style>
  <w:style w:type="character" w:styleId="Hyperlink">
    <w:name w:val="Hyperlink"/>
    <w:basedOn w:val="DefaultParagraphFont"/>
    <w:uiPriority w:val="99"/>
    <w:unhideWhenUsed/>
    <w:rsid w:val="003E3273"/>
    <w:rPr>
      <w:color w:val="0000FF" w:themeColor="hyperlink"/>
      <w:u w:val="single"/>
    </w:rPr>
  </w:style>
  <w:style w:type="character" w:styleId="HTMLCode">
    <w:name w:val="HTML Code"/>
    <w:basedOn w:val="DefaultParagraphFont"/>
    <w:uiPriority w:val="99"/>
    <w:unhideWhenUsed/>
    <w:rsid w:val="007F4484"/>
    <w:rPr>
      <w:rFonts w:ascii="Consolas" w:hAnsi="Consolas"/>
      <w:i w:val="0"/>
      <w:color w:val="auto"/>
      <w:sz w:val="20"/>
      <w:szCs w:val="20"/>
    </w:rPr>
  </w:style>
  <w:style w:type="paragraph" w:styleId="NormalWeb">
    <w:name w:val="Normal (Web)"/>
    <w:basedOn w:val="Normal"/>
    <w:uiPriority w:val="99"/>
    <w:unhideWhenUsed/>
    <w:rsid w:val="0063034A"/>
    <w:rPr>
      <w:rFonts w:ascii="Times" w:eastAsiaTheme="minorEastAsia" w:hAnsi="Times" w:cs="Times New Roman"/>
      <w:color w:val="auto"/>
      <w:sz w:val="20"/>
    </w:rPr>
  </w:style>
  <w:style w:type="table" w:styleId="TableGrid">
    <w:name w:val="Table Grid"/>
    <w:basedOn w:val="TableNormal"/>
    <w:uiPriority w:val="59"/>
    <w:rsid w:val="00C211BA"/>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5F4988"/>
    <w:pPr>
      <w:spacing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CommentSubject">
    <w:name w:val="annotation subject"/>
    <w:basedOn w:val="CommentText"/>
    <w:next w:val="CommentText"/>
    <w:link w:val="CommentSubjectChar"/>
    <w:uiPriority w:val="99"/>
    <w:semiHidden/>
    <w:unhideWhenUsed/>
    <w:rsid w:val="007E6184"/>
    <w:rPr>
      <w:b/>
      <w:bCs/>
      <w:sz w:val="20"/>
      <w:szCs w:val="20"/>
    </w:rPr>
  </w:style>
  <w:style w:type="character" w:customStyle="1" w:styleId="CommentSubjectChar">
    <w:name w:val="Comment Subject Char"/>
    <w:basedOn w:val="CommentTextChar"/>
    <w:link w:val="CommentSubject"/>
    <w:uiPriority w:val="99"/>
    <w:semiHidden/>
    <w:rsid w:val="007E6184"/>
    <w:rPr>
      <w:b/>
      <w:bCs/>
      <w:sz w:val="20"/>
      <w:szCs w:val="24"/>
    </w:rPr>
  </w:style>
  <w:style w:type="paragraph" w:styleId="FootnoteText">
    <w:name w:val="footnote text"/>
    <w:basedOn w:val="Normal"/>
    <w:link w:val="FootnoteTextChar"/>
    <w:uiPriority w:val="99"/>
    <w:unhideWhenUsed/>
    <w:rsid w:val="001819C3"/>
    <w:pPr>
      <w:spacing w:line="240" w:lineRule="auto"/>
    </w:pPr>
    <w:rPr>
      <w:sz w:val="24"/>
      <w:szCs w:val="24"/>
    </w:rPr>
  </w:style>
  <w:style w:type="character" w:customStyle="1" w:styleId="FootnoteTextChar">
    <w:name w:val="Footnote Text Char"/>
    <w:basedOn w:val="DefaultParagraphFont"/>
    <w:link w:val="FootnoteText"/>
    <w:uiPriority w:val="99"/>
    <w:rsid w:val="001819C3"/>
    <w:rPr>
      <w:sz w:val="24"/>
      <w:szCs w:val="24"/>
    </w:rPr>
  </w:style>
  <w:style w:type="character" w:styleId="FootnoteReference">
    <w:name w:val="footnote reference"/>
    <w:basedOn w:val="DefaultParagraphFont"/>
    <w:uiPriority w:val="99"/>
    <w:unhideWhenUsed/>
    <w:rsid w:val="001819C3"/>
    <w:rPr>
      <w:vertAlign w:val="superscript"/>
    </w:rPr>
  </w:style>
  <w:style w:type="paragraph" w:styleId="Revision">
    <w:name w:val="Revision"/>
    <w:hidden/>
    <w:uiPriority w:val="99"/>
    <w:semiHidden/>
    <w:rsid w:val="005D1D31"/>
    <w:pPr>
      <w:spacing w:line="240" w:lineRule="auto"/>
    </w:pPr>
  </w:style>
  <w:style w:type="paragraph" w:customStyle="1" w:styleId="Normal1">
    <w:name w:val="Normal1"/>
    <w:rsid w:val="0063034A"/>
    <w:pPr>
      <w:spacing w:line="480" w:lineRule="auto"/>
    </w:pPr>
  </w:style>
  <w:style w:type="character" w:styleId="Emphasis">
    <w:name w:val="Emphasis"/>
    <w:basedOn w:val="DefaultParagraphFont"/>
    <w:uiPriority w:val="20"/>
    <w:qFormat/>
    <w:rsid w:val="003A26CD"/>
    <w:rPr>
      <w:i/>
      <w:iCs/>
    </w:rPr>
  </w:style>
  <w:style w:type="character" w:customStyle="1" w:styleId="Heading2Char">
    <w:name w:val="Heading 2 Char"/>
    <w:basedOn w:val="DefaultParagraphFont"/>
    <w:link w:val="Heading2"/>
    <w:rsid w:val="00C71004"/>
    <w:rPr>
      <w:rFonts w:eastAsia="Roboto Slab" w:cs="Roboto Slab"/>
      <w:b/>
      <w:sz w:val="26"/>
    </w:rPr>
  </w:style>
  <w:style w:type="character" w:customStyle="1" w:styleId="Heading3Char">
    <w:name w:val="Heading 3 Char"/>
    <w:basedOn w:val="DefaultParagraphFont"/>
    <w:link w:val="Heading3"/>
    <w:rsid w:val="00C71004"/>
    <w:rPr>
      <w:rFonts w:eastAsia="Roboto Slab" w:cs="Roboto Slab"/>
      <w:i/>
      <w:color w:val="666666"/>
      <w:sz w:val="24"/>
    </w:rPr>
  </w:style>
  <w:style w:type="paragraph" w:styleId="Header">
    <w:name w:val="header"/>
    <w:basedOn w:val="Normal"/>
    <w:link w:val="HeaderChar"/>
    <w:uiPriority w:val="99"/>
    <w:unhideWhenUsed/>
    <w:rsid w:val="00192861"/>
    <w:pPr>
      <w:tabs>
        <w:tab w:val="center" w:pos="4320"/>
        <w:tab w:val="right" w:pos="8640"/>
      </w:tabs>
      <w:spacing w:line="240" w:lineRule="auto"/>
    </w:pPr>
  </w:style>
  <w:style w:type="character" w:customStyle="1" w:styleId="HeaderChar">
    <w:name w:val="Header Char"/>
    <w:basedOn w:val="DefaultParagraphFont"/>
    <w:link w:val="Header"/>
    <w:uiPriority w:val="99"/>
    <w:rsid w:val="00192861"/>
  </w:style>
  <w:style w:type="paragraph" w:styleId="Footer">
    <w:name w:val="footer"/>
    <w:basedOn w:val="Normal"/>
    <w:link w:val="FooterChar"/>
    <w:uiPriority w:val="99"/>
    <w:unhideWhenUsed/>
    <w:rsid w:val="00192861"/>
    <w:pPr>
      <w:tabs>
        <w:tab w:val="center" w:pos="4320"/>
        <w:tab w:val="right" w:pos="8640"/>
      </w:tabs>
      <w:spacing w:line="240" w:lineRule="auto"/>
    </w:pPr>
  </w:style>
  <w:style w:type="character" w:customStyle="1" w:styleId="FooterChar">
    <w:name w:val="Footer Char"/>
    <w:basedOn w:val="DefaultParagraphFont"/>
    <w:link w:val="Footer"/>
    <w:uiPriority w:val="99"/>
    <w:rsid w:val="00192861"/>
  </w:style>
  <w:style w:type="paragraph" w:styleId="ListParagraph">
    <w:name w:val="List Paragraph"/>
    <w:basedOn w:val="Normal"/>
    <w:uiPriority w:val="34"/>
    <w:qFormat/>
    <w:rsid w:val="001C2FCF"/>
    <w:pPr>
      <w:ind w:left="720"/>
      <w:contextualSpacing/>
    </w:pPr>
  </w:style>
  <w:style w:type="character" w:styleId="LineNumber">
    <w:name w:val="line number"/>
    <w:basedOn w:val="DefaultParagraphFont"/>
    <w:uiPriority w:val="99"/>
    <w:semiHidden/>
    <w:unhideWhenUsed/>
    <w:rsid w:val="000F333D"/>
  </w:style>
  <w:style w:type="paragraph" w:customStyle="1" w:styleId="Normal3">
    <w:name w:val="Normal3"/>
    <w:rsid w:val="000F05A9"/>
  </w:style>
  <w:style w:type="character" w:styleId="EndnoteReference">
    <w:name w:val="endnote reference"/>
    <w:basedOn w:val="DefaultParagraphFont"/>
    <w:uiPriority w:val="99"/>
    <w:semiHidden/>
    <w:unhideWhenUsed/>
    <w:rsid w:val="00EC7676"/>
    <w:rPr>
      <w:vertAlign w:val="superscript"/>
    </w:rPr>
  </w:style>
  <w:style w:type="character" w:styleId="Strong">
    <w:name w:val="Strong"/>
    <w:basedOn w:val="DefaultParagraphFont"/>
    <w:uiPriority w:val="22"/>
    <w:qFormat/>
    <w:rsid w:val="00B97D91"/>
    <w:rPr>
      <w:b/>
      <w:bCs/>
    </w:rPr>
  </w:style>
  <w:style w:type="paragraph" w:customStyle="1" w:styleId="Normal30">
    <w:name w:val="Normal3"/>
    <w:rsid w:val="009C0198"/>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color w:val="000000"/>
        <w:sz w:val="22"/>
        <w:lang w:val="en-US" w:eastAsia="en-US" w:bidi="ar-SA"/>
      </w:rPr>
    </w:rPrDefault>
    <w:pPrDefault>
      <w:pP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3034A"/>
    <w:pPr>
      <w:spacing w:line="480" w:lineRule="auto"/>
    </w:pPr>
  </w:style>
  <w:style w:type="paragraph" w:styleId="Heading1">
    <w:name w:val="heading 1"/>
    <w:basedOn w:val="Normal2"/>
    <w:next w:val="Normal2"/>
    <w:rsid w:val="008C30AA"/>
    <w:pPr>
      <w:keepNext/>
      <w:keepLines/>
      <w:spacing w:before="200" w:after="200"/>
      <w:contextualSpacing/>
      <w:outlineLvl w:val="0"/>
    </w:pPr>
    <w:rPr>
      <w:rFonts w:eastAsia="Roboto Slab" w:cs="Roboto Slab"/>
      <w:sz w:val="32"/>
    </w:rPr>
  </w:style>
  <w:style w:type="paragraph" w:styleId="Heading2">
    <w:name w:val="heading 2"/>
    <w:basedOn w:val="Normal2"/>
    <w:next w:val="Normal2"/>
    <w:link w:val="Heading2Char"/>
    <w:rsid w:val="002A7869"/>
    <w:pPr>
      <w:keepNext/>
      <w:keepLines/>
      <w:spacing w:before="200" w:after="200"/>
      <w:contextualSpacing/>
      <w:outlineLvl w:val="1"/>
    </w:pPr>
    <w:rPr>
      <w:rFonts w:eastAsia="Roboto Slab" w:cs="Roboto Slab"/>
      <w:b/>
      <w:sz w:val="26"/>
    </w:rPr>
  </w:style>
  <w:style w:type="paragraph" w:styleId="Heading3">
    <w:name w:val="heading 3"/>
    <w:basedOn w:val="Normal2"/>
    <w:next w:val="Normal2"/>
    <w:link w:val="Heading3Char"/>
    <w:rsid w:val="002A7869"/>
    <w:pPr>
      <w:keepNext/>
      <w:keepLines/>
      <w:spacing w:before="160"/>
      <w:contextualSpacing/>
      <w:outlineLvl w:val="2"/>
    </w:pPr>
    <w:rPr>
      <w:rFonts w:eastAsia="Roboto Slab" w:cs="Roboto Slab"/>
      <w:i/>
      <w:color w:val="666666"/>
      <w:sz w:val="24"/>
    </w:rPr>
  </w:style>
  <w:style w:type="paragraph" w:styleId="Heading4">
    <w:name w:val="heading 4"/>
    <w:basedOn w:val="Normal2"/>
    <w:next w:val="Normal2"/>
    <w:pPr>
      <w:keepNext/>
      <w:keepLines/>
      <w:spacing w:before="160"/>
      <w:contextualSpacing/>
      <w:outlineLvl w:val="3"/>
    </w:pPr>
    <w:rPr>
      <w:rFonts w:ascii="Trebuchet MS" w:eastAsia="Trebuchet MS" w:hAnsi="Trebuchet MS" w:cs="Trebuchet MS"/>
      <w:color w:val="666666"/>
      <w:u w:val="single"/>
    </w:rPr>
  </w:style>
  <w:style w:type="paragraph" w:styleId="Heading5">
    <w:name w:val="heading 5"/>
    <w:basedOn w:val="Normal2"/>
    <w:next w:val="Normal2"/>
    <w:pPr>
      <w:keepNext/>
      <w:keepLines/>
      <w:spacing w:before="160"/>
      <w:contextualSpacing/>
      <w:outlineLvl w:val="4"/>
    </w:pPr>
    <w:rPr>
      <w:rFonts w:ascii="Trebuchet MS" w:eastAsia="Trebuchet MS" w:hAnsi="Trebuchet MS" w:cs="Trebuchet MS"/>
      <w:color w:val="666666"/>
    </w:rPr>
  </w:style>
  <w:style w:type="paragraph" w:styleId="Heading6">
    <w:name w:val="heading 6"/>
    <w:basedOn w:val="Normal2"/>
    <w:next w:val="Normal2"/>
    <w:pPr>
      <w:keepNext/>
      <w:keepLines/>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2">
    <w:name w:val="Normal2"/>
    <w:rsid w:val="0063034A"/>
    <w:pPr>
      <w:spacing w:line="480" w:lineRule="auto"/>
    </w:pPr>
  </w:style>
  <w:style w:type="paragraph" w:styleId="Title">
    <w:name w:val="Title"/>
    <w:basedOn w:val="Normal2"/>
    <w:next w:val="Normal2"/>
    <w:pPr>
      <w:keepNext/>
      <w:keepLines/>
      <w:contextualSpacing/>
    </w:pPr>
    <w:rPr>
      <w:rFonts w:ascii="Roboto Slab" w:eastAsia="Roboto Slab" w:hAnsi="Roboto Slab" w:cs="Roboto Slab"/>
      <w:sz w:val="42"/>
    </w:rPr>
  </w:style>
  <w:style w:type="paragraph" w:styleId="Subtitle">
    <w:name w:val="Subtitle"/>
    <w:basedOn w:val="Normal2"/>
    <w:next w:val="Normal2"/>
    <w:pPr>
      <w:keepNext/>
      <w:keepLines/>
      <w:spacing w:after="200"/>
      <w:contextualSpacing/>
    </w:pPr>
    <w:rPr>
      <w:i/>
      <w:color w:val="666666"/>
      <w:sz w:val="26"/>
    </w:rPr>
  </w:style>
  <w:style w:type="paragraph" w:styleId="CommentText">
    <w:name w:val="annotation text"/>
    <w:basedOn w:val="Normal"/>
    <w:link w:val="CommentTextChar"/>
    <w:uiPriority w:val="99"/>
    <w:semiHidden/>
    <w:unhideWhenUsed/>
    <w:pPr>
      <w:spacing w:line="240" w:lineRule="auto"/>
    </w:pPr>
    <w:rPr>
      <w:sz w:val="24"/>
      <w:szCs w:val="24"/>
    </w:rPr>
  </w:style>
  <w:style w:type="character" w:customStyle="1" w:styleId="CommentTextChar">
    <w:name w:val="Comment Text Char"/>
    <w:basedOn w:val="DefaultParagraphFont"/>
    <w:link w:val="CommentText"/>
    <w:uiPriority w:val="99"/>
    <w:semiHidden/>
    <w:rPr>
      <w:sz w:val="24"/>
      <w:szCs w:val="24"/>
    </w:rPr>
  </w:style>
  <w:style w:type="character" w:styleId="CommentReference">
    <w:name w:val="annotation reference"/>
    <w:basedOn w:val="DefaultParagraphFont"/>
    <w:uiPriority w:val="99"/>
    <w:semiHidden/>
    <w:unhideWhenUsed/>
    <w:rPr>
      <w:sz w:val="18"/>
      <w:szCs w:val="18"/>
    </w:rPr>
  </w:style>
  <w:style w:type="paragraph" w:styleId="BalloonText">
    <w:name w:val="Balloon Text"/>
    <w:basedOn w:val="Normal"/>
    <w:link w:val="BalloonTextChar"/>
    <w:uiPriority w:val="99"/>
    <w:semiHidden/>
    <w:unhideWhenUsed/>
    <w:rsid w:val="00DC000C"/>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DC000C"/>
    <w:rPr>
      <w:rFonts w:ascii="Lucida Grande" w:hAnsi="Lucida Grande" w:cs="Lucida Grande"/>
      <w:sz w:val="18"/>
      <w:szCs w:val="18"/>
    </w:rPr>
  </w:style>
  <w:style w:type="character" w:styleId="Hyperlink">
    <w:name w:val="Hyperlink"/>
    <w:basedOn w:val="DefaultParagraphFont"/>
    <w:uiPriority w:val="99"/>
    <w:unhideWhenUsed/>
    <w:rsid w:val="003E3273"/>
    <w:rPr>
      <w:color w:val="0000FF" w:themeColor="hyperlink"/>
      <w:u w:val="single"/>
    </w:rPr>
  </w:style>
  <w:style w:type="character" w:styleId="HTMLCode">
    <w:name w:val="HTML Code"/>
    <w:basedOn w:val="DefaultParagraphFont"/>
    <w:uiPriority w:val="99"/>
    <w:unhideWhenUsed/>
    <w:rsid w:val="007F4484"/>
    <w:rPr>
      <w:rFonts w:ascii="Consolas" w:hAnsi="Consolas"/>
      <w:i w:val="0"/>
      <w:color w:val="auto"/>
      <w:sz w:val="20"/>
      <w:szCs w:val="20"/>
    </w:rPr>
  </w:style>
  <w:style w:type="paragraph" w:styleId="NormalWeb">
    <w:name w:val="Normal (Web)"/>
    <w:basedOn w:val="Normal"/>
    <w:uiPriority w:val="99"/>
    <w:unhideWhenUsed/>
    <w:rsid w:val="0063034A"/>
    <w:rPr>
      <w:rFonts w:ascii="Times" w:eastAsiaTheme="minorEastAsia" w:hAnsi="Times" w:cs="Times New Roman"/>
      <w:color w:val="auto"/>
      <w:sz w:val="20"/>
    </w:rPr>
  </w:style>
  <w:style w:type="table" w:styleId="TableGrid">
    <w:name w:val="Table Grid"/>
    <w:basedOn w:val="TableNormal"/>
    <w:uiPriority w:val="59"/>
    <w:rsid w:val="00C211BA"/>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5F4988"/>
    <w:pPr>
      <w:spacing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CommentSubject">
    <w:name w:val="annotation subject"/>
    <w:basedOn w:val="CommentText"/>
    <w:next w:val="CommentText"/>
    <w:link w:val="CommentSubjectChar"/>
    <w:uiPriority w:val="99"/>
    <w:semiHidden/>
    <w:unhideWhenUsed/>
    <w:rsid w:val="007E6184"/>
    <w:rPr>
      <w:b/>
      <w:bCs/>
      <w:sz w:val="20"/>
      <w:szCs w:val="20"/>
    </w:rPr>
  </w:style>
  <w:style w:type="character" w:customStyle="1" w:styleId="CommentSubjectChar">
    <w:name w:val="Comment Subject Char"/>
    <w:basedOn w:val="CommentTextChar"/>
    <w:link w:val="CommentSubject"/>
    <w:uiPriority w:val="99"/>
    <w:semiHidden/>
    <w:rsid w:val="007E6184"/>
    <w:rPr>
      <w:b/>
      <w:bCs/>
      <w:sz w:val="20"/>
      <w:szCs w:val="24"/>
    </w:rPr>
  </w:style>
  <w:style w:type="paragraph" w:styleId="FootnoteText">
    <w:name w:val="footnote text"/>
    <w:basedOn w:val="Normal"/>
    <w:link w:val="FootnoteTextChar"/>
    <w:uiPriority w:val="99"/>
    <w:unhideWhenUsed/>
    <w:rsid w:val="001819C3"/>
    <w:pPr>
      <w:spacing w:line="240" w:lineRule="auto"/>
    </w:pPr>
    <w:rPr>
      <w:sz w:val="24"/>
      <w:szCs w:val="24"/>
    </w:rPr>
  </w:style>
  <w:style w:type="character" w:customStyle="1" w:styleId="FootnoteTextChar">
    <w:name w:val="Footnote Text Char"/>
    <w:basedOn w:val="DefaultParagraphFont"/>
    <w:link w:val="FootnoteText"/>
    <w:uiPriority w:val="99"/>
    <w:rsid w:val="001819C3"/>
    <w:rPr>
      <w:sz w:val="24"/>
      <w:szCs w:val="24"/>
    </w:rPr>
  </w:style>
  <w:style w:type="character" w:styleId="FootnoteReference">
    <w:name w:val="footnote reference"/>
    <w:basedOn w:val="DefaultParagraphFont"/>
    <w:uiPriority w:val="99"/>
    <w:unhideWhenUsed/>
    <w:rsid w:val="001819C3"/>
    <w:rPr>
      <w:vertAlign w:val="superscript"/>
    </w:rPr>
  </w:style>
  <w:style w:type="paragraph" w:styleId="Revision">
    <w:name w:val="Revision"/>
    <w:hidden/>
    <w:uiPriority w:val="99"/>
    <w:semiHidden/>
    <w:rsid w:val="005D1D31"/>
    <w:pPr>
      <w:spacing w:line="240" w:lineRule="auto"/>
    </w:pPr>
  </w:style>
  <w:style w:type="paragraph" w:customStyle="1" w:styleId="Normal1">
    <w:name w:val="Normal1"/>
    <w:rsid w:val="0063034A"/>
    <w:pPr>
      <w:spacing w:line="480" w:lineRule="auto"/>
    </w:pPr>
  </w:style>
  <w:style w:type="character" w:styleId="Emphasis">
    <w:name w:val="Emphasis"/>
    <w:basedOn w:val="DefaultParagraphFont"/>
    <w:uiPriority w:val="20"/>
    <w:qFormat/>
    <w:rsid w:val="003A26CD"/>
    <w:rPr>
      <w:i/>
      <w:iCs/>
    </w:rPr>
  </w:style>
  <w:style w:type="character" w:customStyle="1" w:styleId="Heading2Char">
    <w:name w:val="Heading 2 Char"/>
    <w:basedOn w:val="DefaultParagraphFont"/>
    <w:link w:val="Heading2"/>
    <w:rsid w:val="00C71004"/>
    <w:rPr>
      <w:rFonts w:eastAsia="Roboto Slab" w:cs="Roboto Slab"/>
      <w:b/>
      <w:sz w:val="26"/>
    </w:rPr>
  </w:style>
  <w:style w:type="character" w:customStyle="1" w:styleId="Heading3Char">
    <w:name w:val="Heading 3 Char"/>
    <w:basedOn w:val="DefaultParagraphFont"/>
    <w:link w:val="Heading3"/>
    <w:rsid w:val="00C71004"/>
    <w:rPr>
      <w:rFonts w:eastAsia="Roboto Slab" w:cs="Roboto Slab"/>
      <w:i/>
      <w:color w:val="666666"/>
      <w:sz w:val="24"/>
    </w:rPr>
  </w:style>
  <w:style w:type="paragraph" w:styleId="Header">
    <w:name w:val="header"/>
    <w:basedOn w:val="Normal"/>
    <w:link w:val="HeaderChar"/>
    <w:uiPriority w:val="99"/>
    <w:unhideWhenUsed/>
    <w:rsid w:val="00192861"/>
    <w:pPr>
      <w:tabs>
        <w:tab w:val="center" w:pos="4320"/>
        <w:tab w:val="right" w:pos="8640"/>
      </w:tabs>
      <w:spacing w:line="240" w:lineRule="auto"/>
    </w:pPr>
  </w:style>
  <w:style w:type="character" w:customStyle="1" w:styleId="HeaderChar">
    <w:name w:val="Header Char"/>
    <w:basedOn w:val="DefaultParagraphFont"/>
    <w:link w:val="Header"/>
    <w:uiPriority w:val="99"/>
    <w:rsid w:val="00192861"/>
  </w:style>
  <w:style w:type="paragraph" w:styleId="Footer">
    <w:name w:val="footer"/>
    <w:basedOn w:val="Normal"/>
    <w:link w:val="FooterChar"/>
    <w:uiPriority w:val="99"/>
    <w:unhideWhenUsed/>
    <w:rsid w:val="00192861"/>
    <w:pPr>
      <w:tabs>
        <w:tab w:val="center" w:pos="4320"/>
        <w:tab w:val="right" w:pos="8640"/>
      </w:tabs>
      <w:spacing w:line="240" w:lineRule="auto"/>
    </w:pPr>
  </w:style>
  <w:style w:type="character" w:customStyle="1" w:styleId="FooterChar">
    <w:name w:val="Footer Char"/>
    <w:basedOn w:val="DefaultParagraphFont"/>
    <w:link w:val="Footer"/>
    <w:uiPriority w:val="99"/>
    <w:rsid w:val="00192861"/>
  </w:style>
  <w:style w:type="paragraph" w:styleId="ListParagraph">
    <w:name w:val="List Paragraph"/>
    <w:basedOn w:val="Normal"/>
    <w:uiPriority w:val="34"/>
    <w:qFormat/>
    <w:rsid w:val="001C2FCF"/>
    <w:pPr>
      <w:ind w:left="720"/>
      <w:contextualSpacing/>
    </w:pPr>
  </w:style>
  <w:style w:type="character" w:styleId="LineNumber">
    <w:name w:val="line number"/>
    <w:basedOn w:val="DefaultParagraphFont"/>
    <w:uiPriority w:val="99"/>
    <w:semiHidden/>
    <w:unhideWhenUsed/>
    <w:rsid w:val="000F333D"/>
  </w:style>
  <w:style w:type="paragraph" w:customStyle="1" w:styleId="Normal3">
    <w:name w:val="Normal3"/>
    <w:rsid w:val="000F05A9"/>
  </w:style>
  <w:style w:type="character" w:styleId="EndnoteReference">
    <w:name w:val="endnote reference"/>
    <w:basedOn w:val="DefaultParagraphFont"/>
    <w:uiPriority w:val="99"/>
    <w:semiHidden/>
    <w:unhideWhenUsed/>
    <w:rsid w:val="00EC7676"/>
    <w:rPr>
      <w:vertAlign w:val="superscript"/>
    </w:rPr>
  </w:style>
  <w:style w:type="character" w:styleId="Strong">
    <w:name w:val="Strong"/>
    <w:basedOn w:val="DefaultParagraphFont"/>
    <w:uiPriority w:val="22"/>
    <w:qFormat/>
    <w:rsid w:val="00B97D91"/>
    <w:rPr>
      <w:b/>
      <w:bCs/>
    </w:rPr>
  </w:style>
  <w:style w:type="paragraph" w:customStyle="1" w:styleId="Normal30">
    <w:name w:val="Normal3"/>
    <w:rsid w:val="009C019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8565261">
      <w:bodyDiv w:val="1"/>
      <w:marLeft w:val="0"/>
      <w:marRight w:val="0"/>
      <w:marTop w:val="0"/>
      <w:marBottom w:val="0"/>
      <w:divBdr>
        <w:top w:val="none" w:sz="0" w:space="0" w:color="auto"/>
        <w:left w:val="none" w:sz="0" w:space="0" w:color="auto"/>
        <w:bottom w:val="none" w:sz="0" w:space="0" w:color="auto"/>
        <w:right w:val="none" w:sz="0" w:space="0" w:color="auto"/>
      </w:divBdr>
    </w:div>
    <w:div w:id="219487541">
      <w:bodyDiv w:val="1"/>
      <w:marLeft w:val="0"/>
      <w:marRight w:val="0"/>
      <w:marTop w:val="0"/>
      <w:marBottom w:val="0"/>
      <w:divBdr>
        <w:top w:val="none" w:sz="0" w:space="0" w:color="auto"/>
        <w:left w:val="none" w:sz="0" w:space="0" w:color="auto"/>
        <w:bottom w:val="none" w:sz="0" w:space="0" w:color="auto"/>
        <w:right w:val="none" w:sz="0" w:space="0" w:color="auto"/>
      </w:divBdr>
    </w:div>
    <w:div w:id="321276723">
      <w:bodyDiv w:val="1"/>
      <w:marLeft w:val="0"/>
      <w:marRight w:val="0"/>
      <w:marTop w:val="0"/>
      <w:marBottom w:val="0"/>
      <w:divBdr>
        <w:top w:val="none" w:sz="0" w:space="0" w:color="auto"/>
        <w:left w:val="none" w:sz="0" w:space="0" w:color="auto"/>
        <w:bottom w:val="none" w:sz="0" w:space="0" w:color="auto"/>
        <w:right w:val="none" w:sz="0" w:space="0" w:color="auto"/>
      </w:divBdr>
    </w:div>
    <w:div w:id="348145341">
      <w:bodyDiv w:val="1"/>
      <w:marLeft w:val="0"/>
      <w:marRight w:val="0"/>
      <w:marTop w:val="0"/>
      <w:marBottom w:val="0"/>
      <w:divBdr>
        <w:top w:val="none" w:sz="0" w:space="0" w:color="auto"/>
        <w:left w:val="none" w:sz="0" w:space="0" w:color="auto"/>
        <w:bottom w:val="none" w:sz="0" w:space="0" w:color="auto"/>
        <w:right w:val="none" w:sz="0" w:space="0" w:color="auto"/>
      </w:divBdr>
    </w:div>
    <w:div w:id="426662341">
      <w:bodyDiv w:val="1"/>
      <w:marLeft w:val="0"/>
      <w:marRight w:val="0"/>
      <w:marTop w:val="0"/>
      <w:marBottom w:val="0"/>
      <w:divBdr>
        <w:top w:val="none" w:sz="0" w:space="0" w:color="auto"/>
        <w:left w:val="none" w:sz="0" w:space="0" w:color="auto"/>
        <w:bottom w:val="none" w:sz="0" w:space="0" w:color="auto"/>
        <w:right w:val="none" w:sz="0" w:space="0" w:color="auto"/>
      </w:divBdr>
    </w:div>
    <w:div w:id="454642662">
      <w:bodyDiv w:val="1"/>
      <w:marLeft w:val="0"/>
      <w:marRight w:val="0"/>
      <w:marTop w:val="0"/>
      <w:marBottom w:val="0"/>
      <w:divBdr>
        <w:top w:val="none" w:sz="0" w:space="0" w:color="auto"/>
        <w:left w:val="none" w:sz="0" w:space="0" w:color="auto"/>
        <w:bottom w:val="none" w:sz="0" w:space="0" w:color="auto"/>
        <w:right w:val="none" w:sz="0" w:space="0" w:color="auto"/>
      </w:divBdr>
    </w:div>
    <w:div w:id="488329121">
      <w:bodyDiv w:val="1"/>
      <w:marLeft w:val="0"/>
      <w:marRight w:val="0"/>
      <w:marTop w:val="0"/>
      <w:marBottom w:val="0"/>
      <w:divBdr>
        <w:top w:val="none" w:sz="0" w:space="0" w:color="auto"/>
        <w:left w:val="none" w:sz="0" w:space="0" w:color="auto"/>
        <w:bottom w:val="none" w:sz="0" w:space="0" w:color="auto"/>
        <w:right w:val="none" w:sz="0" w:space="0" w:color="auto"/>
      </w:divBdr>
    </w:div>
    <w:div w:id="538247759">
      <w:bodyDiv w:val="1"/>
      <w:marLeft w:val="0"/>
      <w:marRight w:val="0"/>
      <w:marTop w:val="0"/>
      <w:marBottom w:val="0"/>
      <w:divBdr>
        <w:top w:val="none" w:sz="0" w:space="0" w:color="auto"/>
        <w:left w:val="none" w:sz="0" w:space="0" w:color="auto"/>
        <w:bottom w:val="none" w:sz="0" w:space="0" w:color="auto"/>
        <w:right w:val="none" w:sz="0" w:space="0" w:color="auto"/>
      </w:divBdr>
    </w:div>
    <w:div w:id="619921468">
      <w:bodyDiv w:val="1"/>
      <w:marLeft w:val="0"/>
      <w:marRight w:val="0"/>
      <w:marTop w:val="0"/>
      <w:marBottom w:val="0"/>
      <w:divBdr>
        <w:top w:val="none" w:sz="0" w:space="0" w:color="auto"/>
        <w:left w:val="none" w:sz="0" w:space="0" w:color="auto"/>
        <w:bottom w:val="none" w:sz="0" w:space="0" w:color="auto"/>
        <w:right w:val="none" w:sz="0" w:space="0" w:color="auto"/>
      </w:divBdr>
    </w:div>
    <w:div w:id="834300848">
      <w:bodyDiv w:val="1"/>
      <w:marLeft w:val="0"/>
      <w:marRight w:val="0"/>
      <w:marTop w:val="0"/>
      <w:marBottom w:val="0"/>
      <w:divBdr>
        <w:top w:val="none" w:sz="0" w:space="0" w:color="auto"/>
        <w:left w:val="none" w:sz="0" w:space="0" w:color="auto"/>
        <w:bottom w:val="none" w:sz="0" w:space="0" w:color="auto"/>
        <w:right w:val="none" w:sz="0" w:space="0" w:color="auto"/>
      </w:divBdr>
    </w:div>
    <w:div w:id="993338040">
      <w:bodyDiv w:val="1"/>
      <w:marLeft w:val="0"/>
      <w:marRight w:val="0"/>
      <w:marTop w:val="0"/>
      <w:marBottom w:val="0"/>
      <w:divBdr>
        <w:top w:val="none" w:sz="0" w:space="0" w:color="auto"/>
        <w:left w:val="none" w:sz="0" w:space="0" w:color="auto"/>
        <w:bottom w:val="none" w:sz="0" w:space="0" w:color="auto"/>
        <w:right w:val="none" w:sz="0" w:space="0" w:color="auto"/>
      </w:divBdr>
    </w:div>
    <w:div w:id="1076780331">
      <w:bodyDiv w:val="1"/>
      <w:marLeft w:val="0"/>
      <w:marRight w:val="0"/>
      <w:marTop w:val="0"/>
      <w:marBottom w:val="0"/>
      <w:divBdr>
        <w:top w:val="none" w:sz="0" w:space="0" w:color="auto"/>
        <w:left w:val="none" w:sz="0" w:space="0" w:color="auto"/>
        <w:bottom w:val="none" w:sz="0" w:space="0" w:color="auto"/>
        <w:right w:val="none" w:sz="0" w:space="0" w:color="auto"/>
      </w:divBdr>
    </w:div>
    <w:div w:id="1150975239">
      <w:bodyDiv w:val="1"/>
      <w:marLeft w:val="0"/>
      <w:marRight w:val="0"/>
      <w:marTop w:val="0"/>
      <w:marBottom w:val="0"/>
      <w:divBdr>
        <w:top w:val="none" w:sz="0" w:space="0" w:color="auto"/>
        <w:left w:val="none" w:sz="0" w:space="0" w:color="auto"/>
        <w:bottom w:val="none" w:sz="0" w:space="0" w:color="auto"/>
        <w:right w:val="none" w:sz="0" w:space="0" w:color="auto"/>
      </w:divBdr>
    </w:div>
    <w:div w:id="1158688831">
      <w:bodyDiv w:val="1"/>
      <w:marLeft w:val="0"/>
      <w:marRight w:val="0"/>
      <w:marTop w:val="0"/>
      <w:marBottom w:val="0"/>
      <w:divBdr>
        <w:top w:val="none" w:sz="0" w:space="0" w:color="auto"/>
        <w:left w:val="none" w:sz="0" w:space="0" w:color="auto"/>
        <w:bottom w:val="none" w:sz="0" w:space="0" w:color="auto"/>
        <w:right w:val="none" w:sz="0" w:space="0" w:color="auto"/>
      </w:divBdr>
    </w:div>
    <w:div w:id="1171335403">
      <w:bodyDiv w:val="1"/>
      <w:marLeft w:val="0"/>
      <w:marRight w:val="0"/>
      <w:marTop w:val="0"/>
      <w:marBottom w:val="0"/>
      <w:divBdr>
        <w:top w:val="none" w:sz="0" w:space="0" w:color="auto"/>
        <w:left w:val="none" w:sz="0" w:space="0" w:color="auto"/>
        <w:bottom w:val="none" w:sz="0" w:space="0" w:color="auto"/>
        <w:right w:val="none" w:sz="0" w:space="0" w:color="auto"/>
      </w:divBdr>
    </w:div>
    <w:div w:id="1221867667">
      <w:bodyDiv w:val="1"/>
      <w:marLeft w:val="0"/>
      <w:marRight w:val="0"/>
      <w:marTop w:val="0"/>
      <w:marBottom w:val="0"/>
      <w:divBdr>
        <w:top w:val="none" w:sz="0" w:space="0" w:color="auto"/>
        <w:left w:val="none" w:sz="0" w:space="0" w:color="auto"/>
        <w:bottom w:val="none" w:sz="0" w:space="0" w:color="auto"/>
        <w:right w:val="none" w:sz="0" w:space="0" w:color="auto"/>
      </w:divBdr>
    </w:div>
    <w:div w:id="1333144327">
      <w:bodyDiv w:val="1"/>
      <w:marLeft w:val="0"/>
      <w:marRight w:val="0"/>
      <w:marTop w:val="0"/>
      <w:marBottom w:val="0"/>
      <w:divBdr>
        <w:top w:val="none" w:sz="0" w:space="0" w:color="auto"/>
        <w:left w:val="none" w:sz="0" w:space="0" w:color="auto"/>
        <w:bottom w:val="none" w:sz="0" w:space="0" w:color="auto"/>
        <w:right w:val="none" w:sz="0" w:space="0" w:color="auto"/>
      </w:divBdr>
    </w:div>
    <w:div w:id="1434282603">
      <w:bodyDiv w:val="1"/>
      <w:marLeft w:val="0"/>
      <w:marRight w:val="0"/>
      <w:marTop w:val="0"/>
      <w:marBottom w:val="0"/>
      <w:divBdr>
        <w:top w:val="none" w:sz="0" w:space="0" w:color="auto"/>
        <w:left w:val="none" w:sz="0" w:space="0" w:color="auto"/>
        <w:bottom w:val="none" w:sz="0" w:space="0" w:color="auto"/>
        <w:right w:val="none" w:sz="0" w:space="0" w:color="auto"/>
      </w:divBdr>
    </w:div>
    <w:div w:id="1490516269">
      <w:bodyDiv w:val="1"/>
      <w:marLeft w:val="0"/>
      <w:marRight w:val="0"/>
      <w:marTop w:val="0"/>
      <w:marBottom w:val="0"/>
      <w:divBdr>
        <w:top w:val="none" w:sz="0" w:space="0" w:color="auto"/>
        <w:left w:val="none" w:sz="0" w:space="0" w:color="auto"/>
        <w:bottom w:val="none" w:sz="0" w:space="0" w:color="auto"/>
        <w:right w:val="none" w:sz="0" w:space="0" w:color="auto"/>
      </w:divBdr>
    </w:div>
    <w:div w:id="1688096312">
      <w:bodyDiv w:val="1"/>
      <w:marLeft w:val="0"/>
      <w:marRight w:val="0"/>
      <w:marTop w:val="0"/>
      <w:marBottom w:val="0"/>
      <w:divBdr>
        <w:top w:val="none" w:sz="0" w:space="0" w:color="auto"/>
        <w:left w:val="none" w:sz="0" w:space="0" w:color="auto"/>
        <w:bottom w:val="none" w:sz="0" w:space="0" w:color="auto"/>
        <w:right w:val="none" w:sz="0" w:space="0" w:color="auto"/>
      </w:divBdr>
    </w:div>
    <w:div w:id="1908957996">
      <w:bodyDiv w:val="1"/>
      <w:marLeft w:val="0"/>
      <w:marRight w:val="0"/>
      <w:marTop w:val="0"/>
      <w:marBottom w:val="0"/>
      <w:divBdr>
        <w:top w:val="none" w:sz="0" w:space="0" w:color="auto"/>
        <w:left w:val="none" w:sz="0" w:space="0" w:color="auto"/>
        <w:bottom w:val="none" w:sz="0" w:space="0" w:color="auto"/>
        <w:right w:val="none" w:sz="0" w:space="0" w:color="auto"/>
      </w:divBdr>
    </w:div>
    <w:div w:id="1918855280">
      <w:bodyDiv w:val="1"/>
      <w:marLeft w:val="0"/>
      <w:marRight w:val="0"/>
      <w:marTop w:val="0"/>
      <w:marBottom w:val="0"/>
      <w:divBdr>
        <w:top w:val="none" w:sz="0" w:space="0" w:color="auto"/>
        <w:left w:val="none" w:sz="0" w:space="0" w:color="auto"/>
        <w:bottom w:val="none" w:sz="0" w:space="0" w:color="auto"/>
        <w:right w:val="none" w:sz="0" w:space="0" w:color="auto"/>
      </w:divBdr>
    </w:div>
    <w:div w:id="2030912650">
      <w:bodyDiv w:val="1"/>
      <w:marLeft w:val="0"/>
      <w:marRight w:val="0"/>
      <w:marTop w:val="0"/>
      <w:marBottom w:val="0"/>
      <w:divBdr>
        <w:top w:val="none" w:sz="0" w:space="0" w:color="auto"/>
        <w:left w:val="none" w:sz="0" w:space="0" w:color="auto"/>
        <w:bottom w:val="none" w:sz="0" w:space="0" w:color="auto"/>
        <w:right w:val="none" w:sz="0" w:space="0" w:color="auto"/>
      </w:divBdr>
      <w:divsChild>
        <w:div w:id="550507123">
          <w:marLeft w:val="0"/>
          <w:marRight w:val="0"/>
          <w:marTop w:val="0"/>
          <w:marBottom w:val="0"/>
          <w:divBdr>
            <w:top w:val="none" w:sz="0" w:space="0" w:color="auto"/>
            <w:left w:val="none" w:sz="0" w:space="0" w:color="auto"/>
            <w:bottom w:val="none" w:sz="0" w:space="0" w:color="auto"/>
            <w:right w:val="none" w:sz="0" w:space="0" w:color="auto"/>
          </w:divBdr>
          <w:divsChild>
            <w:div w:id="1263218603">
              <w:marLeft w:val="0"/>
              <w:marRight w:val="0"/>
              <w:marTop w:val="0"/>
              <w:marBottom w:val="0"/>
              <w:divBdr>
                <w:top w:val="none" w:sz="0" w:space="0" w:color="auto"/>
                <w:left w:val="none" w:sz="0" w:space="0" w:color="auto"/>
                <w:bottom w:val="none" w:sz="0" w:space="0" w:color="auto"/>
                <w:right w:val="none" w:sz="0" w:space="0" w:color="auto"/>
              </w:divBdr>
              <w:divsChild>
                <w:div w:id="1477337109">
                  <w:marLeft w:val="0"/>
                  <w:marRight w:val="0"/>
                  <w:marTop w:val="0"/>
                  <w:marBottom w:val="0"/>
                  <w:divBdr>
                    <w:top w:val="none" w:sz="0" w:space="0" w:color="auto"/>
                    <w:left w:val="none" w:sz="0" w:space="0" w:color="auto"/>
                    <w:bottom w:val="none" w:sz="0" w:space="0" w:color="auto"/>
                    <w:right w:val="none" w:sz="0" w:space="0" w:color="auto"/>
                  </w:divBdr>
                  <w:divsChild>
                    <w:div w:id="1842156304">
                      <w:marLeft w:val="0"/>
                      <w:marRight w:val="0"/>
                      <w:marTop w:val="0"/>
                      <w:marBottom w:val="0"/>
                      <w:divBdr>
                        <w:top w:val="none" w:sz="0" w:space="0" w:color="auto"/>
                        <w:left w:val="none" w:sz="0" w:space="0" w:color="auto"/>
                        <w:bottom w:val="none" w:sz="0" w:space="0" w:color="auto"/>
                        <w:right w:val="none" w:sz="0" w:space="0" w:color="auto"/>
                      </w:divBdr>
                      <w:divsChild>
                        <w:div w:id="433019059">
                          <w:marLeft w:val="0"/>
                          <w:marRight w:val="0"/>
                          <w:marTop w:val="0"/>
                          <w:marBottom w:val="0"/>
                          <w:divBdr>
                            <w:top w:val="none" w:sz="0" w:space="0" w:color="auto"/>
                            <w:left w:val="none" w:sz="0" w:space="0" w:color="auto"/>
                            <w:bottom w:val="none" w:sz="0" w:space="0" w:color="auto"/>
                            <w:right w:val="none" w:sz="0" w:space="0" w:color="auto"/>
                          </w:divBdr>
                          <w:divsChild>
                            <w:div w:id="1689067349">
                              <w:marLeft w:val="0"/>
                              <w:marRight w:val="0"/>
                              <w:marTop w:val="0"/>
                              <w:marBottom w:val="0"/>
                              <w:divBdr>
                                <w:top w:val="none" w:sz="0" w:space="0" w:color="auto"/>
                                <w:left w:val="none" w:sz="0" w:space="0" w:color="auto"/>
                                <w:bottom w:val="none" w:sz="0" w:space="0" w:color="auto"/>
                                <w:right w:val="none" w:sz="0" w:space="0" w:color="auto"/>
                              </w:divBdr>
                              <w:divsChild>
                                <w:div w:id="1829399018">
                                  <w:marLeft w:val="0"/>
                                  <w:marRight w:val="0"/>
                                  <w:marTop w:val="0"/>
                                  <w:marBottom w:val="0"/>
                                  <w:divBdr>
                                    <w:top w:val="none" w:sz="0" w:space="0" w:color="auto"/>
                                    <w:left w:val="none" w:sz="0" w:space="0" w:color="auto"/>
                                    <w:bottom w:val="none" w:sz="0" w:space="0" w:color="auto"/>
                                    <w:right w:val="none" w:sz="0" w:space="0" w:color="auto"/>
                                  </w:divBdr>
                                  <w:divsChild>
                                    <w:div w:id="25058952">
                                      <w:marLeft w:val="0"/>
                                      <w:marRight w:val="0"/>
                                      <w:marTop w:val="0"/>
                                      <w:marBottom w:val="0"/>
                                      <w:divBdr>
                                        <w:top w:val="none" w:sz="0" w:space="0" w:color="auto"/>
                                        <w:left w:val="none" w:sz="0" w:space="0" w:color="auto"/>
                                        <w:bottom w:val="none" w:sz="0" w:space="0" w:color="auto"/>
                                        <w:right w:val="none" w:sz="0" w:space="0" w:color="auto"/>
                                      </w:divBdr>
                                      <w:divsChild>
                                        <w:div w:id="1194727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
  <w:doNotSaveAsSingleFile/>
</w:webSettings>
</file>

<file path=word/_rels/document.xml.rels><?xml version="1.0" encoding="UTF-8" standalone="yes"?>
<Relationships xmlns="http://schemas.openxmlformats.org/package/2006/relationships"><Relationship Id="rId11" Type="http://schemas.openxmlformats.org/officeDocument/2006/relationships/hyperlink" Target="https://github.com/powerpak/cdi-cost" TargetMode="External"/><Relationship Id="rId12" Type="http://schemas.openxmlformats.org/officeDocument/2006/relationships/image" Target="media/image1.png"/><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header" Target="header1.xml"/><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 Id="rId9" Type="http://schemas.openxmlformats.org/officeDocument/2006/relationships/endnotes" Target="endnotes.xml"/><Relationship Id="rId10" Type="http://schemas.openxmlformats.org/officeDocument/2006/relationships/hyperlink" Target="mailto:andrew.kasarskis@mssm.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22364FE-5AEE-504C-9984-BC868F762CC8}">
  <ds:schemaRefs>
    <ds:schemaRef ds:uri="http://schemas.openxmlformats.org/officeDocument/2006/bibliography"/>
  </ds:schemaRefs>
</ds:datastoreItem>
</file>

<file path=customXml/itemProps2.xml><?xml version="1.0" encoding="utf-8"?>
<ds:datastoreItem xmlns:ds="http://schemas.openxmlformats.org/officeDocument/2006/customXml" ds:itemID="{EDF74DF6-4466-704C-9297-4800FA8047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271</TotalTime>
  <Pages>27</Pages>
  <Words>64103</Words>
  <Characters>365392</Characters>
  <Application>Microsoft Macintosh Word</Application>
  <DocSecurity>0</DocSecurity>
  <Lines>3044</Lines>
  <Paragraphs>857</Paragraphs>
  <ScaleCrop>false</ScaleCrop>
  <HeadingPairs>
    <vt:vector size="2" baseType="variant">
      <vt:variant>
        <vt:lpstr>Title</vt:lpstr>
      </vt:variant>
      <vt:variant>
        <vt:i4>1</vt:i4>
      </vt:variant>
    </vt:vector>
  </HeadingPairs>
  <TitlesOfParts>
    <vt:vector size="1" baseType="lpstr">
      <vt:lpstr>Steno Outline.docx</vt:lpstr>
    </vt:vector>
  </TitlesOfParts>
  <Company>Icahn School of Medicine at Mount Sinai</Company>
  <LinksUpToDate>false</LinksUpToDate>
  <CharactersWithSpaces>428638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Steno Outline.docx</dc:title>
  <dc:creator>Kasarskis, Andrew</dc:creator>
  <cp:lastModifiedBy>Theodore Pak</cp:lastModifiedBy>
  <cp:revision>588</cp:revision>
  <cp:lastPrinted>2016-12-14T19:56:00Z</cp:lastPrinted>
  <dcterms:created xsi:type="dcterms:W3CDTF">2016-12-27T19:43:00Z</dcterms:created>
  <dcterms:modified xsi:type="dcterms:W3CDTF">2017-04-07T02:47:00Z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Recent Style Id 0_1">
    <vt:lpwstr>http://www.zotero.org/styles/american-medical-association</vt:lpwstr>
  </property>
  <property fmtid="{D5CDD505-2E9C-101B-9397-08002B2CF9AE}" pid="4" name="Mendeley Recent Style Name 0_1">
    <vt:lpwstr>American Medical Association</vt:lpwstr>
  </property>
  <property fmtid="{D5CDD505-2E9C-101B-9397-08002B2CF9AE}" pid="5" name="Mendeley Recent Style Id 1_1">
    <vt:lpwstr>http://www.zotero.org/styles/apa</vt:lpwstr>
  </property>
  <property fmtid="{D5CDD505-2E9C-101B-9397-08002B2CF9AE}" pid="6" name="Mendeley Recent Style Name 1_1">
    <vt:lpwstr>American Psychological Association 6th edition</vt:lpwstr>
  </property>
  <property fmtid="{D5CDD505-2E9C-101B-9397-08002B2CF9AE}" pid="7" name="Mendeley Recent Style Id 2_1">
    <vt:lpwstr>http://www.zotero.org/styles/american-sociological-association</vt:lpwstr>
  </property>
  <property fmtid="{D5CDD505-2E9C-101B-9397-08002B2CF9AE}" pid="8" name="Mendeley Recent Style Name 2_1">
    <vt:lpwstr>American Sociological Association</vt:lpwstr>
  </property>
  <property fmtid="{D5CDD505-2E9C-101B-9397-08002B2CF9AE}" pid="9" name="Mendeley Recent Style Id 3_1">
    <vt:lpwstr>http://www.zotero.org/styles/antimicrobial-agents-and-chemotherapy</vt:lpwstr>
  </property>
  <property fmtid="{D5CDD505-2E9C-101B-9397-08002B2CF9AE}" pid="10" name="Mendeley Recent Style Name 3_1">
    <vt:lpwstr>Antimicrobial Agents and Chemotherapy</vt:lpwstr>
  </property>
  <property fmtid="{D5CDD505-2E9C-101B-9397-08002B2CF9AE}" pid="11" name="Mendeley Recent Style Id 4_1">
    <vt:lpwstr>http://csl.mendeley.com/styles/100600971/clinical-infectious-diseases</vt:lpwstr>
  </property>
  <property fmtid="{D5CDD505-2E9C-101B-9397-08002B2CF9AE}" pid="12" name="Mendeley Recent Style Name 4_1">
    <vt:lpwstr>Clinical Infectious Diseases - Theodore Pak</vt:lpwstr>
  </property>
  <property fmtid="{D5CDD505-2E9C-101B-9397-08002B2CF9AE}" pid="13" name="Mendeley Recent Style Id 5_1">
    <vt:lpwstr>http://www.zotero.org/styles/journal-of-universal-computer-science</vt:lpwstr>
  </property>
  <property fmtid="{D5CDD505-2E9C-101B-9397-08002B2CF9AE}" pid="14" name="Mendeley Recent Style Name 5_1">
    <vt:lpwstr>Journal of Universal Computer Science</vt:lpwstr>
  </property>
  <property fmtid="{D5CDD505-2E9C-101B-9397-08002B2CF9AE}" pid="15" name="Mendeley Recent Style Id 6_1">
    <vt:lpwstr>http://csl.mendeley.com/styles/100600971/journal-of-universal-computer-science</vt:lpwstr>
  </property>
  <property fmtid="{D5CDD505-2E9C-101B-9397-08002B2CF9AE}" pid="16" name="Mendeley Recent Style Name 6_1">
    <vt:lpwstr>LaTeX autocite inline citations - Theodore Pak</vt:lpwstr>
  </property>
  <property fmtid="{D5CDD505-2E9C-101B-9397-08002B2CF9AE}" pid="17" name="Mendeley Recent Style Id 7_1">
    <vt:lpwstr>http://csl.mendeley.com/styles/100600971/national-library-of-medicine-grant-proposals-9</vt:lpwstr>
  </property>
  <property fmtid="{D5CDD505-2E9C-101B-9397-08002B2CF9AE}" pid="18" name="Mendeley Recent Style Name 7_1">
    <vt:lpwstr>National Library of Medicine (w/ PMCID/PMID, superscripts) - Theodore Pak</vt:lpwstr>
  </property>
  <property fmtid="{D5CDD505-2E9C-101B-9397-08002B2CF9AE}" pid="19" name="Mendeley Recent Style Id 8_1">
    <vt:lpwstr>http://www.zotero.org/styles/nature</vt:lpwstr>
  </property>
  <property fmtid="{D5CDD505-2E9C-101B-9397-08002B2CF9AE}" pid="20" name="Mendeley Recent Style Name 8_1">
    <vt:lpwstr>Nature</vt:lpwstr>
  </property>
  <property fmtid="{D5CDD505-2E9C-101B-9397-08002B2CF9AE}" pid="21" name="Mendeley Recent Style Id 9_1">
    <vt:lpwstr>http://www.zotero.org/styles/the-lancet-infectious-diseases</vt:lpwstr>
  </property>
  <property fmtid="{D5CDD505-2E9C-101B-9397-08002B2CF9AE}" pid="22" name="Mendeley Recent Style Name 9_1">
    <vt:lpwstr>The Lancet Infectious Diseases</vt:lpwstr>
  </property>
  <property fmtid="{D5CDD505-2E9C-101B-9397-08002B2CF9AE}" pid="23" name="Mendeley Citation Style_1">
    <vt:lpwstr>http://csl.mendeley.com/styles/100600971/journal-of-universal-computer-science</vt:lpwstr>
  </property>
  <property fmtid="{D5CDD505-2E9C-101B-9397-08002B2CF9AE}" pid="24" name="Mendeley Unique User Id_1">
    <vt:lpwstr>f678cc45-45bf-3077-bc34-bb431381d5ea</vt:lpwstr>
  </property>
</Properties>
</file>