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spacing w:before="0" w:after="80"/>
        <w:jc w:val="center"/>
      </w:pPr>
      <w:r>
        <w:rPr>
          <w:rFonts w:ascii="Calibri" w:cs="Calibri" w:eastAsia="Calibri" w:hAnsi="Calibri"/>
          <w:color w:val="3A4A5C"/>
          <w:sz w:val="22"/>
          <w:szCs w:val="22"/>
        </w:rPr>
        <w:t xml:space="preserve">ÉCOLE NATIONALE DES SCIENCES APPLIQUÉES DE FÈS</w:t>
      </w:r>
    </w:p>
    <w:p>
      <w:pPr>
        <w:spacing w:before="0" w:after="400"/>
        <w:jc w:val="center"/>
      </w:pPr>
      <w:r>
        <w:rPr>
          <w:rFonts w:ascii="Calibri" w:cs="Calibri" w:eastAsia="Calibri" w:hAnsi="Calibri"/>
          <w:color w:val="3A4A5C"/>
          <w:sz w:val="20"/>
          <w:szCs w:val="20"/>
        </w:rPr>
        <w:t xml:space="preserve">ENSA FÈS  |  UNIVERSITÉ SIDI MOHAMMED BEN ABDELLAH</w:t>
      </w:r>
    </w:p>
    <w:p>
      <w:pPr>
        <w:spacing w:before="0" w:after="40"/>
        <w:jc w:val="center"/>
      </w:pPr>
      <w:r>
        <w:rPr>
          <w:rFonts w:ascii="Georgia" w:cs="Georgia" w:eastAsia="Georgia" w:hAnsi="Georgia"/>
          <w:b/>
          <w:bCs/>
          <w:color w:val="F5A800"/>
          <w:sz w:val="26"/>
          <w:szCs w:val="26"/>
        </w:rPr>
        <w:t xml:space="preserve">FILIÈRE D'INGÉNIEUR D'ÉTAT</w:t>
      </w:r>
    </w:p>
    <w:p>
      <w:pPr>
        <w:spacing w:before="0" w:after="30"/>
        <w:jc w:val="center"/>
      </w:pPr>
      <w:r>
        <w:rPr>
          <w:rFonts w:ascii="Georgia" w:cs="Georgia" w:eastAsia="Georgia" w:hAnsi="Georgia"/>
          <w:b/>
          <w:bCs/>
          <w:color w:val="0D1B2A"/>
          <w:sz w:val="68"/>
          <w:szCs w:val="68"/>
        </w:rPr>
        <w:t xml:space="preserve">GÉNIE ÉNERGÉTIQUE</w:t>
      </w:r>
    </w:p>
    <w:p>
      <w:pPr>
        <w:spacing w:before="0" w:after="30"/>
        <w:jc w:val="center"/>
      </w:pPr>
      <w:r>
        <w:rPr>
          <w:rFonts w:ascii="Georgia" w:cs="Georgia" w:eastAsia="Georgia" w:hAnsi="Georgia"/>
          <w:b/>
          <w:bCs/>
          <w:color w:val="00A8E8"/>
          <w:sz w:val="40"/>
          <w:szCs w:val="40"/>
        </w:rPr>
        <w:t xml:space="preserve">&amp; SYSTÈMES INTELLIGENTS</w:t>
      </w:r>
    </w:p>
    <w:p/>
    <w:p>
      <w:pPr>
        <w:pBdr>
          <w:bottom w:val="single" w:color="F5A800" w:sz="10" w:space="1"/>
        </w:pBdr>
        <w:spacing w:before="80" w:after="80"/>
      </w:pPr>
    </w:p>
    <w:p/>
    <w:p>
      <w:pPr>
        <w:spacing w:before="60" w:after="40"/>
        <w:jc w:val="center"/>
      </w:pPr>
      <w:r>
        <w:rPr>
          <w:rFonts w:ascii="Calibri" w:cs="Calibri" w:eastAsia="Calibri" w:hAnsi="Calibri"/>
          <w:b/>
          <w:bCs/>
          <w:color w:val="0D1B2A"/>
          <w:sz w:val="26"/>
          <w:szCs w:val="26"/>
        </w:rPr>
        <w:t xml:space="preserve">GUIDE D'ORIENTATION — CYCLE INGÉNIEUR</w:t>
      </w:r>
    </w:p>
    <w:p>
      <w:pPr>
        <w:spacing w:before="0" w:after="60"/>
        <w:jc w:val="center"/>
      </w:pPr>
      <w:r>
        <w:rPr>
          <w:rFonts w:ascii="Calibri" w:cs="Calibri" w:eastAsia="Calibri" w:hAnsi="Calibri"/>
          <w:i/>
          <w:iCs/>
          <w:color w:val="3A4A5C"/>
          <w:sz w:val="22"/>
          <w:szCs w:val="22"/>
        </w:rPr>
        <w:t xml:space="preserve">Étudiants de 1ère &amp; 2ème année — Cycle Préparatoire Intégré</w:t>
      </w:r>
    </w:p>
    <w:p/>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26"/>
        <w:gridCol w:w="3000"/>
      </w:tblGrid>
      <w:tr>
        <w:tc>
          <w:tcPr>
            <w:tcW w:type="dxa" w:w="3026"/>
            <w:tcBorders>
              <w:top w:val="none" w:color="FFFFFF" w:sz="0"/>
              <w:left w:val="none" w:color="FFFFFF" w:sz="0"/>
              <w:bottom w:val="none" w:color="FFFFFF" w:sz="0"/>
              <w:right w:val="none" w:color="FFFFFF" w:sz="0"/>
            </w:tcBorders>
            <w:shd w:fill="F5A800" w:val="clear"/>
            <w:tcMar>
              <w:top w:type="dxa" w:w="120"/>
              <w:left w:type="dxa" w:w="100"/>
              <w:bottom w:type="dxa" w:w="120"/>
              <w:right w:type="dxa" w:w="100"/>
            </w:tcMar>
          </w:tcPr>
          <w:p>
            <w:pPr>
              <w:jc w:val="center"/>
            </w:pPr>
            <w:r>
              <w:rPr>
                <w:rFonts w:ascii="Calibri" w:cs="Calibri" w:eastAsia="Calibri" w:hAnsi="Calibri"/>
                <w:b/>
                <w:bCs/>
                <w:color w:val="FFFFFF"/>
                <w:sz w:val="20"/>
                <w:szCs w:val="20"/>
              </w:rPr>
              <w:t xml:space="preserve">☀️ Solaire &amp; Éolien</w:t>
            </w:r>
          </w:p>
        </w:tc>
        <w:tc>
          <w:tcPr>
            <w:tcW w:type="dxa" w:w="3026"/>
            <w:tcBorders>
              <w:top w:val="none" w:color="FFFFFF" w:sz="0"/>
              <w:left w:val="none" w:color="FFFFFF" w:sz="0"/>
              <w:bottom w:val="none" w:color="FFFFFF" w:sz="0"/>
              <w:right w:val="none" w:color="FFFFFF" w:sz="0"/>
            </w:tcBorders>
            <w:shd w:fill="00A8E8" w:val="clear"/>
            <w:tcMar>
              <w:top w:type="dxa" w:w="120"/>
              <w:left w:type="dxa" w:w="100"/>
              <w:bottom w:type="dxa" w:w="120"/>
              <w:right w:type="dxa" w:w="100"/>
            </w:tcMar>
          </w:tcPr>
          <w:p>
            <w:pPr>
              <w:jc w:val="center"/>
            </w:pPr>
            <w:r>
              <w:rPr>
                <w:rFonts w:ascii="Calibri" w:cs="Calibri" w:eastAsia="Calibri" w:hAnsi="Calibri"/>
                <w:b/>
                <w:bCs/>
                <w:color w:val="FFFFFF"/>
                <w:sz w:val="20"/>
                <w:szCs w:val="20"/>
              </w:rPr>
              <w:t xml:space="preserve">⚡ Smart Grids &amp; Embarqué</w:t>
            </w:r>
          </w:p>
        </w:tc>
        <w:tc>
          <w:tcPr>
            <w:tcW w:type="dxa" w:w="3026"/>
            <w:tcBorders>
              <w:top w:val="none" w:color="FFFFFF" w:sz="0"/>
              <w:left w:val="none" w:color="FFFFFF" w:sz="0"/>
              <w:bottom w:val="none" w:color="FFFFFF" w:sz="0"/>
              <w:right w:val="none" w:color="FFFFFF" w:sz="0"/>
            </w:tcBorders>
            <w:shd w:fill="0D1B2A" w:val="clear"/>
            <w:tcMar>
              <w:top w:type="dxa" w:w="120"/>
              <w:left w:type="dxa" w:w="100"/>
              <w:bottom w:type="dxa" w:w="120"/>
              <w:right w:type="dxa" w:w="100"/>
            </w:tcMar>
          </w:tcPr>
          <w:p>
            <w:pPr>
              <w:jc w:val="center"/>
            </w:pPr>
            <w:r>
              <w:rPr>
                <w:rFonts w:ascii="Calibri" w:cs="Calibri" w:eastAsia="Calibri" w:hAnsi="Calibri"/>
                <w:b/>
                <w:bCs/>
                <w:color w:val="FFFFFF"/>
                <w:sz w:val="20"/>
                <w:szCs w:val="20"/>
              </w:rPr>
              <w:t xml:space="preserve">💧 Hydrogène &amp; Nucléaire</w:t>
            </w:r>
          </w:p>
        </w:tc>
      </w:tr>
    </w:tbl>
    <w:p/>
    <w:p/>
    <w:p>
      <w:pPr>
        <w:jc w:val="center"/>
      </w:pPr>
      <w:r>
        <w:rPr>
          <w:rFonts w:ascii="Georgia" w:cs="Georgia" w:eastAsia="Georgia" w:hAnsi="Georgia"/>
          <w:b/>
          <w:bCs/>
          <w:i/>
          <w:iCs/>
          <w:color w:val="F5A800"/>
          <w:sz w:val="22"/>
          <w:szCs w:val="22"/>
        </w:rPr>
        <w:t xml:space="preserve">La filière de la transition énergétique. La filière de l'intelligence. La filière du futur.</w:t>
      </w:r>
    </w:p>
    <w:p>
      <w:r>
        <w:br w:type="page"/>
      </w:r>
    </w:p>
    <w:p>
      <w:pPr>
        <w:pStyle w:val="Heading1"/>
        <w:spacing w:before="360" w:after="160"/>
      </w:pPr>
      <w:r>
        <w:rPr>
          <w:rFonts w:ascii="Georgia" w:cs="Georgia" w:eastAsia="Georgia" w:hAnsi="Georgia"/>
          <w:b/>
          <w:bCs/>
          <w:color w:val="0D1B2A"/>
          <w:sz w:val="36"/>
          <w:szCs w:val="36"/>
        </w:rPr>
        <w:t xml:space="preserve">1. Pourquoi choisir le Génie Énergétique &amp; Systèmes Intelligents ?</w:t>
      </w:r>
    </w:p>
    <w:p>
      <w:pPr>
        <w:pBdr>
          <w:bottom w:val="single" w:color="F5A800" w:sz="10" w:space="1"/>
        </w:pBdr>
        <w:spacing w:before="80" w:after="80"/>
      </w:pPr>
    </w:p>
    <w:p/>
    <w:p>
      <w:pPr>
        <w:spacing w:before="60" w:after="60"/>
        <w:jc w:val="both"/>
      </w:pPr>
      <w:r>
        <w:rPr>
          <w:rFonts w:ascii="Calibri" w:cs="Calibri" w:eastAsia="Calibri" w:hAnsi="Calibri"/>
          <w:b w:val="false"/>
          <w:bCs w:val="false"/>
          <w:i w:val="false"/>
          <w:iCs w:val="false"/>
          <w:color w:val="0D1B2A"/>
          <w:sz w:val="22"/>
          <w:szCs w:val="22"/>
        </w:rPr>
        <w:t xml:space="preserve">Nous sommes en pleine révolution énergétique. Le pétrole laisse place au soleil. Le réseau classique devient intelligent. La machine isolée devient un système embarqué connecté. L'usine du futur intègre l'intelligence artificielle, l'électronique de puissance et la gestion thermique avancée dans un seul écosystème.</w:t>
      </w:r>
    </w:p>
    <w:p/>
    <w:p>
      <w:pPr>
        <w:spacing w:before="60" w:after="60"/>
        <w:jc w:val="both"/>
      </w:pPr>
      <w:r>
        <w:rPr>
          <w:rFonts w:ascii="Calibri" w:cs="Calibri" w:eastAsia="Calibri" w:hAnsi="Calibri"/>
          <w:b w:val="false"/>
          <w:bCs w:val="false"/>
          <w:i w:val="false"/>
          <w:iCs w:val="false"/>
          <w:color w:val="0D1B2A"/>
          <w:sz w:val="22"/>
          <w:szCs w:val="22"/>
        </w:rPr>
        <w:t xml:space="preserve">La filière GESI de l'ENSA Fès est née précisément pour répondre à cette transformation. C'est une formation unique qui fusionne trois dimensions indissociables aujourd'hui :</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13"/>
            <w:tcBorders>
              <w:top w:val="single" w:color="DDDDDD" w:sz="1"/>
              <w:left w:val="single" w:color="DDDDDD" w:sz="1"/>
              <w:bottom w:val="single" w:color="DDDDDD" w:sz="1"/>
              <w:right w:val="single" w:color="DDDDDD" w:sz="1"/>
            </w:tcBorders>
            <w:shd w:fill="0D1B2A" w:val="clear"/>
            <w:tcMar>
              <w:top w:type="dxa" w:w="160"/>
              <w:left w:type="dxa" w:w="160"/>
              <w:bottom w:type="dxa" w:w="160"/>
              <w:right w:type="dxa" w:w="160"/>
            </w:tcMar>
          </w:tcPr>
          <w:p>
            <w:pPr>
              <w:spacing w:before="0" w:after="80"/>
              <w:jc w:val="center"/>
            </w:pPr>
            <w:r>
              <w:rPr>
                <w:rFonts w:ascii="Georgia" w:cs="Georgia" w:eastAsia="Georgia" w:hAnsi="Georgia"/>
                <w:b/>
                <w:bCs/>
                <w:color w:val="FFFFFF"/>
                <w:sz w:val="24"/>
                <w:szCs w:val="24"/>
              </w:rPr>
              <w:t xml:space="preserve">L'ÉNERGIE</w:t>
            </w:r>
          </w:p>
          <w:p>
            <w:pPr>
              <w:jc w:val="center"/>
            </w:pPr>
            <w:r>
              <w:rPr>
                <w:rFonts w:ascii="Calibri" w:cs="Calibri" w:eastAsia="Calibri" w:hAnsi="Calibri"/>
                <w:i/>
                <w:iCs/>
                <w:color w:val="FFF8EC"/>
                <w:sz w:val="19"/>
                <w:szCs w:val="19"/>
              </w:rPr>
              <w:t xml:space="preserve">Thermique, fluides, solaire, éolien, hydroélectrique, nucléaire, hydrogène</w:t>
            </w:r>
          </w:p>
        </w:tc>
        <w:tc>
          <w:tcPr>
            <w:tcW w:type="dxa" w:w="3013"/>
            <w:tcBorders>
              <w:top w:val="single" w:color="DDDDDD" w:sz="1"/>
              <w:left w:val="single" w:color="DDDDDD" w:sz="1"/>
              <w:bottom w:val="single" w:color="DDDDDD" w:sz="1"/>
              <w:right w:val="single" w:color="DDDDDD" w:sz="1"/>
            </w:tcBorders>
            <w:shd w:fill="00A8E8" w:val="clear"/>
            <w:tcMar>
              <w:top w:type="dxa" w:w="160"/>
              <w:left w:type="dxa" w:w="160"/>
              <w:bottom w:type="dxa" w:w="160"/>
              <w:right w:type="dxa" w:w="160"/>
            </w:tcMar>
          </w:tcPr>
          <w:p>
            <w:pPr>
              <w:spacing w:before="0" w:after="80"/>
              <w:jc w:val="center"/>
            </w:pPr>
            <w:r>
              <w:rPr>
                <w:rFonts w:ascii="Georgia" w:cs="Georgia" w:eastAsia="Georgia" w:hAnsi="Georgia"/>
                <w:b/>
                <w:bCs/>
                <w:color w:val="FFFFFF"/>
                <w:sz w:val="24"/>
                <w:szCs w:val="24"/>
              </w:rPr>
              <w:t xml:space="preserve">L'ÉLECTRONIQUE</w:t>
            </w:r>
          </w:p>
          <w:p>
            <w:pPr>
              <w:jc w:val="center"/>
            </w:pPr>
            <w:r>
              <w:rPr>
                <w:rFonts w:ascii="Calibri" w:cs="Calibri" w:eastAsia="Calibri" w:hAnsi="Calibri"/>
                <w:i/>
                <w:iCs/>
                <w:color w:val="FFF8EC"/>
                <w:sz w:val="19"/>
                <w:szCs w:val="19"/>
              </w:rPr>
              <w:t xml:space="preserve">Machines électriques, électronique de puissance, systèmes embarqués, commandes</w:t>
            </w:r>
          </w:p>
        </w:tc>
        <w:tc>
          <w:tcPr>
            <w:tcW w:type="dxa" w:w="3013"/>
            <w:tcBorders>
              <w:top w:val="single" w:color="DDDDDD" w:sz="1"/>
              <w:left w:val="single" w:color="DDDDDD" w:sz="1"/>
              <w:bottom w:val="single" w:color="DDDDDD" w:sz="1"/>
              <w:right w:val="single" w:color="DDDDDD" w:sz="1"/>
            </w:tcBorders>
            <w:shd w:fill="F5A800" w:val="clear"/>
            <w:tcMar>
              <w:top w:type="dxa" w:w="160"/>
              <w:left w:type="dxa" w:w="160"/>
              <w:bottom w:type="dxa" w:w="160"/>
              <w:right w:type="dxa" w:w="160"/>
            </w:tcMar>
          </w:tcPr>
          <w:p>
            <w:pPr>
              <w:spacing w:before="0" w:after="80"/>
              <w:jc w:val="center"/>
            </w:pPr>
            <w:r>
              <w:rPr>
                <w:rFonts w:ascii="Georgia" w:cs="Georgia" w:eastAsia="Georgia" w:hAnsi="Georgia"/>
                <w:b/>
                <w:bCs/>
                <w:color w:val="0D1B2A"/>
                <w:sz w:val="24"/>
                <w:szCs w:val="24"/>
              </w:rPr>
              <w:t xml:space="preserve">L'INTELLIGENCE</w:t>
            </w:r>
          </w:p>
          <w:p>
            <w:pPr>
              <w:jc w:val="center"/>
            </w:pPr>
            <w:r>
              <w:rPr>
                <w:rFonts w:ascii="Calibri" w:cs="Calibri" w:eastAsia="Calibri" w:hAnsi="Calibri"/>
                <w:i/>
                <w:iCs/>
                <w:color w:val="0D1B2A"/>
                <w:sz w:val="19"/>
                <w:szCs w:val="19"/>
              </w:rPr>
              <w:t xml:space="preserve">IA &amp; Machine Learning, analyse de données, automatique, IoT industriel</w:t>
            </w:r>
          </w:p>
        </w:tc>
      </w:tr>
    </w:tbl>
    <w:p/>
    <w:p>
      <w:pPr>
        <w:spacing w:before="60" w:after="60"/>
        <w:jc w:val="both"/>
      </w:pPr>
      <w:r>
        <w:rPr>
          <w:rFonts w:ascii="Calibri" w:cs="Calibri" w:eastAsia="Calibri" w:hAnsi="Calibri"/>
          <w:b w:val="false"/>
          <w:bCs w:val="false"/>
          <w:i w:val="false"/>
          <w:iCs w:val="false"/>
          <w:color w:val="0D1B2A"/>
          <w:sz w:val="22"/>
          <w:szCs w:val="22"/>
        </w:rPr>
        <w:t xml:space="preserve">Aucune transition énergétique n'est possible sans des ingénieurs capables de concevoir des systèmes solaires, de piloter des réseaux intelligents, de programmer des microcontrôleurs, et d'analyser des données énergétiques massives. Ces ingénieurs, c'est vous.</w:t>
      </w:r>
    </w:p>
    <w:p/>
    <w:p>
      <w:pPr>
        <w:pStyle w:val="Heading2"/>
        <w:spacing w:before="240" w:after="120"/>
      </w:pPr>
      <w:r>
        <w:rPr>
          <w:rFonts w:ascii="Georgia" w:cs="Georgia" w:eastAsia="Georgia" w:hAnsi="Georgia"/>
          <w:b/>
          <w:bCs/>
          <w:color w:val="F5A800"/>
          <w:sz w:val="27"/>
          <w:szCs w:val="27"/>
        </w:rPr>
        <w:t xml:space="preserve">Pourquoi maintenant ? Les signaux sont clairs :</w:t>
      </w:r>
    </w:p>
    <w:p>
      <w:pPr>
        <w:pStyle w:val="ListParagraph"/>
        <w:numPr>
          <w:ilvl w:val="0"/>
          <w:numId w:val="2"/>
        </w:numPr>
        <w:spacing w:before="60" w:after="60"/>
      </w:pPr>
      <w:r>
        <w:rPr>
          <w:rFonts w:ascii="Calibri" w:cs="Calibri" w:eastAsia="Calibri" w:hAnsi="Calibri"/>
          <w:b/>
          <w:bCs/>
          <w:color w:val="F5A800"/>
          <w:sz w:val="22"/>
          <w:szCs w:val="22"/>
        </w:rPr>
        <w:t xml:space="preserve">76 millions d'emplois</w:t>
      </w:r>
      <w:r>
        <w:rPr>
          <w:rFonts w:ascii="Calibri" w:cs="Calibri" w:eastAsia="Calibri" w:hAnsi="Calibri"/>
          <w:color w:val="3A4A5C"/>
          <w:sz w:val="22"/>
          <w:szCs w:val="22"/>
        </w:rPr>
        <w:t xml:space="preserve"> — dans l'énergie dans le monde en 2024 — 1ère fois que ce secteur dépasse l'emploi dans les combustibles fossiles (rapport AIE 2025)</w:t>
      </w:r>
    </w:p>
    <w:p>
      <w:pPr>
        <w:pStyle w:val="ListParagraph"/>
        <w:numPr>
          <w:ilvl w:val="0"/>
          <w:numId w:val="2"/>
        </w:numPr>
        <w:spacing w:before="60" w:after="60"/>
      </w:pPr>
      <w:r>
        <w:rPr>
          <w:rFonts w:ascii="Calibri" w:cs="Calibri" w:eastAsia="Calibri" w:hAnsi="Calibri"/>
          <w:b/>
          <w:bCs/>
          <w:color w:val="F5A800"/>
          <w:sz w:val="22"/>
          <w:szCs w:val="22"/>
        </w:rPr>
        <w:t xml:space="preserve">75 000 emplois créés</w:t>
      </w:r>
      <w:r>
        <w:rPr>
          <w:rFonts w:ascii="Calibri" w:cs="Calibri" w:eastAsia="Calibri" w:hAnsi="Calibri"/>
          <w:color w:val="3A4A5C"/>
          <w:sz w:val="22"/>
          <w:szCs w:val="22"/>
        </w:rPr>
        <w:t xml:space="preserve"> — au Maroc dans l'électricité et l'industrie énergétique grâce au programme d'investissement national — objectif 100 000 d'ici 2027</w:t>
      </w:r>
    </w:p>
    <w:p>
      <w:pPr>
        <w:pStyle w:val="ListParagraph"/>
        <w:numPr>
          <w:ilvl w:val="0"/>
          <w:numId w:val="2"/>
        </w:numPr>
        <w:spacing w:before="60" w:after="60"/>
      </w:pPr>
      <w:r>
        <w:rPr>
          <w:rFonts w:ascii="Calibri" w:cs="Calibri" w:eastAsia="Calibri" w:hAnsi="Calibri"/>
          <w:b/>
          <w:bCs/>
          <w:color w:val="F5A800"/>
          <w:sz w:val="22"/>
          <w:szCs w:val="22"/>
        </w:rPr>
        <w:t xml:space="preserve">319 Mds DH</w:t>
      </w:r>
      <w:r>
        <w:rPr>
          <w:rFonts w:ascii="Calibri" w:cs="Calibri" w:eastAsia="Calibri" w:hAnsi="Calibri"/>
          <w:color w:val="3A4A5C"/>
          <w:sz w:val="22"/>
          <w:szCs w:val="22"/>
        </w:rPr>
        <w:t xml:space="preserve"> — de projets hydrogène vert approuvés par le gouvernement marocain en mars 2025 — le Maroc cible 4% du marché mondial d'ici 2030</w:t>
      </w:r>
    </w:p>
    <w:p>
      <w:pPr>
        <w:pStyle w:val="ListParagraph"/>
        <w:numPr>
          <w:ilvl w:val="0"/>
          <w:numId w:val="2"/>
        </w:numPr>
        <w:spacing w:before="60" w:after="60"/>
      </w:pPr>
      <w:r>
        <w:rPr>
          <w:rFonts w:ascii="Calibri" w:cs="Calibri" w:eastAsia="Calibri" w:hAnsi="Calibri"/>
          <w:b/>
          <w:bCs/>
          <w:color w:val="F5A800"/>
          <w:sz w:val="22"/>
          <w:szCs w:val="22"/>
        </w:rPr>
        <w:t xml:space="preserve">11,6 Mds DH</w:t>
      </w:r>
      <w:r>
        <w:rPr>
          <w:rFonts w:ascii="Calibri" w:cs="Calibri" w:eastAsia="Calibri" w:hAnsi="Calibri"/>
          <w:color w:val="3A4A5C"/>
          <w:sz w:val="22"/>
          <w:szCs w:val="22"/>
        </w:rPr>
        <w:t xml:space="preserve"> — investis en 2025 dans le seul secteur solaire (Noor Midelt I, II, III, Noor Atlas...)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
        <w:gridCol w:w="8676"/>
      </w:tblGrid>
      <w:tr>
        <w:tc>
          <w:tcPr>
            <w:tcW w:type="dxa" w:w="350"/>
            <w:tcBorders>
              <w:top w:val="none" w:color="FFFFFF" w:sz="0"/>
              <w:left w:val="none" w:color="FFFFFF" w:sz="0"/>
              <w:bottom w:val="none" w:color="FFFFFF" w:sz="0"/>
              <w:right w:val="none" w:color="FFFFFF" w:sz="0"/>
            </w:tcBorders>
            <w:shd w:fill="F5A800" w:val="clear"/>
            <w:tcMar>
              <w:top w:type="dxa" w:w="80"/>
              <w:left w:type="dxa" w:w="80"/>
              <w:bottom w:type="dxa" w:w="80"/>
              <w:right w:type="dxa" w:w="80"/>
            </w:tcMar>
          </w:tcPr>
          <w:p/>
        </w:tc>
        <w:tc>
          <w:tcPr>
            <w:tcW w:type="dxa" w:w="8676"/>
            <w:tcBorders>
              <w:top w:val="none" w:color="FFFFFF" w:sz="0"/>
              <w:left w:val="none" w:color="FFFFFF" w:sz="0"/>
              <w:bottom w:val="none" w:color="FFFFFF" w:sz="0"/>
              <w:right w:val="none" w:color="FFFFFF" w:sz="0"/>
            </w:tcBorders>
            <w:shd w:fill="E8F6FD" w:val="clear"/>
            <w:tcMar>
              <w:top w:type="dxa" w:w="140"/>
              <w:left w:type="dxa" w:w="220"/>
              <w:bottom w:type="dxa" w:w="140"/>
              <w:right w:type="dxa" w:w="220"/>
            </w:tcMar>
          </w:tcPr>
          <w:p>
            <w:r>
              <w:rPr>
                <w:rFonts w:ascii="Georgia" w:cs="Georgia" w:eastAsia="Georgia" w:hAnsi="Georgia"/>
                <w:i/>
                <w:iCs/>
                <w:color w:val="0D1B2A"/>
                <w:sz w:val="22"/>
                <w:szCs w:val="22"/>
              </w:rPr>
              <w:t xml:space="preserve">"La transition énergétique constitue aujourd'hui un levier stratégique pour la souveraineté industrielle et énergétique du Maroc. Les investissements dans les infrastructures énergétiques connaissent une nette accélération."</w:t>
            </w:r>
          </w:p>
          <w:p>
            <w:r>
              <w:rPr>
                <w:rFonts w:ascii="Calibri" w:cs="Calibri" w:eastAsia="Calibri" w:hAnsi="Calibri"/>
                <w:b/>
                <w:bCs/>
                <w:color w:val="00A8E8"/>
                <w:sz w:val="20"/>
                <w:szCs w:val="20"/>
              </w:rPr>
              <w:t xml:space="preserve">— Mounir Souizi — Elec Expo / EneR Event 2025, Casablanca</w:t>
            </w:r>
          </w:p>
        </w:tc>
      </w:tr>
    </w:tbl>
    <w:p>
      <w:r>
        <w:br w:type="page"/>
      </w:r>
    </w:p>
    <w:p>
      <w:pPr>
        <w:pStyle w:val="Heading1"/>
        <w:spacing w:before="360" w:after="160"/>
      </w:pPr>
      <w:r>
        <w:rPr>
          <w:rFonts w:ascii="Georgia" w:cs="Georgia" w:eastAsia="Georgia" w:hAnsi="Georgia"/>
          <w:b/>
          <w:bCs/>
          <w:color w:val="0D1B2A"/>
          <w:sz w:val="36"/>
          <w:szCs w:val="36"/>
        </w:rPr>
        <w:t xml:space="preserve">2. Le Maroc Énergétique : Un Chantier de Civilisation</w:t>
      </w:r>
    </w:p>
    <w:p>
      <w:pPr>
        <w:pBdr>
          <w:bottom w:val="single" w:color="F5A800" w:sz="10" w:space="1"/>
        </w:pBdr>
        <w:spacing w:before="80" w:after="80"/>
      </w:pPr>
    </w:p>
    <w:p/>
    <w:p>
      <w:pPr>
        <w:spacing w:before="60" w:after="60"/>
        <w:jc w:val="both"/>
      </w:pPr>
      <w:r>
        <w:rPr>
          <w:rFonts w:ascii="Calibri" w:cs="Calibri" w:eastAsia="Calibri" w:hAnsi="Calibri"/>
          <w:b w:val="false"/>
          <w:bCs w:val="false"/>
          <w:i w:val="false"/>
          <w:iCs w:val="false"/>
          <w:color w:val="0D1B2A"/>
          <w:sz w:val="22"/>
          <w:szCs w:val="22"/>
        </w:rPr>
        <w:t xml:space="preserve">Le Maroc n'est plus un simple consommateur d'énergie. Depuis la vision royale de 2009, il est devenu l'un des pays les plus ambitieux du monde en matière de transition énergétique — et les chiffres le confirment spectaculairement.</w:t>
      </w:r>
    </w:p>
    <w:p/>
    <w:p>
      <w:pPr>
        <w:pStyle w:val="Heading2"/>
        <w:spacing w:before="240" w:after="120"/>
      </w:pPr>
      <w:r>
        <w:rPr>
          <w:rFonts w:ascii="Georgia" w:cs="Georgia" w:eastAsia="Georgia" w:hAnsi="Georgia"/>
          <w:b/>
          <w:bCs/>
          <w:color w:val="F5A800"/>
          <w:sz w:val="27"/>
          <w:szCs w:val="27"/>
        </w:rPr>
        <w:t xml:space="preserve">2.1 — Capacités renouvelables : une décennie de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DDDDD" w:sz="1"/>
              <w:left w:val="single" w:color="DDDDDD" w:sz="1"/>
              <w:bottom w:val="single" w:color="DDDDDD" w:sz="1"/>
              <w:right w:val="single" w:color="DDDDDD" w:sz="1"/>
            </w:tcBorders>
            <w:shd w:fill="0D1B2A" w:val="clear"/>
            <w:tcMar>
              <w:top w:type="dxa" w:w="140"/>
              <w:left w:type="dxa" w:w="180"/>
              <w:bottom w:type="dxa" w:w="140"/>
              <w:right w:type="dxa" w:w="180"/>
            </w:tcMar>
            <w:vAlign w:val="center"/>
          </w:tcPr>
          <w:p>
            <w:pPr>
              <w:jc w:val="center"/>
            </w:pPr>
            <w:r>
              <w:rPr>
                <w:rFonts w:ascii="Georgia" w:cs="Georgia" w:eastAsia="Georgia" w:hAnsi="Georgia"/>
                <w:b/>
                <w:bCs/>
                <w:color w:val="F5A800"/>
                <w:sz w:val="34"/>
                <w:szCs w:val="34"/>
              </w:rPr>
              <w:t xml:space="preserve">5 466 MW</w:t>
            </w:r>
          </w:p>
        </w:tc>
        <w:tc>
          <w:tcPr>
            <w:tcW w:type="dxa" w:w="6426"/>
            <w:tcBorders>
              <w:top w:val="single" w:color="DDDDDD" w:sz="1"/>
              <w:left w:val="single" w:color="DDDDDD" w:sz="1"/>
              <w:bottom w:val="single" w:color="DDDDDD" w:sz="1"/>
              <w:right w:val="single" w:color="DDDDDD" w:sz="1"/>
            </w:tcBorders>
            <w:shd w:fill="FFF8EC" w:val="clear"/>
            <w:tcMar>
              <w:top w:type="dxa" w:w="100"/>
              <w:left w:type="dxa" w:w="200"/>
              <w:bottom w:type="dxa" w:w="100"/>
              <w:right w:type="dxa" w:w="160"/>
            </w:tcMar>
            <w:vAlign w:val="center"/>
          </w:tcPr>
          <w:p>
            <w:r>
              <w:rPr>
                <w:rFonts w:ascii="Calibri" w:cs="Calibri" w:eastAsia="Calibri" w:hAnsi="Calibri"/>
                <w:b/>
                <w:bCs/>
                <w:color w:val="0D1B2A"/>
                <w:sz w:val="22"/>
                <w:szCs w:val="22"/>
              </w:rPr>
              <w:t xml:space="preserve">Capacité installée en énergies renouvelables en 2024</w:t>
            </w:r>
          </w:p>
          <w:p>
            <w:r>
              <w:rPr>
                <w:rFonts w:ascii="Calibri" w:cs="Calibri" w:eastAsia="Calibri" w:hAnsi="Calibri"/>
                <w:i/>
                <w:iCs/>
                <w:color w:val="3A4A5C"/>
                <w:sz w:val="20"/>
                <w:szCs w:val="20"/>
              </w:rPr>
              <w:t xml:space="preserve">Contre 2 767 MW en 2015 — quasiment doublé en 10 ans (source : IRENA 2025)</w:t>
            </w:r>
          </w:p>
        </w:tc>
      </w:tr>
      <w:tr>
        <w:tc>
          <w:tcPr>
            <w:tcW w:type="dxa" w:w="2600"/>
            <w:tcBorders>
              <w:top w:val="single" w:color="DDDDDD" w:sz="1"/>
              <w:left w:val="single" w:color="DDDDDD" w:sz="1"/>
              <w:bottom w:val="single" w:color="DDDDDD" w:sz="1"/>
              <w:right w:val="single" w:color="DDDDDD" w:sz="1"/>
            </w:tcBorders>
            <w:shd w:fill="0D1B2A" w:val="clear"/>
            <w:tcMar>
              <w:top w:type="dxa" w:w="140"/>
              <w:left w:type="dxa" w:w="180"/>
              <w:bottom w:type="dxa" w:w="140"/>
              <w:right w:type="dxa" w:w="180"/>
            </w:tcMar>
            <w:vAlign w:val="center"/>
          </w:tcPr>
          <w:p>
            <w:pPr>
              <w:jc w:val="center"/>
            </w:pPr>
            <w:r>
              <w:rPr>
                <w:rFonts w:ascii="Georgia" w:cs="Georgia" w:eastAsia="Georgia" w:hAnsi="Georgia"/>
                <w:b/>
                <w:bCs/>
                <w:color w:val="F5A800"/>
                <w:sz w:val="34"/>
                <w:szCs w:val="34"/>
              </w:rPr>
              <w:t xml:space="preserve">45,5%</w:t>
            </w:r>
          </w:p>
        </w:tc>
        <w:tc>
          <w:tcPr>
            <w:tcW w:type="dxa" w:w="6426"/>
            <w:tcBorders>
              <w:top w:val="single" w:color="DDDDDD" w:sz="1"/>
              <w:left w:val="single" w:color="DDDDDD" w:sz="1"/>
              <w:bottom w:val="single" w:color="DDDDDD" w:sz="1"/>
              <w:right w:val="single" w:color="DDDDDD" w:sz="1"/>
            </w:tcBorders>
            <w:shd w:fill="FFF8EC" w:val="clear"/>
            <w:tcMar>
              <w:top w:type="dxa" w:w="100"/>
              <w:left w:type="dxa" w:w="200"/>
              <w:bottom w:type="dxa" w:w="100"/>
              <w:right w:type="dxa" w:w="160"/>
            </w:tcMar>
            <w:vAlign w:val="center"/>
          </w:tcPr>
          <w:p>
            <w:r>
              <w:rPr>
                <w:rFonts w:ascii="Calibri" w:cs="Calibri" w:eastAsia="Calibri" w:hAnsi="Calibri"/>
                <w:b/>
                <w:bCs/>
                <w:color w:val="0D1B2A"/>
                <w:sz w:val="22"/>
                <w:szCs w:val="22"/>
              </w:rPr>
              <w:t xml:space="preserve">Part des renouvelables dans le mix électrique national (mi-2025)</w:t>
            </w:r>
          </w:p>
          <w:p>
            <w:r>
              <w:rPr>
                <w:rFonts w:ascii="Calibri" w:cs="Calibri" w:eastAsia="Calibri" w:hAnsi="Calibri"/>
                <w:i/>
                <w:iCs/>
                <w:color w:val="3A4A5C"/>
                <w:sz w:val="20"/>
                <w:szCs w:val="20"/>
              </w:rPr>
              <w:t xml:space="preserve">Objectif : 52% d'ici 2030 — le Maroc avance en avance sur son calendrier</w:t>
            </w:r>
          </w:p>
        </w:tc>
      </w:tr>
      <w:tr>
        <w:tc>
          <w:tcPr>
            <w:tcW w:type="dxa" w:w="2600"/>
            <w:tcBorders>
              <w:top w:val="single" w:color="DDDDDD" w:sz="1"/>
              <w:left w:val="single" w:color="DDDDDD" w:sz="1"/>
              <w:bottom w:val="single" w:color="DDDDDD" w:sz="1"/>
              <w:right w:val="single" w:color="DDDDDD" w:sz="1"/>
            </w:tcBorders>
            <w:shd w:fill="0D1B2A" w:val="clear"/>
            <w:tcMar>
              <w:top w:type="dxa" w:w="140"/>
              <w:left w:type="dxa" w:w="180"/>
              <w:bottom w:type="dxa" w:w="140"/>
              <w:right w:type="dxa" w:w="180"/>
            </w:tcMar>
            <w:vAlign w:val="center"/>
          </w:tcPr>
          <w:p>
            <w:pPr>
              <w:jc w:val="center"/>
            </w:pPr>
            <w:r>
              <w:rPr>
                <w:rFonts w:ascii="Georgia" w:cs="Georgia" w:eastAsia="Georgia" w:hAnsi="Georgia"/>
                <w:b/>
                <w:bCs/>
                <w:color w:val="F5A800"/>
                <w:sz w:val="34"/>
                <w:szCs w:val="34"/>
              </w:rPr>
              <w:t xml:space="preserve">2 395 MW</w:t>
            </w:r>
          </w:p>
        </w:tc>
        <w:tc>
          <w:tcPr>
            <w:tcW w:type="dxa" w:w="6426"/>
            <w:tcBorders>
              <w:top w:val="single" w:color="DDDDDD" w:sz="1"/>
              <w:left w:val="single" w:color="DDDDDD" w:sz="1"/>
              <w:bottom w:val="single" w:color="DDDDDD" w:sz="1"/>
              <w:right w:val="single" w:color="DDDDDD" w:sz="1"/>
            </w:tcBorders>
            <w:shd w:fill="FFF8EC" w:val="clear"/>
            <w:tcMar>
              <w:top w:type="dxa" w:w="100"/>
              <w:left w:type="dxa" w:w="200"/>
              <w:bottom w:type="dxa" w:w="100"/>
              <w:right w:type="dxa" w:w="160"/>
            </w:tcMar>
            <w:vAlign w:val="center"/>
          </w:tcPr>
          <w:p>
            <w:r>
              <w:rPr>
                <w:rFonts w:ascii="Calibri" w:cs="Calibri" w:eastAsia="Calibri" w:hAnsi="Calibri"/>
                <w:b/>
                <w:bCs/>
                <w:color w:val="0D1B2A"/>
                <w:sz w:val="22"/>
                <w:szCs w:val="22"/>
              </w:rPr>
              <w:t xml:space="preserve">Capacité éolienne installée en 2024</w:t>
            </w:r>
          </w:p>
          <w:p>
            <w:r>
              <w:rPr>
                <w:rFonts w:ascii="Calibri" w:cs="Calibri" w:eastAsia="Calibri" w:hAnsi="Calibri"/>
                <w:i/>
                <w:iCs/>
                <w:color w:val="3A4A5C"/>
                <w:sz w:val="20"/>
                <w:szCs w:val="20"/>
              </w:rPr>
              <w:t xml:space="preserve">Multipliée par 3 depuis 2015 — parcs Tarfaya, Boujdour, Nassim Taza (région Fès-Meknès)</w:t>
            </w:r>
          </w:p>
        </w:tc>
      </w:tr>
      <w:tr>
        <w:tc>
          <w:tcPr>
            <w:tcW w:type="dxa" w:w="2600"/>
            <w:tcBorders>
              <w:top w:val="single" w:color="DDDDDD" w:sz="1"/>
              <w:left w:val="single" w:color="DDDDDD" w:sz="1"/>
              <w:bottom w:val="single" w:color="DDDDDD" w:sz="1"/>
              <w:right w:val="single" w:color="DDDDDD" w:sz="1"/>
            </w:tcBorders>
            <w:shd w:fill="0D1B2A" w:val="clear"/>
            <w:tcMar>
              <w:top w:type="dxa" w:w="140"/>
              <w:left w:type="dxa" w:w="180"/>
              <w:bottom w:type="dxa" w:w="140"/>
              <w:right w:type="dxa" w:w="180"/>
            </w:tcMar>
            <w:vAlign w:val="center"/>
          </w:tcPr>
          <w:p>
            <w:pPr>
              <w:jc w:val="center"/>
            </w:pPr>
            <w:r>
              <w:rPr>
                <w:rFonts w:ascii="Georgia" w:cs="Georgia" w:eastAsia="Georgia" w:hAnsi="Georgia"/>
                <w:b/>
                <w:bCs/>
                <w:color w:val="F5A800"/>
                <w:sz w:val="34"/>
                <w:szCs w:val="34"/>
              </w:rPr>
              <w:t xml:space="preserve">951 MW</w:t>
            </w:r>
          </w:p>
        </w:tc>
        <w:tc>
          <w:tcPr>
            <w:tcW w:type="dxa" w:w="6426"/>
            <w:tcBorders>
              <w:top w:val="single" w:color="DDDDDD" w:sz="1"/>
              <w:left w:val="single" w:color="DDDDDD" w:sz="1"/>
              <w:bottom w:val="single" w:color="DDDDDD" w:sz="1"/>
              <w:right w:val="single" w:color="DDDDDD" w:sz="1"/>
            </w:tcBorders>
            <w:shd w:fill="FFF8EC" w:val="clear"/>
            <w:tcMar>
              <w:top w:type="dxa" w:w="100"/>
              <w:left w:type="dxa" w:w="200"/>
              <w:bottom w:type="dxa" w:w="100"/>
              <w:right w:type="dxa" w:w="160"/>
            </w:tcMar>
            <w:vAlign w:val="center"/>
          </w:tcPr>
          <w:p>
            <w:r>
              <w:rPr>
                <w:rFonts w:ascii="Calibri" w:cs="Calibri" w:eastAsia="Calibri" w:hAnsi="Calibri"/>
                <w:b/>
                <w:bCs/>
                <w:color w:val="0D1B2A"/>
                <w:sz w:val="22"/>
                <w:szCs w:val="22"/>
              </w:rPr>
              <w:t xml:space="preserve">Capacité solaire installée (PV + CSP)</w:t>
            </w:r>
          </w:p>
          <w:p>
            <w:r>
              <w:rPr>
                <w:rFonts w:ascii="Calibri" w:cs="Calibri" w:eastAsia="Calibri" w:hAnsi="Calibri"/>
                <w:i/>
                <w:iCs/>
                <w:color w:val="3A4A5C"/>
                <w:sz w:val="20"/>
                <w:szCs w:val="20"/>
              </w:rPr>
              <w:t xml:space="preserve">Noor Midelt, Noor Atlas, Oulad Farès — nouveaux projets en continu</w:t>
            </w:r>
          </w:p>
        </w:tc>
      </w:tr>
      <w:tr>
        <w:tc>
          <w:tcPr>
            <w:tcW w:type="dxa" w:w="2600"/>
            <w:tcBorders>
              <w:top w:val="single" w:color="DDDDDD" w:sz="1"/>
              <w:left w:val="single" w:color="DDDDDD" w:sz="1"/>
              <w:bottom w:val="single" w:color="DDDDDD" w:sz="1"/>
              <w:right w:val="single" w:color="DDDDDD" w:sz="1"/>
            </w:tcBorders>
            <w:shd w:fill="0D1B2A" w:val="clear"/>
            <w:tcMar>
              <w:top w:type="dxa" w:w="140"/>
              <w:left w:type="dxa" w:w="180"/>
              <w:bottom w:type="dxa" w:w="140"/>
              <w:right w:type="dxa" w:w="180"/>
            </w:tcMar>
            <w:vAlign w:val="center"/>
          </w:tcPr>
          <w:p>
            <w:pPr>
              <w:jc w:val="center"/>
            </w:pPr>
            <w:r>
              <w:rPr>
                <w:rFonts w:ascii="Georgia" w:cs="Georgia" w:eastAsia="Georgia" w:hAnsi="Georgia"/>
                <w:b/>
                <w:bCs/>
                <w:color w:val="F5A800"/>
                <w:sz w:val="34"/>
                <w:szCs w:val="34"/>
              </w:rPr>
              <w:t xml:space="preserve">×4</w:t>
            </w:r>
          </w:p>
        </w:tc>
        <w:tc>
          <w:tcPr>
            <w:tcW w:type="dxa" w:w="6426"/>
            <w:tcBorders>
              <w:top w:val="single" w:color="DDDDDD" w:sz="1"/>
              <w:left w:val="single" w:color="DDDDDD" w:sz="1"/>
              <w:bottom w:val="single" w:color="DDDDDD" w:sz="1"/>
              <w:right w:val="single" w:color="DDDDDD" w:sz="1"/>
            </w:tcBorders>
            <w:shd w:fill="FFF8EC" w:val="clear"/>
            <w:tcMar>
              <w:top w:type="dxa" w:w="100"/>
              <w:left w:type="dxa" w:w="200"/>
              <w:bottom w:type="dxa" w:w="100"/>
              <w:right w:type="dxa" w:w="160"/>
            </w:tcMar>
            <w:vAlign w:val="center"/>
          </w:tcPr>
          <w:p>
            <w:r>
              <w:rPr>
                <w:rFonts w:ascii="Calibri" w:cs="Calibri" w:eastAsia="Calibri" w:hAnsi="Calibri"/>
                <w:b/>
                <w:bCs/>
                <w:color w:val="0D1B2A"/>
                <w:sz w:val="22"/>
                <w:szCs w:val="22"/>
              </w:rPr>
              <w:t xml:space="preserve">Multiplication des investissements renouvelables</w:t>
            </w:r>
          </w:p>
          <w:p>
            <w:r>
              <w:rPr>
                <w:rFonts w:ascii="Calibri" w:cs="Calibri" w:eastAsia="Calibri" w:hAnsi="Calibri"/>
                <w:i/>
                <w:iCs/>
                <w:color w:val="3A4A5C"/>
                <w:sz w:val="20"/>
                <w:szCs w:val="20"/>
              </w:rPr>
              <w:t xml:space="preserve">Les réseaux électriques : ×5 — annoncé par la Ministre Leila Benali (Elec Expo 2025)</w:t>
            </w:r>
          </w:p>
        </w:tc>
      </w:tr>
    </w:tbl>
    <w:p/>
    <w:p>
      <w:pPr>
        <w:spacing w:before="60" w:after="60"/>
        <w:jc w:val="both"/>
      </w:pPr>
      <w:r>
        <w:rPr>
          <w:rFonts w:ascii="Calibri" w:cs="Calibri" w:eastAsia="Calibri" w:hAnsi="Calibri"/>
          <w:b w:val="false"/>
          <w:bCs w:val="false"/>
          <w:i w:val="false"/>
          <w:iCs w:val="false"/>
          <w:color w:val="0D1B2A"/>
          <w:sz w:val="22"/>
          <w:szCs w:val="22"/>
        </w:rPr>
        <w:t xml:space="preserve">Un fait remarquable : la région Fès-Meknès est directement concernée par ces investissements. Le parc éolien Nassim Taza II (80 MW, 590 millions de dirhams) est en construction dans votre région. Vous serez formés à l'ENSA Fès pour travailler sur des projets comme celui-ci — à quelques kilomètres de votre école.</w:t>
      </w:r>
    </w:p>
    <w:p/>
    <w:p>
      <w:pPr>
        <w:pStyle w:val="Heading2"/>
        <w:spacing w:before="240" w:after="120"/>
      </w:pPr>
      <w:r>
        <w:rPr>
          <w:rFonts w:ascii="Georgia" w:cs="Georgia" w:eastAsia="Georgia" w:hAnsi="Georgia"/>
          <w:b/>
          <w:bCs/>
          <w:color w:val="F5A800"/>
          <w:sz w:val="27"/>
          <w:szCs w:val="27"/>
        </w:rPr>
        <w:t xml:space="preserve">2.2 — L'Hydrogène Vert : le grand pari du Maroc</w:t>
      </w:r>
    </w:p>
    <w:p>
      <w:pPr>
        <w:spacing w:before="60" w:after="60"/>
        <w:jc w:val="both"/>
      </w:pPr>
      <w:r>
        <w:rPr>
          <w:rFonts w:ascii="Calibri" w:cs="Calibri" w:eastAsia="Calibri" w:hAnsi="Calibri"/>
          <w:b w:val="false"/>
          <w:bCs w:val="false"/>
          <w:i w:val="false"/>
          <w:iCs w:val="false"/>
          <w:color w:val="0D1B2A"/>
          <w:sz w:val="22"/>
          <w:szCs w:val="22"/>
        </w:rPr>
        <w:t xml:space="preserve">Le Maroc est l'un des six pays au monde présentant le plus grand potentiel en hydrogène vert (Power-to-X). Sa combinaison de vent intense, d'ensoleillement exceptionnel, de ports profonds et de proximité avec l'Europe en fait un candidat naturel pour alimenter l'économie décarbonée mondiale.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DDDDD" w:sz="1"/>
              <w:left w:val="single" w:color="DDDDDD" w:sz="1"/>
              <w:bottom w:val="single" w:color="DDDDDD" w:sz="1"/>
              <w:right w:val="single" w:color="DDDDDD" w:sz="1"/>
            </w:tcBorders>
            <w:shd w:fill="0D1B2A" w:val="clear"/>
            <w:tcMar>
              <w:top w:type="dxa" w:w="140"/>
              <w:left w:type="dxa" w:w="180"/>
              <w:bottom w:type="dxa" w:w="140"/>
              <w:right w:type="dxa" w:w="180"/>
            </w:tcMar>
            <w:vAlign w:val="center"/>
          </w:tcPr>
          <w:p>
            <w:pPr>
              <w:jc w:val="center"/>
            </w:pPr>
            <w:r>
              <w:rPr>
                <w:rFonts w:ascii="Georgia" w:cs="Georgia" w:eastAsia="Georgia" w:hAnsi="Georgia"/>
                <w:b/>
                <w:bCs/>
                <w:color w:val="F5A800"/>
                <w:sz w:val="34"/>
                <w:szCs w:val="34"/>
              </w:rPr>
              <w:t xml:space="preserve">319 Mds DH</w:t>
            </w:r>
          </w:p>
        </w:tc>
        <w:tc>
          <w:tcPr>
            <w:tcW w:type="dxa" w:w="6426"/>
            <w:tcBorders>
              <w:top w:val="single" w:color="DDDDDD" w:sz="1"/>
              <w:left w:val="single" w:color="DDDDDD" w:sz="1"/>
              <w:bottom w:val="single" w:color="DDDDDD" w:sz="1"/>
              <w:right w:val="single" w:color="DDDDDD" w:sz="1"/>
            </w:tcBorders>
            <w:shd w:fill="FFF8EC" w:val="clear"/>
            <w:tcMar>
              <w:top w:type="dxa" w:w="100"/>
              <w:left w:type="dxa" w:w="200"/>
              <w:bottom w:type="dxa" w:w="100"/>
              <w:right w:type="dxa" w:w="160"/>
            </w:tcMar>
            <w:vAlign w:val="center"/>
          </w:tcPr>
          <w:p>
            <w:r>
              <w:rPr>
                <w:rFonts w:ascii="Calibri" w:cs="Calibri" w:eastAsia="Calibri" w:hAnsi="Calibri"/>
                <w:b/>
                <w:bCs/>
                <w:color w:val="0D1B2A"/>
                <w:sz w:val="22"/>
                <w:szCs w:val="22"/>
              </w:rPr>
              <w:t xml:space="preserve">Valeur des projets hydrogène approuvés en mars 2025</w:t>
            </w:r>
          </w:p>
          <w:p>
            <w:r>
              <w:rPr>
                <w:rFonts w:ascii="Calibri" w:cs="Calibri" w:eastAsia="Calibri" w:hAnsi="Calibri"/>
                <w:i/>
                <w:iCs/>
                <w:color w:val="3A4A5C"/>
                <w:sz w:val="20"/>
                <w:szCs w:val="20"/>
              </w:rPr>
              <w:t xml:space="preserve">Production d'ammoniac, d'acier vert, de combustibles industriels — acteurs européens, américains, du Golfe</w:t>
            </w:r>
          </w:p>
        </w:tc>
      </w:tr>
      <w:tr>
        <w:tc>
          <w:tcPr>
            <w:tcW w:type="dxa" w:w="2600"/>
            <w:tcBorders>
              <w:top w:val="single" w:color="DDDDDD" w:sz="1"/>
              <w:left w:val="single" w:color="DDDDDD" w:sz="1"/>
              <w:bottom w:val="single" w:color="DDDDDD" w:sz="1"/>
              <w:right w:val="single" w:color="DDDDDD" w:sz="1"/>
            </w:tcBorders>
            <w:shd w:fill="0D1B2A" w:val="clear"/>
            <w:tcMar>
              <w:top w:type="dxa" w:w="140"/>
              <w:left w:type="dxa" w:w="180"/>
              <w:bottom w:type="dxa" w:w="140"/>
              <w:right w:type="dxa" w:w="180"/>
            </w:tcMar>
            <w:vAlign w:val="center"/>
          </w:tcPr>
          <w:p>
            <w:pPr>
              <w:jc w:val="center"/>
            </w:pPr>
            <w:r>
              <w:rPr>
                <w:rFonts w:ascii="Georgia" w:cs="Georgia" w:eastAsia="Georgia" w:hAnsi="Georgia"/>
                <w:b/>
                <w:bCs/>
                <w:color w:val="F5A800"/>
                <w:sz w:val="34"/>
                <w:szCs w:val="34"/>
              </w:rPr>
              <w:t xml:space="preserve">4–8%</w:t>
            </w:r>
          </w:p>
        </w:tc>
        <w:tc>
          <w:tcPr>
            <w:tcW w:type="dxa" w:w="6426"/>
            <w:tcBorders>
              <w:top w:val="single" w:color="DDDDDD" w:sz="1"/>
              <w:left w:val="single" w:color="DDDDDD" w:sz="1"/>
              <w:bottom w:val="single" w:color="DDDDDD" w:sz="1"/>
              <w:right w:val="single" w:color="DDDDDD" w:sz="1"/>
            </w:tcBorders>
            <w:shd w:fill="FFF8EC" w:val="clear"/>
            <w:tcMar>
              <w:top w:type="dxa" w:w="100"/>
              <w:left w:type="dxa" w:w="200"/>
              <w:bottom w:type="dxa" w:w="100"/>
              <w:right w:type="dxa" w:w="160"/>
            </w:tcMar>
            <w:vAlign w:val="center"/>
          </w:tcPr>
          <w:p>
            <w:r>
              <w:rPr>
                <w:rFonts w:ascii="Calibri" w:cs="Calibri" w:eastAsia="Calibri" w:hAnsi="Calibri"/>
                <w:b/>
                <w:bCs/>
                <w:color w:val="0D1B2A"/>
                <w:sz w:val="22"/>
                <w:szCs w:val="22"/>
              </w:rPr>
              <w:t xml:space="preserve">Part du marché mondial Power-to-X que le Maroc peut capter</w:t>
            </w:r>
          </w:p>
          <w:p>
            <w:r>
              <w:rPr>
                <w:rFonts w:ascii="Calibri" w:cs="Calibri" w:eastAsia="Calibri" w:hAnsi="Calibri"/>
                <w:i/>
                <w:iCs/>
                <w:color w:val="3A4A5C"/>
                <w:sz w:val="20"/>
                <w:szCs w:val="20"/>
              </w:rPr>
              <w:t xml:space="preserve">Potentiel de revenus entre 100 et 400 millions d'euros (études prospectives)</w:t>
            </w:r>
          </w:p>
        </w:tc>
      </w:tr>
      <w:tr>
        <w:tc>
          <w:tcPr>
            <w:tcW w:type="dxa" w:w="2600"/>
            <w:tcBorders>
              <w:top w:val="single" w:color="DDDDDD" w:sz="1"/>
              <w:left w:val="single" w:color="DDDDDD" w:sz="1"/>
              <w:bottom w:val="single" w:color="DDDDDD" w:sz="1"/>
              <w:right w:val="single" w:color="DDDDDD" w:sz="1"/>
            </w:tcBorders>
            <w:shd w:fill="0D1B2A" w:val="clear"/>
            <w:tcMar>
              <w:top w:type="dxa" w:w="140"/>
              <w:left w:type="dxa" w:w="180"/>
              <w:bottom w:type="dxa" w:w="140"/>
              <w:right w:type="dxa" w:w="180"/>
            </w:tcMar>
            <w:vAlign w:val="center"/>
          </w:tcPr>
          <w:p>
            <w:pPr>
              <w:jc w:val="center"/>
            </w:pPr>
            <w:r>
              <w:rPr>
                <w:rFonts w:ascii="Georgia" w:cs="Georgia" w:eastAsia="Georgia" w:hAnsi="Georgia"/>
                <w:b/>
                <w:bCs/>
                <w:color w:val="F5A800"/>
                <w:sz w:val="34"/>
                <w:szCs w:val="34"/>
              </w:rPr>
              <w:t xml:space="preserve">9 Mt/an</w:t>
            </w:r>
          </w:p>
        </w:tc>
        <w:tc>
          <w:tcPr>
            <w:tcW w:type="dxa" w:w="6426"/>
            <w:tcBorders>
              <w:top w:val="single" w:color="DDDDDD" w:sz="1"/>
              <w:left w:val="single" w:color="DDDDDD" w:sz="1"/>
              <w:bottom w:val="single" w:color="DDDDDD" w:sz="1"/>
              <w:right w:val="single" w:color="DDDDDD" w:sz="1"/>
            </w:tcBorders>
            <w:shd w:fill="FFF8EC" w:val="clear"/>
            <w:tcMar>
              <w:top w:type="dxa" w:w="100"/>
              <w:left w:type="dxa" w:w="200"/>
              <w:bottom w:type="dxa" w:w="100"/>
              <w:right w:type="dxa" w:w="160"/>
            </w:tcMar>
            <w:vAlign w:val="center"/>
          </w:tcPr>
          <w:p>
            <w:r>
              <w:rPr>
                <w:rFonts w:ascii="Calibri" w:cs="Calibri" w:eastAsia="Calibri" w:hAnsi="Calibri"/>
                <w:b/>
                <w:bCs/>
                <w:color w:val="0D1B2A"/>
                <w:sz w:val="22"/>
                <w:szCs w:val="22"/>
              </w:rPr>
              <w:t xml:space="preserve">Capacité de production d'hydrogène vert projetée d'ici 2050</w:t>
            </w:r>
          </w:p>
          <w:p>
            <w:r>
              <w:rPr>
                <w:rFonts w:ascii="Calibri" w:cs="Calibri" w:eastAsia="Calibri" w:hAnsi="Calibri"/>
                <w:i/>
                <w:iCs/>
                <w:color w:val="3A4A5C"/>
                <w:sz w:val="20"/>
                <w:szCs w:val="20"/>
              </w:rPr>
              <w:t xml:space="preserve">Dont 7 Mt destinées à l'export — principalement vers l'Europe</w:t>
            </w:r>
          </w:p>
        </w:tc>
      </w:tr>
    </w:tbl>
    <w:p/>
    <w:p>
      <w:pPr>
        <w:spacing w:before="60" w:after="60"/>
        <w:jc w:val="both"/>
      </w:pPr>
      <w:r>
        <w:rPr>
          <w:rFonts w:ascii="Calibri" w:cs="Calibri" w:eastAsia="Calibri" w:hAnsi="Calibri"/>
          <w:b w:val="false"/>
          <w:bCs w:val="false"/>
          <w:i w:val="false"/>
          <w:iCs w:val="false"/>
          <w:color w:val="0D1B2A"/>
          <w:sz w:val="22"/>
          <w:szCs w:val="22"/>
        </w:rPr>
        <w:t xml:space="preserve">OCP Group (leader mondial du phosphate) développe sa plateforme Green H2A pour produire de l'hydrogène vert à Casablanca-Settat, avec 30 millions de dirhams investis d'ici 2025. L'ingénieur GESI est au cœur de tous ces projets.</w:t>
      </w:r>
    </w:p>
    <w:p/>
    <w:p>
      <w:pPr>
        <w:pStyle w:val="Heading2"/>
        <w:spacing w:before="240" w:after="120"/>
      </w:pPr>
      <w:r>
        <w:rPr>
          <w:rFonts w:ascii="Georgia" w:cs="Georgia" w:eastAsia="Georgia" w:hAnsi="Georgia"/>
          <w:b/>
          <w:bCs/>
          <w:color w:val="F5A800"/>
          <w:sz w:val="27"/>
          <w:szCs w:val="27"/>
        </w:rPr>
        <w:t xml:space="preserve">2.3 — La Vision Royale &amp; la Stratégie Nationale Énergie 2030</w:t>
      </w:r>
    </w:p>
    <w:p>
      <w:pPr>
        <w:pStyle w:val="ListParagraph"/>
        <w:numPr>
          <w:ilvl w:val="0"/>
          <w:numId w:val="2"/>
        </w:numPr>
        <w:spacing w:before="50" w:after="50"/>
      </w:pPr>
      <w:r>
        <w:rPr>
          <w:rFonts w:ascii="Calibri" w:cs="Calibri" w:eastAsia="Calibri" w:hAnsi="Calibri"/>
          <w:b w:val="false"/>
          <w:bCs w:val="false"/>
          <w:color w:val="0D1B2A"/>
          <w:sz w:val="22"/>
          <w:szCs w:val="22"/>
        </w:rPr>
        <w:t xml:space="preserve">Objectif 52% d'énergies renouvelables dans le mix électrique d'ici 2030</w:t>
      </w:r>
    </w:p>
    <w:p>
      <w:pPr>
        <w:pStyle w:val="ListParagraph"/>
        <w:numPr>
          <w:ilvl w:val="0"/>
          <w:numId w:val="2"/>
        </w:numPr>
        <w:spacing w:before="50" w:after="50"/>
      </w:pPr>
      <w:r>
        <w:rPr>
          <w:rFonts w:ascii="Calibri" w:cs="Calibri" w:eastAsia="Calibri" w:hAnsi="Calibri"/>
          <w:b w:val="false"/>
          <w:bCs w:val="false"/>
          <w:color w:val="0D1B2A"/>
          <w:sz w:val="22"/>
          <w:szCs w:val="22"/>
        </w:rPr>
        <w:t xml:space="preserve">Réduction de 53% des émissions de GES d'ici 2035 (NDC mise à jour octobre 2025)</w:t>
      </w:r>
    </w:p>
    <w:p>
      <w:pPr>
        <w:pStyle w:val="ListParagraph"/>
        <w:numPr>
          <w:ilvl w:val="0"/>
          <w:numId w:val="2"/>
        </w:numPr>
        <w:spacing w:before="50" w:after="50"/>
      </w:pPr>
      <w:r>
        <w:rPr>
          <w:rFonts w:ascii="Calibri" w:cs="Calibri" w:eastAsia="Calibri" w:hAnsi="Calibri"/>
          <w:b w:val="false"/>
          <w:bCs w:val="false"/>
          <w:color w:val="0D1B2A"/>
          <w:sz w:val="22"/>
          <w:szCs w:val="22"/>
        </w:rPr>
        <w:t xml:space="preserve">Maroc : Top 10 mondial du Climate Change Performance Index 2025</w:t>
      </w:r>
    </w:p>
    <w:p>
      <w:pPr>
        <w:pStyle w:val="ListParagraph"/>
        <w:numPr>
          <w:ilvl w:val="0"/>
          <w:numId w:val="2"/>
        </w:numPr>
        <w:spacing w:before="50" w:after="50"/>
      </w:pPr>
      <w:r>
        <w:rPr>
          <w:rFonts w:ascii="Calibri" w:cs="Calibri" w:eastAsia="Calibri" w:hAnsi="Calibri"/>
          <w:b w:val="false"/>
          <w:bCs w:val="false"/>
          <w:color w:val="0D1B2A"/>
          <w:sz w:val="22"/>
          <w:szCs w:val="22"/>
        </w:rPr>
        <w:t xml:space="preserve">1ère place africaine dans l'indice d'attractivité en énergies renouvelables EY 2025</w:t>
      </w:r>
    </w:p>
    <w:p>
      <w:pPr>
        <w:pStyle w:val="ListParagraph"/>
        <w:numPr>
          <w:ilvl w:val="0"/>
          <w:numId w:val="2"/>
        </w:numPr>
        <w:spacing w:before="50" w:after="50"/>
      </w:pPr>
      <w:r>
        <w:rPr>
          <w:rFonts w:ascii="Calibri" w:cs="Calibri" w:eastAsia="Calibri" w:hAnsi="Calibri"/>
          <w:b w:val="false"/>
          <w:bCs w:val="false"/>
          <w:color w:val="0D1B2A"/>
          <w:sz w:val="22"/>
          <w:szCs w:val="22"/>
        </w:rPr>
        <w:t xml:space="preserve">Objectif : devenir hub énergétique pour l'Europe ET l'Afrique subsaharienne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
        <w:gridCol w:w="8676"/>
      </w:tblGrid>
      <w:tr>
        <w:tc>
          <w:tcPr>
            <w:tcW w:type="dxa" w:w="350"/>
            <w:tcBorders>
              <w:top w:val="none" w:color="FFFFFF" w:sz="0"/>
              <w:left w:val="none" w:color="FFFFFF" w:sz="0"/>
              <w:bottom w:val="none" w:color="FFFFFF" w:sz="0"/>
              <w:right w:val="none" w:color="FFFFFF" w:sz="0"/>
            </w:tcBorders>
            <w:shd w:fill="F5A800" w:val="clear"/>
            <w:tcMar>
              <w:top w:type="dxa" w:w="80"/>
              <w:left w:type="dxa" w:w="80"/>
              <w:bottom w:type="dxa" w:w="80"/>
              <w:right w:type="dxa" w:w="80"/>
            </w:tcMar>
          </w:tcPr>
          <w:p/>
        </w:tc>
        <w:tc>
          <w:tcPr>
            <w:tcW w:type="dxa" w:w="8676"/>
            <w:tcBorders>
              <w:top w:val="none" w:color="FFFFFF" w:sz="0"/>
              <w:left w:val="none" w:color="FFFFFF" w:sz="0"/>
              <w:bottom w:val="none" w:color="FFFFFF" w:sz="0"/>
              <w:right w:val="none" w:color="FFFFFF" w:sz="0"/>
            </w:tcBorders>
            <w:shd w:fill="E8F6FD" w:val="clear"/>
            <w:tcMar>
              <w:top w:type="dxa" w:w="140"/>
              <w:left w:type="dxa" w:w="220"/>
              <w:bottom w:type="dxa" w:w="140"/>
              <w:right w:type="dxa" w:w="220"/>
            </w:tcMar>
          </w:tcPr>
          <w:p>
            <w:r>
              <w:rPr>
                <w:rFonts w:ascii="Georgia" w:cs="Georgia" w:eastAsia="Georgia" w:hAnsi="Georgia"/>
                <w:i/>
                <w:iCs/>
                <w:color w:val="0D1B2A"/>
                <w:sz w:val="22"/>
                <w:szCs w:val="22"/>
              </w:rPr>
              <w:t xml:space="preserve">"Le Maroc entend jouer un rôle central dans la transition énergétique mondiale grâce à l'hydrogène vert. Avec ses ressources éoliennes et solaires exceptionnelles, il vise à capter 4% de la demande mondiale dès 2030."</w:t>
            </w:r>
          </w:p>
          <w:p>
            <w:r>
              <w:rPr>
                <w:rFonts w:ascii="Calibri" w:cs="Calibri" w:eastAsia="Calibri" w:hAnsi="Calibri"/>
                <w:b/>
                <w:bCs/>
                <w:color w:val="00A8E8"/>
                <w:sz w:val="20"/>
                <w:szCs w:val="20"/>
              </w:rPr>
              <w:t xml:space="preserve">— Leila Benali, Ministre de la Transition Énergétique et du Développement Durable</w:t>
            </w:r>
          </w:p>
        </w:tc>
      </w:tr>
    </w:tbl>
    <w:p>
      <w:r>
        <w:br w:type="page"/>
      </w:r>
    </w:p>
    <w:p>
      <w:pPr>
        <w:pStyle w:val="Heading1"/>
        <w:spacing w:before="360" w:after="160"/>
      </w:pPr>
      <w:r>
        <w:rPr>
          <w:rFonts w:ascii="Georgia" w:cs="Georgia" w:eastAsia="Georgia" w:hAnsi="Georgia"/>
          <w:b/>
          <w:bCs/>
          <w:color w:val="0D1B2A"/>
          <w:sz w:val="36"/>
          <w:szCs w:val="36"/>
        </w:rPr>
        <w:t xml:space="preserve">3. Programme Complet — Semestre par Semestre</w:t>
      </w:r>
    </w:p>
    <w:p>
      <w:pPr>
        <w:pBdr>
          <w:bottom w:val="single" w:color="F5A800" w:sz="10" w:space="1"/>
        </w:pBdr>
        <w:spacing w:before="80" w:after="80"/>
      </w:pPr>
    </w:p>
    <w:p/>
    <w:p>
      <w:pPr>
        <w:spacing w:before="60" w:after="60"/>
        <w:jc w:val="both"/>
      </w:pPr>
      <w:r>
        <w:rPr>
          <w:rFonts w:ascii="Calibri" w:cs="Calibri" w:eastAsia="Calibri" w:hAnsi="Calibri"/>
          <w:b w:val="false"/>
          <w:bCs w:val="false"/>
          <w:i w:val="false"/>
          <w:iCs w:val="false"/>
          <w:color w:val="0D1B2A"/>
          <w:sz w:val="22"/>
          <w:szCs w:val="22"/>
        </w:rPr>
        <w:t xml:space="preserve">Le programme GESI à l'ENSA Fès est structuré sur 3 ans (6 semestres). Il couvre en profondeur l'énergie thermique et fluide, les systèmes électriques intelligents, l'électronique embarquée, et l'intelligence artificielle appliquée — une combinaison unique sur le marché de l'emploi.</w:t>
      </w:r>
    </w:p>
    <w:p/>
    <w:p>
      <w:pPr>
        <w:pStyle w:val="Heading2"/>
        <w:spacing w:before="240" w:after="120"/>
      </w:pPr>
      <w:r>
        <w:rPr>
          <w:rFonts w:ascii="Georgia" w:cs="Georgia" w:eastAsia="Georgia" w:hAnsi="Georgia"/>
          <w:b/>
          <w:bCs/>
          <w:color w:val="F5A800"/>
          <w:sz w:val="27"/>
          <w:szCs w:val="27"/>
        </w:rPr>
        <w:t xml:space="preserve">Semestre 1 — Fondamentaux pluridisciplinaires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526"/>
        <w:gridCol w:w="1500"/>
      </w:tblGrid>
      <w:tr>
        <w:tc>
          <w:tcPr>
            <w:tcW w:type="dxa" w:w="3000"/>
            <w:tcBorders>
              <w:top w:val="single" w:color="DDDDDD" w:sz="1"/>
              <w:left w:val="single" w:color="DDDDDD" w:sz="1"/>
              <w:bottom w:val="single" w:color="DDDDDD" w:sz="1"/>
              <w:right w:val="single" w:color="DDDDDD" w:sz="1"/>
            </w:tcBorders>
            <w:shd w:fill="0D1B2A" w:val="clear"/>
            <w:tcMar>
              <w:top w:type="dxa" w:w="100"/>
              <w:left w:type="dxa" w:w="140"/>
              <w:bottom w:type="dxa" w:w="100"/>
              <w:right w:type="dxa" w:w="140"/>
            </w:tcMar>
          </w:tcPr>
          <w:p>
            <w:pPr>
              <w:jc w:val="center"/>
            </w:pPr>
            <w:r>
              <w:rPr>
                <w:rFonts w:ascii="Calibri" w:cs="Calibri" w:eastAsia="Calibri" w:hAnsi="Calibri"/>
                <w:b/>
                <w:bCs/>
                <w:color w:val="F5A800"/>
                <w:sz w:val="21"/>
                <w:szCs w:val="21"/>
              </w:rPr>
              <w:t xml:space="preserve">Module</w:t>
            </w:r>
          </w:p>
        </w:tc>
        <w:tc>
          <w:tcPr>
            <w:tcW w:type="dxa" w:w="4526"/>
            <w:tcBorders>
              <w:top w:val="single" w:color="DDDDDD" w:sz="1"/>
              <w:left w:val="single" w:color="DDDDDD" w:sz="1"/>
              <w:bottom w:val="single" w:color="DDDDDD" w:sz="1"/>
              <w:right w:val="single" w:color="DDDDDD" w:sz="1"/>
            </w:tcBorders>
            <w:shd w:fill="0D1B2A" w:val="clear"/>
            <w:tcMar>
              <w:top w:type="dxa" w:w="100"/>
              <w:left w:type="dxa" w:w="140"/>
              <w:bottom w:type="dxa" w:w="100"/>
              <w:right w:type="dxa" w:w="140"/>
            </w:tcMar>
          </w:tcPr>
          <w:p>
            <w:pPr>
              <w:jc w:val="center"/>
            </w:pPr>
            <w:r>
              <w:rPr>
                <w:rFonts w:ascii="Calibri" w:cs="Calibri" w:eastAsia="Calibri" w:hAnsi="Calibri"/>
                <w:b/>
                <w:bCs/>
                <w:color w:val="F5A800"/>
                <w:sz w:val="21"/>
                <w:szCs w:val="21"/>
              </w:rPr>
              <w:t xml:space="preserve">Contenu</w:t>
            </w:r>
          </w:p>
        </w:tc>
        <w:tc>
          <w:tcPr>
            <w:tcW w:type="dxa" w:w="1500"/>
            <w:tcBorders>
              <w:top w:val="single" w:color="DDDDDD" w:sz="1"/>
              <w:left w:val="single" w:color="DDDDDD" w:sz="1"/>
              <w:bottom w:val="single" w:color="DDDDDD" w:sz="1"/>
              <w:right w:val="single" w:color="DDDDDD" w:sz="1"/>
            </w:tcBorders>
            <w:shd w:fill="0D1B2A" w:val="clear"/>
            <w:tcMar>
              <w:top w:type="dxa" w:w="100"/>
              <w:left w:type="dxa" w:w="140"/>
              <w:bottom w:type="dxa" w:w="100"/>
              <w:right w:type="dxa" w:w="140"/>
            </w:tcMar>
          </w:tcPr>
          <w:p>
            <w:pPr>
              <w:jc w:val="center"/>
            </w:pPr>
            <w:r>
              <w:rPr>
                <w:rFonts w:ascii="Calibri" w:cs="Calibri" w:eastAsia="Calibri" w:hAnsi="Calibri"/>
                <w:b/>
                <w:bCs/>
                <w:color w:val="F5A800"/>
                <w:sz w:val="21"/>
                <w:szCs w:val="21"/>
              </w:rPr>
              <w:t xml:space="preserve">Volume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M111 — Outils de calcul &amp; simulation</w:t>
            </w:r>
          </w:p>
        </w:tc>
        <w:tc>
          <w:tcPr>
            <w:tcW w:type="dxa" w:w="45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Simulation industrielle + Outils de calcul numérique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48h</w:t>
            </w:r>
          </w:p>
        </w:tc>
      </w:tr>
      <w:tr>
        <w:tc>
          <w:tcPr>
            <w:tcW w:type="dxa" w:w="3000"/>
            <w:tcBorders>
              <w:top w:val="single" w:color="DDDDDD" w:sz="1"/>
              <w:left w:val="single" w:color="DDDDDD" w:sz="1"/>
              <w:bottom w:val="single" w:color="DDDDDD" w:sz="1"/>
              <w:right w:val="single" w:color="DDDDDD" w:sz="1"/>
            </w:tcBorders>
            <w:shd w:fill="FFF8EC" w:val="clear"/>
            <w:tcMar>
              <w:top w:type="dxa" w:w="80"/>
              <w:left w:type="dxa" w:w="140"/>
              <w:bottom w:type="dxa" w:w="80"/>
              <w:right w:type="dxa" w:w="140"/>
            </w:tcMar>
          </w:tcPr>
          <w:p>
            <w:r>
              <w:rPr>
                <w:rFonts w:ascii="Calibri" w:cs="Calibri" w:eastAsia="Calibri" w:hAnsi="Calibri"/>
                <w:color w:val="0D1B2A"/>
                <w:sz w:val="20"/>
                <w:szCs w:val="20"/>
              </w:rPr>
              <w:t xml:space="preserve">M112 — Transferts chaleur &amp; masse</w:t>
            </w:r>
          </w:p>
        </w:tc>
        <w:tc>
          <w:tcPr>
            <w:tcW w:type="dxa" w:w="4526"/>
            <w:tcBorders>
              <w:top w:val="single" w:color="DDDDDD" w:sz="1"/>
              <w:left w:val="single" w:color="DDDDDD" w:sz="1"/>
              <w:bottom w:val="single" w:color="DDDDDD" w:sz="1"/>
              <w:right w:val="single" w:color="DDDDDD" w:sz="1"/>
            </w:tcBorders>
            <w:shd w:fill="FFF8EC" w:val="clear"/>
            <w:tcMar>
              <w:top w:type="dxa" w:w="80"/>
              <w:left w:type="dxa" w:w="140"/>
              <w:bottom w:type="dxa" w:w="80"/>
              <w:right w:type="dxa" w:w="140"/>
            </w:tcMar>
          </w:tcPr>
          <w:p>
            <w:r>
              <w:rPr>
                <w:rFonts w:ascii="Calibri" w:cs="Calibri" w:eastAsia="Calibri" w:hAnsi="Calibri"/>
                <w:color w:val="0D1B2A"/>
                <w:sz w:val="20"/>
                <w:szCs w:val="20"/>
              </w:rPr>
              <w:t xml:space="preserve">Transferts thermiques + Transferts de masse</w:t>
            </w:r>
          </w:p>
        </w:tc>
        <w:tc>
          <w:tcPr>
            <w:tcW w:type="dxa" w:w="1500"/>
            <w:tcBorders>
              <w:top w:val="single" w:color="DDDDDD" w:sz="1"/>
              <w:left w:val="single" w:color="DDDDDD" w:sz="1"/>
              <w:bottom w:val="single" w:color="DDDDDD" w:sz="1"/>
              <w:right w:val="single" w:color="DDDDDD" w:sz="1"/>
            </w:tcBorders>
            <w:shd w:fill="FFF8EC" w:val="clear"/>
            <w:tcMar>
              <w:top w:type="dxa" w:w="80"/>
              <w:left w:type="dxa" w:w="140"/>
              <w:bottom w:type="dxa" w:w="80"/>
              <w:right w:type="dxa" w:w="140"/>
            </w:tcMar>
          </w:tcPr>
          <w:p>
            <w:r>
              <w:rPr>
                <w:rFonts w:ascii="Calibri" w:cs="Calibri" w:eastAsia="Calibri" w:hAnsi="Calibri"/>
                <w:color w:val="0D1B2A"/>
                <w:sz w:val="20"/>
                <w:szCs w:val="20"/>
              </w:rPr>
              <w:t xml:space="preserve">48h</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M113 — Traitement du signal &amp; automatique</w:t>
            </w:r>
          </w:p>
        </w:tc>
        <w:tc>
          <w:tcPr>
            <w:tcW w:type="dxa" w:w="45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Traitement du signal + Automatique des systèmes linéaires</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48h</w:t>
            </w:r>
          </w:p>
        </w:tc>
      </w:tr>
      <w:tr>
        <w:tc>
          <w:tcPr>
            <w:tcW w:type="dxa" w:w="3000"/>
            <w:tcBorders>
              <w:top w:val="single" w:color="DDDDDD" w:sz="1"/>
              <w:left w:val="single" w:color="DDDDDD" w:sz="1"/>
              <w:bottom w:val="single" w:color="DDDDDD" w:sz="1"/>
              <w:right w:val="single" w:color="DDDDDD" w:sz="1"/>
            </w:tcBorders>
            <w:shd w:fill="FFF8EC" w:val="clear"/>
            <w:tcMar>
              <w:top w:type="dxa" w:w="80"/>
              <w:left w:type="dxa" w:w="140"/>
              <w:bottom w:type="dxa" w:w="80"/>
              <w:right w:type="dxa" w:w="140"/>
            </w:tcMar>
          </w:tcPr>
          <w:p>
            <w:r>
              <w:rPr>
                <w:rFonts w:ascii="Calibri" w:cs="Calibri" w:eastAsia="Calibri" w:hAnsi="Calibri"/>
                <w:color w:val="0D1B2A"/>
                <w:sz w:val="20"/>
                <w:szCs w:val="20"/>
              </w:rPr>
              <w:t xml:space="preserve">M114 — Machines électriques</w:t>
            </w:r>
          </w:p>
        </w:tc>
        <w:tc>
          <w:tcPr>
            <w:tcW w:type="dxa" w:w="4526"/>
            <w:tcBorders>
              <w:top w:val="single" w:color="DDDDDD" w:sz="1"/>
              <w:left w:val="single" w:color="DDDDDD" w:sz="1"/>
              <w:bottom w:val="single" w:color="DDDDDD" w:sz="1"/>
              <w:right w:val="single" w:color="DDDDDD" w:sz="1"/>
            </w:tcBorders>
            <w:shd w:fill="FFF8EC" w:val="clear"/>
            <w:tcMar>
              <w:top w:type="dxa" w:w="80"/>
              <w:left w:type="dxa" w:w="140"/>
              <w:bottom w:type="dxa" w:w="80"/>
              <w:right w:type="dxa" w:w="140"/>
            </w:tcMar>
          </w:tcPr>
          <w:p>
            <w:r>
              <w:rPr>
                <w:rFonts w:ascii="Calibri" w:cs="Calibri" w:eastAsia="Calibri" w:hAnsi="Calibri"/>
                <w:color w:val="0D1B2A"/>
                <w:sz w:val="20"/>
                <w:szCs w:val="20"/>
              </w:rPr>
              <w:t xml:space="preserve">Machines électriques (moteurs, alternateurs, transformateurs)</w:t>
            </w:r>
          </w:p>
        </w:tc>
        <w:tc>
          <w:tcPr>
            <w:tcW w:type="dxa" w:w="1500"/>
            <w:tcBorders>
              <w:top w:val="single" w:color="DDDDDD" w:sz="1"/>
              <w:left w:val="single" w:color="DDDDDD" w:sz="1"/>
              <w:bottom w:val="single" w:color="DDDDDD" w:sz="1"/>
              <w:right w:val="single" w:color="DDDDDD" w:sz="1"/>
            </w:tcBorders>
            <w:shd w:fill="FFF8EC" w:val="clear"/>
            <w:tcMar>
              <w:top w:type="dxa" w:w="80"/>
              <w:left w:type="dxa" w:w="140"/>
              <w:bottom w:type="dxa" w:w="80"/>
              <w:right w:type="dxa" w:w="140"/>
            </w:tcMar>
          </w:tcPr>
          <w:p>
            <w:r>
              <w:rPr>
                <w:rFonts w:ascii="Calibri" w:cs="Calibri" w:eastAsia="Calibri" w:hAnsi="Calibri"/>
                <w:color w:val="0D1B2A"/>
                <w:sz w:val="20"/>
                <w:szCs w:val="20"/>
              </w:rPr>
              <w:t xml:space="preserve">48h</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M115 — Mécanique des fluides &amp; matériaux</w:t>
            </w:r>
          </w:p>
        </w:tc>
        <w:tc>
          <w:tcPr>
            <w:tcW w:type="dxa" w:w="45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Mécanique des fluides + Science des matériaux</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48h</w:t>
            </w:r>
          </w:p>
        </w:tc>
      </w:tr>
      <w:tr>
        <w:tc>
          <w:tcPr>
            <w:tcW w:type="dxa" w:w="3000"/>
            <w:tcBorders>
              <w:top w:val="single" w:color="DDDDDD" w:sz="1"/>
              <w:left w:val="single" w:color="DDDDDD" w:sz="1"/>
              <w:bottom w:val="single" w:color="DDDDDD" w:sz="1"/>
              <w:right w:val="single" w:color="DDDDDD" w:sz="1"/>
            </w:tcBorders>
            <w:shd w:fill="FFF8EC" w:val="clear"/>
            <w:tcMar>
              <w:top w:type="dxa" w:w="80"/>
              <w:left w:type="dxa" w:w="140"/>
              <w:bottom w:type="dxa" w:w="80"/>
              <w:right w:type="dxa" w:w="140"/>
            </w:tcMar>
          </w:tcPr>
          <w:p>
            <w:r>
              <w:rPr>
                <w:rFonts w:ascii="Calibri" w:cs="Calibri" w:eastAsia="Calibri" w:hAnsi="Calibri"/>
                <w:color w:val="0D1B2A"/>
                <w:sz w:val="20"/>
                <w:szCs w:val="20"/>
              </w:rPr>
              <w:t xml:space="preserve">M116 — Langues étrangères 1</w:t>
            </w:r>
          </w:p>
        </w:tc>
        <w:tc>
          <w:tcPr>
            <w:tcW w:type="dxa" w:w="4526"/>
            <w:tcBorders>
              <w:top w:val="single" w:color="DDDDDD" w:sz="1"/>
              <w:left w:val="single" w:color="DDDDDD" w:sz="1"/>
              <w:bottom w:val="single" w:color="DDDDDD" w:sz="1"/>
              <w:right w:val="single" w:color="DDDDDD" w:sz="1"/>
            </w:tcBorders>
            <w:shd w:fill="FFF8EC" w:val="clear"/>
            <w:tcMar>
              <w:top w:type="dxa" w:w="80"/>
              <w:left w:type="dxa" w:w="140"/>
              <w:bottom w:type="dxa" w:w="80"/>
              <w:right w:type="dxa" w:w="140"/>
            </w:tcMar>
          </w:tcPr>
          <w:p>
            <w:r>
              <w:rPr>
                <w:rFonts w:ascii="Calibri" w:cs="Calibri" w:eastAsia="Calibri" w:hAnsi="Calibri"/>
                <w:color w:val="0D1B2A"/>
                <w:sz w:val="20"/>
                <w:szCs w:val="20"/>
              </w:rPr>
              <w:t xml:space="preserve">Anglais technique + Français professionnel</w:t>
            </w:r>
          </w:p>
        </w:tc>
        <w:tc>
          <w:tcPr>
            <w:tcW w:type="dxa" w:w="1500"/>
            <w:tcBorders>
              <w:top w:val="single" w:color="DDDDDD" w:sz="1"/>
              <w:left w:val="single" w:color="DDDDDD" w:sz="1"/>
              <w:bottom w:val="single" w:color="DDDDDD" w:sz="1"/>
              <w:right w:val="single" w:color="DDDDDD" w:sz="1"/>
            </w:tcBorders>
            <w:shd w:fill="FFF8EC" w:val="clear"/>
            <w:tcMar>
              <w:top w:type="dxa" w:w="80"/>
              <w:left w:type="dxa" w:w="140"/>
              <w:bottom w:type="dxa" w:w="80"/>
              <w:right w:type="dxa" w:w="140"/>
            </w:tcMar>
          </w:tcPr>
          <w:p>
            <w:r>
              <w:rPr>
                <w:rFonts w:ascii="Calibri" w:cs="Calibri" w:eastAsia="Calibri" w:hAnsi="Calibri"/>
                <w:color w:val="0D1B2A"/>
                <w:sz w:val="20"/>
                <w:szCs w:val="20"/>
              </w:rPr>
              <w:t xml:space="preserve">48h</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M117 — Digital &amp; Information Skills</w:t>
            </w:r>
          </w:p>
        </w:tc>
        <w:tc>
          <w:tcPr>
            <w:tcW w:type="dxa" w:w="45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Power BI + Visual Basic et Excel</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48h</w:t>
            </w:r>
          </w:p>
        </w:tc>
      </w:tr>
    </w:tbl>
    <w:p/>
    <w:p>
      <w:pPr>
        <w:pStyle w:val="Heading2"/>
        <w:spacing w:before="240" w:after="120"/>
      </w:pPr>
      <w:r>
        <w:rPr>
          <w:rFonts w:ascii="Georgia" w:cs="Georgia" w:eastAsia="Georgia" w:hAnsi="Georgia"/>
          <w:b/>
          <w:bCs/>
          <w:color w:val="F5A800"/>
          <w:sz w:val="27"/>
          <w:szCs w:val="27"/>
        </w:rPr>
        <w:t xml:space="preserve">Semestre 2 — Systèmes énergétiques &amp; électronique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526"/>
        <w:gridCol w:w="1500"/>
      </w:tblGrid>
      <w:tr>
        <w:tc>
          <w:tcPr>
            <w:tcW w:type="dxa" w:w="3000"/>
            <w:tcBorders>
              <w:top w:val="single" w:color="DDDDDD" w:sz="1"/>
              <w:left w:val="single" w:color="DDDDDD" w:sz="1"/>
              <w:bottom w:val="single" w:color="DDDDDD" w:sz="1"/>
              <w:right w:val="single" w:color="DDDDDD" w:sz="1"/>
            </w:tcBorders>
            <w:shd w:fill="0D1B2A" w:val="clear"/>
            <w:tcMar>
              <w:top w:type="dxa" w:w="100"/>
              <w:left w:type="dxa" w:w="140"/>
              <w:bottom w:type="dxa" w:w="100"/>
              <w:right w:type="dxa" w:w="140"/>
            </w:tcMar>
          </w:tcPr>
          <w:p>
            <w:pPr>
              <w:jc w:val="center"/>
            </w:pPr>
            <w:r>
              <w:rPr>
                <w:rFonts w:ascii="Calibri" w:cs="Calibri" w:eastAsia="Calibri" w:hAnsi="Calibri"/>
                <w:b/>
                <w:bCs/>
                <w:color w:val="F5A800"/>
                <w:sz w:val="21"/>
                <w:szCs w:val="21"/>
              </w:rPr>
              <w:t xml:space="preserve">Module</w:t>
            </w:r>
          </w:p>
        </w:tc>
        <w:tc>
          <w:tcPr>
            <w:tcW w:type="dxa" w:w="4526"/>
            <w:tcBorders>
              <w:top w:val="single" w:color="DDDDDD" w:sz="1"/>
              <w:left w:val="single" w:color="DDDDDD" w:sz="1"/>
              <w:bottom w:val="single" w:color="DDDDDD" w:sz="1"/>
              <w:right w:val="single" w:color="DDDDDD" w:sz="1"/>
            </w:tcBorders>
            <w:shd w:fill="0D1B2A" w:val="clear"/>
            <w:tcMar>
              <w:top w:type="dxa" w:w="100"/>
              <w:left w:type="dxa" w:w="140"/>
              <w:bottom w:type="dxa" w:w="100"/>
              <w:right w:type="dxa" w:w="140"/>
            </w:tcMar>
          </w:tcPr>
          <w:p>
            <w:pPr>
              <w:jc w:val="center"/>
            </w:pPr>
            <w:r>
              <w:rPr>
                <w:rFonts w:ascii="Calibri" w:cs="Calibri" w:eastAsia="Calibri" w:hAnsi="Calibri"/>
                <w:b/>
                <w:bCs/>
                <w:color w:val="F5A800"/>
                <w:sz w:val="21"/>
                <w:szCs w:val="21"/>
              </w:rPr>
              <w:t xml:space="preserve">Contenu</w:t>
            </w:r>
          </w:p>
        </w:tc>
        <w:tc>
          <w:tcPr>
            <w:tcW w:type="dxa" w:w="1500"/>
            <w:tcBorders>
              <w:top w:val="single" w:color="DDDDDD" w:sz="1"/>
              <w:left w:val="single" w:color="DDDDDD" w:sz="1"/>
              <w:bottom w:val="single" w:color="DDDDDD" w:sz="1"/>
              <w:right w:val="single" w:color="DDDDDD" w:sz="1"/>
            </w:tcBorders>
            <w:shd w:fill="0D1B2A" w:val="clear"/>
            <w:tcMar>
              <w:top w:type="dxa" w:w="100"/>
              <w:left w:type="dxa" w:w="140"/>
              <w:bottom w:type="dxa" w:w="100"/>
              <w:right w:type="dxa" w:w="140"/>
            </w:tcMar>
          </w:tcPr>
          <w:p>
            <w:pPr>
              <w:jc w:val="center"/>
            </w:pPr>
            <w:r>
              <w:rPr>
                <w:rFonts w:ascii="Calibri" w:cs="Calibri" w:eastAsia="Calibri" w:hAnsi="Calibri"/>
                <w:b/>
                <w:bCs/>
                <w:color w:val="F5A800"/>
                <w:sz w:val="21"/>
                <w:szCs w:val="21"/>
              </w:rPr>
              <w:t xml:space="preserve">Volume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M121 — Thermodynamique appliquée</w:t>
            </w:r>
          </w:p>
        </w:tc>
        <w:tc>
          <w:tcPr>
            <w:tcW w:type="dxa" w:w="45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Thermodynamique des mélanges + Combustion industrielle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48h</w:t>
            </w:r>
          </w:p>
        </w:tc>
      </w:tr>
      <w:tr>
        <w:tc>
          <w:tcPr>
            <w:tcW w:type="dxa" w:w="3000"/>
            <w:tcBorders>
              <w:top w:val="single" w:color="DDDDDD" w:sz="1"/>
              <w:left w:val="single" w:color="DDDDDD" w:sz="1"/>
              <w:bottom w:val="single" w:color="DDDDDD" w:sz="1"/>
              <w:right w:val="single" w:color="DDDDDD" w:sz="1"/>
            </w:tcBorders>
            <w:shd w:fill="FFF8EC" w:val="clear"/>
            <w:tcMar>
              <w:top w:type="dxa" w:w="80"/>
              <w:left w:type="dxa" w:w="140"/>
              <w:bottom w:type="dxa" w:w="80"/>
              <w:right w:type="dxa" w:w="140"/>
            </w:tcMar>
          </w:tcPr>
          <w:p>
            <w:r>
              <w:rPr>
                <w:rFonts w:ascii="Calibri" w:cs="Calibri" w:eastAsia="Calibri" w:hAnsi="Calibri"/>
                <w:color w:val="0D1B2A"/>
                <w:sz w:val="20"/>
                <w:szCs w:val="20"/>
              </w:rPr>
              <w:t xml:space="preserve">M122 — Hydraulique industrielle</w:t>
            </w:r>
          </w:p>
        </w:tc>
        <w:tc>
          <w:tcPr>
            <w:tcW w:type="dxa" w:w="4526"/>
            <w:tcBorders>
              <w:top w:val="single" w:color="DDDDDD" w:sz="1"/>
              <w:left w:val="single" w:color="DDDDDD" w:sz="1"/>
              <w:bottom w:val="single" w:color="DDDDDD" w:sz="1"/>
              <w:right w:val="single" w:color="DDDDDD" w:sz="1"/>
            </w:tcBorders>
            <w:shd w:fill="FFF8EC" w:val="clear"/>
            <w:tcMar>
              <w:top w:type="dxa" w:w="80"/>
              <w:left w:type="dxa" w:w="140"/>
              <w:bottom w:type="dxa" w:w="80"/>
              <w:right w:type="dxa" w:w="140"/>
            </w:tcMar>
          </w:tcPr>
          <w:p>
            <w:r>
              <w:rPr>
                <w:rFonts w:ascii="Calibri" w:cs="Calibri" w:eastAsia="Calibri" w:hAnsi="Calibri"/>
                <w:color w:val="0D1B2A"/>
                <w:sz w:val="20"/>
                <w:szCs w:val="20"/>
              </w:rPr>
              <w:t xml:space="preserve">Hydraulique industrielle + Pneumatique</w:t>
            </w:r>
          </w:p>
        </w:tc>
        <w:tc>
          <w:tcPr>
            <w:tcW w:type="dxa" w:w="1500"/>
            <w:tcBorders>
              <w:top w:val="single" w:color="DDDDDD" w:sz="1"/>
              <w:left w:val="single" w:color="DDDDDD" w:sz="1"/>
              <w:bottom w:val="single" w:color="DDDDDD" w:sz="1"/>
              <w:right w:val="single" w:color="DDDDDD" w:sz="1"/>
            </w:tcBorders>
            <w:shd w:fill="FFF8EC" w:val="clear"/>
            <w:tcMar>
              <w:top w:type="dxa" w:w="80"/>
              <w:left w:type="dxa" w:w="140"/>
              <w:bottom w:type="dxa" w:w="80"/>
              <w:right w:type="dxa" w:w="140"/>
            </w:tcMar>
          </w:tcPr>
          <w:p>
            <w:r>
              <w:rPr>
                <w:rFonts w:ascii="Calibri" w:cs="Calibri" w:eastAsia="Calibri" w:hAnsi="Calibri"/>
                <w:color w:val="0D1B2A"/>
                <w:sz w:val="20"/>
                <w:szCs w:val="20"/>
              </w:rPr>
              <w:t xml:space="preserve">48h</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M123 — Électronique &amp; commandes avancées</w:t>
            </w:r>
          </w:p>
        </w:tc>
        <w:tc>
          <w:tcPr>
            <w:tcW w:type="dxa" w:w="45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Électronique + Commandes avancées des systèmes</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48h</w:t>
            </w:r>
          </w:p>
        </w:tc>
      </w:tr>
      <w:tr>
        <w:tc>
          <w:tcPr>
            <w:tcW w:type="dxa" w:w="3000"/>
            <w:tcBorders>
              <w:top w:val="single" w:color="DDDDDD" w:sz="1"/>
              <w:left w:val="single" w:color="DDDDDD" w:sz="1"/>
              <w:bottom w:val="single" w:color="DDDDDD" w:sz="1"/>
              <w:right w:val="single" w:color="DDDDDD" w:sz="1"/>
            </w:tcBorders>
            <w:shd w:fill="FFF8EC" w:val="clear"/>
            <w:tcMar>
              <w:top w:type="dxa" w:w="80"/>
              <w:left w:type="dxa" w:w="140"/>
              <w:bottom w:type="dxa" w:w="80"/>
              <w:right w:type="dxa" w:w="140"/>
            </w:tcMar>
          </w:tcPr>
          <w:p>
            <w:r>
              <w:rPr>
                <w:rFonts w:ascii="Calibri" w:cs="Calibri" w:eastAsia="Calibri" w:hAnsi="Calibri"/>
                <w:color w:val="0D1B2A"/>
                <w:sz w:val="20"/>
                <w:szCs w:val="20"/>
              </w:rPr>
              <w:t xml:space="preserve">M124 — Simulation systèmes multiphysiques</w:t>
            </w:r>
          </w:p>
        </w:tc>
        <w:tc>
          <w:tcPr>
            <w:tcW w:type="dxa" w:w="4526"/>
            <w:tcBorders>
              <w:top w:val="single" w:color="DDDDDD" w:sz="1"/>
              <w:left w:val="single" w:color="DDDDDD" w:sz="1"/>
              <w:bottom w:val="single" w:color="DDDDDD" w:sz="1"/>
              <w:right w:val="single" w:color="DDDDDD" w:sz="1"/>
            </w:tcBorders>
            <w:shd w:fill="FFF8EC" w:val="clear"/>
            <w:tcMar>
              <w:top w:type="dxa" w:w="80"/>
              <w:left w:type="dxa" w:w="140"/>
              <w:bottom w:type="dxa" w:w="80"/>
              <w:right w:type="dxa" w:w="140"/>
            </w:tcMar>
          </w:tcPr>
          <w:p>
            <w:r>
              <w:rPr>
                <w:rFonts w:ascii="Calibri" w:cs="Calibri" w:eastAsia="Calibri" w:hAnsi="Calibri"/>
                <w:color w:val="0D1B2A"/>
                <w:sz w:val="20"/>
                <w:szCs w:val="20"/>
              </w:rPr>
              <w:t xml:space="preserve">Simulation intégrée (thermique, électrique, mécanique)</w:t>
            </w:r>
          </w:p>
        </w:tc>
        <w:tc>
          <w:tcPr>
            <w:tcW w:type="dxa" w:w="1500"/>
            <w:tcBorders>
              <w:top w:val="single" w:color="DDDDDD" w:sz="1"/>
              <w:left w:val="single" w:color="DDDDDD" w:sz="1"/>
              <w:bottom w:val="single" w:color="DDDDDD" w:sz="1"/>
              <w:right w:val="single" w:color="DDDDDD" w:sz="1"/>
            </w:tcBorders>
            <w:shd w:fill="FFF8EC" w:val="clear"/>
            <w:tcMar>
              <w:top w:type="dxa" w:w="80"/>
              <w:left w:type="dxa" w:w="140"/>
              <w:bottom w:type="dxa" w:w="80"/>
              <w:right w:type="dxa" w:w="140"/>
            </w:tcMar>
          </w:tcPr>
          <w:p>
            <w:r>
              <w:rPr>
                <w:rFonts w:ascii="Calibri" w:cs="Calibri" w:eastAsia="Calibri" w:hAnsi="Calibri"/>
                <w:color w:val="0D1B2A"/>
                <w:sz w:val="20"/>
                <w:szCs w:val="20"/>
              </w:rPr>
              <w:t xml:space="preserve">48h</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M125 — Systèmes embarqués 1</w:t>
            </w:r>
          </w:p>
        </w:tc>
        <w:tc>
          <w:tcPr>
            <w:tcW w:type="dxa" w:w="45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Microcontrôleurs (Arduino, STM32) + Automates programmables (API)</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48h</w:t>
            </w:r>
          </w:p>
        </w:tc>
      </w:tr>
      <w:tr>
        <w:tc>
          <w:tcPr>
            <w:tcW w:type="dxa" w:w="3000"/>
            <w:tcBorders>
              <w:top w:val="single" w:color="DDDDDD" w:sz="1"/>
              <w:left w:val="single" w:color="DDDDDD" w:sz="1"/>
              <w:bottom w:val="single" w:color="DDDDDD" w:sz="1"/>
              <w:right w:val="single" w:color="DDDDDD" w:sz="1"/>
            </w:tcBorders>
            <w:shd w:fill="FFF8EC" w:val="clear"/>
            <w:tcMar>
              <w:top w:type="dxa" w:w="80"/>
              <w:left w:type="dxa" w:w="140"/>
              <w:bottom w:type="dxa" w:w="80"/>
              <w:right w:type="dxa" w:w="140"/>
            </w:tcMar>
          </w:tcPr>
          <w:p>
            <w:r>
              <w:rPr>
                <w:rFonts w:ascii="Calibri" w:cs="Calibri" w:eastAsia="Calibri" w:hAnsi="Calibri"/>
                <w:color w:val="0D1B2A"/>
                <w:sz w:val="20"/>
                <w:szCs w:val="20"/>
              </w:rPr>
              <w:t xml:space="preserve">M126 — Langues étrangères 2</w:t>
            </w:r>
          </w:p>
        </w:tc>
        <w:tc>
          <w:tcPr>
            <w:tcW w:type="dxa" w:w="4526"/>
            <w:tcBorders>
              <w:top w:val="single" w:color="DDDDDD" w:sz="1"/>
              <w:left w:val="single" w:color="DDDDDD" w:sz="1"/>
              <w:bottom w:val="single" w:color="DDDDDD" w:sz="1"/>
              <w:right w:val="single" w:color="DDDDDD" w:sz="1"/>
            </w:tcBorders>
            <w:shd w:fill="FFF8EC" w:val="clear"/>
            <w:tcMar>
              <w:top w:type="dxa" w:w="80"/>
              <w:left w:type="dxa" w:w="140"/>
              <w:bottom w:type="dxa" w:w="80"/>
              <w:right w:type="dxa" w:w="140"/>
            </w:tcMar>
          </w:tcPr>
          <w:p>
            <w:r>
              <w:rPr>
                <w:rFonts w:ascii="Calibri" w:cs="Calibri" w:eastAsia="Calibri" w:hAnsi="Calibri"/>
                <w:color w:val="0D1B2A"/>
                <w:sz w:val="20"/>
                <w:szCs w:val="20"/>
              </w:rPr>
              <w:t xml:space="preserve">Anglais + Français</w:t>
            </w:r>
          </w:p>
        </w:tc>
        <w:tc>
          <w:tcPr>
            <w:tcW w:type="dxa" w:w="1500"/>
            <w:tcBorders>
              <w:top w:val="single" w:color="DDDDDD" w:sz="1"/>
              <w:left w:val="single" w:color="DDDDDD" w:sz="1"/>
              <w:bottom w:val="single" w:color="DDDDDD" w:sz="1"/>
              <w:right w:val="single" w:color="DDDDDD" w:sz="1"/>
            </w:tcBorders>
            <w:shd w:fill="FFF8EC" w:val="clear"/>
            <w:tcMar>
              <w:top w:type="dxa" w:w="80"/>
              <w:left w:type="dxa" w:w="140"/>
              <w:bottom w:type="dxa" w:w="80"/>
              <w:right w:type="dxa" w:w="140"/>
            </w:tcMar>
          </w:tcPr>
          <w:p>
            <w:r>
              <w:rPr>
                <w:rFonts w:ascii="Calibri" w:cs="Calibri" w:eastAsia="Calibri" w:hAnsi="Calibri"/>
                <w:color w:val="0D1B2A"/>
                <w:sz w:val="20"/>
                <w:szCs w:val="20"/>
              </w:rPr>
              <w:t xml:space="preserve">48h</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M127 — Arts et culture</w:t>
            </w:r>
          </w:p>
        </w:tc>
        <w:tc>
          <w:tcPr>
            <w:tcW w:type="dxa" w:w="45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Culture générale, histoire des sciences, expression</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48h</w:t>
            </w:r>
          </w:p>
        </w:tc>
      </w:tr>
    </w:tbl>
    <w:p/>
    <w:p>
      <w:pPr>
        <w:pStyle w:val="Heading2"/>
        <w:spacing w:before="240" w:after="120"/>
      </w:pPr>
      <w:r>
        <w:rPr>
          <w:rFonts w:ascii="Georgia" w:cs="Georgia" w:eastAsia="Georgia" w:hAnsi="Georgia"/>
          <w:b/>
          <w:bCs/>
          <w:color w:val="F5A800"/>
          <w:sz w:val="27"/>
          <w:szCs w:val="27"/>
        </w:rPr>
        <w:t xml:space="preserve">Semestre 3 — Énergies renouvelables &amp; Intelligence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526"/>
        <w:gridCol w:w="1500"/>
      </w:tblGrid>
      <w:tr>
        <w:tc>
          <w:tcPr>
            <w:tcW w:type="dxa" w:w="3000"/>
            <w:tcBorders>
              <w:top w:val="single" w:color="DDDDDD" w:sz="1"/>
              <w:left w:val="single" w:color="DDDDDD" w:sz="1"/>
              <w:bottom w:val="single" w:color="DDDDDD" w:sz="1"/>
              <w:right w:val="single" w:color="DDDDDD" w:sz="1"/>
            </w:tcBorders>
            <w:shd w:fill="0D1B2A" w:val="clear"/>
            <w:tcMar>
              <w:top w:type="dxa" w:w="100"/>
              <w:left w:type="dxa" w:w="140"/>
              <w:bottom w:type="dxa" w:w="100"/>
              <w:right w:type="dxa" w:w="140"/>
            </w:tcMar>
          </w:tcPr>
          <w:p>
            <w:pPr>
              <w:jc w:val="center"/>
            </w:pPr>
            <w:r>
              <w:rPr>
                <w:rFonts w:ascii="Calibri" w:cs="Calibri" w:eastAsia="Calibri" w:hAnsi="Calibri"/>
                <w:b/>
                <w:bCs/>
                <w:color w:val="F5A800"/>
                <w:sz w:val="21"/>
                <w:szCs w:val="21"/>
              </w:rPr>
              <w:t xml:space="preserve">Module</w:t>
            </w:r>
          </w:p>
        </w:tc>
        <w:tc>
          <w:tcPr>
            <w:tcW w:type="dxa" w:w="4526"/>
            <w:tcBorders>
              <w:top w:val="single" w:color="DDDDDD" w:sz="1"/>
              <w:left w:val="single" w:color="DDDDDD" w:sz="1"/>
              <w:bottom w:val="single" w:color="DDDDDD" w:sz="1"/>
              <w:right w:val="single" w:color="DDDDDD" w:sz="1"/>
            </w:tcBorders>
            <w:shd w:fill="0D1B2A" w:val="clear"/>
            <w:tcMar>
              <w:top w:type="dxa" w:w="100"/>
              <w:left w:type="dxa" w:w="140"/>
              <w:bottom w:type="dxa" w:w="100"/>
              <w:right w:type="dxa" w:w="140"/>
            </w:tcMar>
          </w:tcPr>
          <w:p>
            <w:pPr>
              <w:jc w:val="center"/>
            </w:pPr>
            <w:r>
              <w:rPr>
                <w:rFonts w:ascii="Calibri" w:cs="Calibri" w:eastAsia="Calibri" w:hAnsi="Calibri"/>
                <w:b/>
                <w:bCs/>
                <w:color w:val="F5A800"/>
                <w:sz w:val="21"/>
                <w:szCs w:val="21"/>
              </w:rPr>
              <w:t xml:space="preserve">Contenu</w:t>
            </w:r>
          </w:p>
        </w:tc>
        <w:tc>
          <w:tcPr>
            <w:tcW w:type="dxa" w:w="1500"/>
            <w:tcBorders>
              <w:top w:val="single" w:color="DDDDDD" w:sz="1"/>
              <w:left w:val="single" w:color="DDDDDD" w:sz="1"/>
              <w:bottom w:val="single" w:color="DDDDDD" w:sz="1"/>
              <w:right w:val="single" w:color="DDDDDD" w:sz="1"/>
            </w:tcBorders>
            <w:shd w:fill="0D1B2A" w:val="clear"/>
            <w:tcMar>
              <w:top w:type="dxa" w:w="100"/>
              <w:left w:type="dxa" w:w="140"/>
              <w:bottom w:type="dxa" w:w="100"/>
              <w:right w:type="dxa" w:w="140"/>
            </w:tcMar>
          </w:tcPr>
          <w:p>
            <w:pPr>
              <w:jc w:val="center"/>
            </w:pPr>
            <w:r>
              <w:rPr>
                <w:rFonts w:ascii="Calibri" w:cs="Calibri" w:eastAsia="Calibri" w:hAnsi="Calibri"/>
                <w:b/>
                <w:bCs/>
                <w:color w:val="F5A800"/>
                <w:sz w:val="21"/>
                <w:szCs w:val="21"/>
              </w:rPr>
              <w:t xml:space="preserve">Volume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M231 — Énergie solaire</w:t>
            </w:r>
          </w:p>
        </w:tc>
        <w:tc>
          <w:tcPr>
            <w:tcW w:type="dxa" w:w="45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Solaire photovoltaïque (PV) + Solaire thermique (CSP)</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48h</w:t>
            </w:r>
          </w:p>
        </w:tc>
      </w:tr>
      <w:tr>
        <w:tc>
          <w:tcPr>
            <w:tcW w:type="dxa" w:w="3000"/>
            <w:tcBorders>
              <w:top w:val="single" w:color="DDDDDD" w:sz="1"/>
              <w:left w:val="single" w:color="DDDDDD" w:sz="1"/>
              <w:bottom w:val="single" w:color="DDDDDD" w:sz="1"/>
              <w:right w:val="single" w:color="DDDDDD" w:sz="1"/>
            </w:tcBorders>
            <w:shd w:fill="FFF8EC" w:val="clear"/>
            <w:tcMar>
              <w:top w:type="dxa" w:w="80"/>
              <w:left w:type="dxa" w:w="140"/>
              <w:bottom w:type="dxa" w:w="80"/>
              <w:right w:type="dxa" w:w="140"/>
            </w:tcMar>
          </w:tcPr>
          <w:p>
            <w:r>
              <w:rPr>
                <w:rFonts w:ascii="Calibri" w:cs="Calibri" w:eastAsia="Calibri" w:hAnsi="Calibri"/>
                <w:color w:val="0D1B2A"/>
                <w:sz w:val="20"/>
                <w:szCs w:val="20"/>
              </w:rPr>
              <w:t xml:space="preserve">M232 — Froid industriel &amp; échangeurs</w:t>
            </w:r>
          </w:p>
        </w:tc>
        <w:tc>
          <w:tcPr>
            <w:tcW w:type="dxa" w:w="4526"/>
            <w:tcBorders>
              <w:top w:val="single" w:color="DDDDDD" w:sz="1"/>
              <w:left w:val="single" w:color="DDDDDD" w:sz="1"/>
              <w:bottom w:val="single" w:color="DDDDDD" w:sz="1"/>
              <w:right w:val="single" w:color="DDDDDD" w:sz="1"/>
            </w:tcBorders>
            <w:shd w:fill="FFF8EC" w:val="clear"/>
            <w:tcMar>
              <w:top w:type="dxa" w:w="80"/>
              <w:left w:type="dxa" w:w="140"/>
              <w:bottom w:type="dxa" w:w="80"/>
              <w:right w:type="dxa" w:w="140"/>
            </w:tcMar>
          </w:tcPr>
          <w:p>
            <w:r>
              <w:rPr>
                <w:rFonts w:ascii="Calibri" w:cs="Calibri" w:eastAsia="Calibri" w:hAnsi="Calibri"/>
                <w:color w:val="0D1B2A"/>
                <w:sz w:val="20"/>
                <w:szCs w:val="20"/>
              </w:rPr>
              <w:t xml:space="preserve">Génie frigorifique industriel + Échangeurs thermiques</w:t>
            </w:r>
          </w:p>
        </w:tc>
        <w:tc>
          <w:tcPr>
            <w:tcW w:type="dxa" w:w="1500"/>
            <w:tcBorders>
              <w:top w:val="single" w:color="DDDDDD" w:sz="1"/>
              <w:left w:val="single" w:color="DDDDDD" w:sz="1"/>
              <w:bottom w:val="single" w:color="DDDDDD" w:sz="1"/>
              <w:right w:val="single" w:color="DDDDDD" w:sz="1"/>
            </w:tcBorders>
            <w:shd w:fill="FFF8EC" w:val="clear"/>
            <w:tcMar>
              <w:top w:type="dxa" w:w="80"/>
              <w:left w:type="dxa" w:w="140"/>
              <w:bottom w:type="dxa" w:w="80"/>
              <w:right w:type="dxa" w:w="140"/>
            </w:tcMar>
          </w:tcPr>
          <w:p>
            <w:r>
              <w:rPr>
                <w:rFonts w:ascii="Calibri" w:cs="Calibri" w:eastAsia="Calibri" w:hAnsi="Calibri"/>
                <w:color w:val="0D1B2A"/>
                <w:sz w:val="20"/>
                <w:szCs w:val="20"/>
              </w:rPr>
              <w:t xml:space="preserve">48h</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M233 — Logiciels embarqués</w:t>
            </w:r>
          </w:p>
        </w:tc>
        <w:tc>
          <w:tcPr>
            <w:tcW w:type="dxa" w:w="45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Programmation systèmes embarqués (C, C++, RTOS)</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48h</w:t>
            </w:r>
          </w:p>
        </w:tc>
      </w:tr>
      <w:tr>
        <w:tc>
          <w:tcPr>
            <w:tcW w:type="dxa" w:w="3000"/>
            <w:tcBorders>
              <w:top w:val="single" w:color="DDDDDD" w:sz="1"/>
              <w:left w:val="single" w:color="DDDDDD" w:sz="1"/>
              <w:bottom w:val="single" w:color="DDDDDD" w:sz="1"/>
              <w:right w:val="single" w:color="DDDDDD" w:sz="1"/>
            </w:tcBorders>
            <w:shd w:fill="FFF8EC" w:val="clear"/>
            <w:tcMar>
              <w:top w:type="dxa" w:w="80"/>
              <w:left w:type="dxa" w:w="140"/>
              <w:bottom w:type="dxa" w:w="80"/>
              <w:right w:type="dxa" w:w="140"/>
            </w:tcMar>
          </w:tcPr>
          <w:p>
            <w:r>
              <w:rPr>
                <w:rFonts w:ascii="Calibri" w:cs="Calibri" w:eastAsia="Calibri" w:hAnsi="Calibri"/>
                <w:color w:val="0D1B2A"/>
                <w:sz w:val="20"/>
                <w:szCs w:val="20"/>
              </w:rPr>
              <w:t xml:space="preserve">M234 — Électronique de puissance &amp; machines</w:t>
            </w:r>
          </w:p>
        </w:tc>
        <w:tc>
          <w:tcPr>
            <w:tcW w:type="dxa" w:w="4526"/>
            <w:tcBorders>
              <w:top w:val="single" w:color="DDDDDD" w:sz="1"/>
              <w:left w:val="single" w:color="DDDDDD" w:sz="1"/>
              <w:bottom w:val="single" w:color="DDDDDD" w:sz="1"/>
              <w:right w:val="single" w:color="DDDDDD" w:sz="1"/>
            </w:tcBorders>
            <w:shd w:fill="FFF8EC" w:val="clear"/>
            <w:tcMar>
              <w:top w:type="dxa" w:w="80"/>
              <w:left w:type="dxa" w:w="140"/>
              <w:bottom w:type="dxa" w:w="80"/>
              <w:right w:type="dxa" w:w="140"/>
            </w:tcMar>
          </w:tcPr>
          <w:p>
            <w:r>
              <w:rPr>
                <w:rFonts w:ascii="Calibri" w:cs="Calibri" w:eastAsia="Calibri" w:hAnsi="Calibri"/>
                <w:color w:val="0D1B2A"/>
                <w:sz w:val="20"/>
                <w:szCs w:val="20"/>
              </w:rPr>
              <w:t xml:space="preserve">Convertisseurs, onduleurs + Commande des machines électriques</w:t>
            </w:r>
          </w:p>
        </w:tc>
        <w:tc>
          <w:tcPr>
            <w:tcW w:type="dxa" w:w="1500"/>
            <w:tcBorders>
              <w:top w:val="single" w:color="DDDDDD" w:sz="1"/>
              <w:left w:val="single" w:color="DDDDDD" w:sz="1"/>
              <w:bottom w:val="single" w:color="DDDDDD" w:sz="1"/>
              <w:right w:val="single" w:color="DDDDDD" w:sz="1"/>
            </w:tcBorders>
            <w:shd w:fill="FFF8EC" w:val="clear"/>
            <w:tcMar>
              <w:top w:type="dxa" w:w="80"/>
              <w:left w:type="dxa" w:w="140"/>
              <w:bottom w:type="dxa" w:w="80"/>
              <w:right w:type="dxa" w:w="140"/>
            </w:tcMar>
          </w:tcPr>
          <w:p>
            <w:r>
              <w:rPr>
                <w:rFonts w:ascii="Calibri" w:cs="Calibri" w:eastAsia="Calibri" w:hAnsi="Calibri"/>
                <w:color w:val="0D1B2A"/>
                <w:sz w:val="20"/>
                <w:szCs w:val="20"/>
              </w:rPr>
              <w:t xml:space="preserve">48h</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M235 — Analyse de données &amp; Machine Learning</w:t>
            </w:r>
          </w:p>
        </w:tc>
        <w:tc>
          <w:tcPr>
            <w:tcW w:type="dxa" w:w="45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Data Analytics industrielle + Algorithmes ML appliqués à l'énergie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48h</w:t>
            </w:r>
          </w:p>
        </w:tc>
      </w:tr>
      <w:tr>
        <w:tc>
          <w:tcPr>
            <w:tcW w:type="dxa" w:w="3000"/>
            <w:tcBorders>
              <w:top w:val="single" w:color="DDDDDD" w:sz="1"/>
              <w:left w:val="single" w:color="DDDDDD" w:sz="1"/>
              <w:bottom w:val="single" w:color="DDDDDD" w:sz="1"/>
              <w:right w:val="single" w:color="DDDDDD" w:sz="1"/>
            </w:tcBorders>
            <w:shd w:fill="FFF8EC" w:val="clear"/>
            <w:tcMar>
              <w:top w:type="dxa" w:w="80"/>
              <w:left w:type="dxa" w:w="140"/>
              <w:bottom w:type="dxa" w:w="80"/>
              <w:right w:type="dxa" w:w="140"/>
            </w:tcMar>
          </w:tcPr>
          <w:p>
            <w:r>
              <w:rPr>
                <w:rFonts w:ascii="Calibri" w:cs="Calibri" w:eastAsia="Calibri" w:hAnsi="Calibri"/>
                <w:color w:val="0D1B2A"/>
                <w:sz w:val="20"/>
                <w:szCs w:val="20"/>
              </w:rPr>
              <w:t xml:space="preserve">M236 — Langues étrangères 3</w:t>
            </w:r>
          </w:p>
        </w:tc>
        <w:tc>
          <w:tcPr>
            <w:tcW w:type="dxa" w:w="4526"/>
            <w:tcBorders>
              <w:top w:val="single" w:color="DDDDDD" w:sz="1"/>
              <w:left w:val="single" w:color="DDDDDD" w:sz="1"/>
              <w:bottom w:val="single" w:color="DDDDDD" w:sz="1"/>
              <w:right w:val="single" w:color="DDDDDD" w:sz="1"/>
            </w:tcBorders>
            <w:shd w:fill="FFF8EC" w:val="clear"/>
            <w:tcMar>
              <w:top w:type="dxa" w:w="80"/>
              <w:left w:type="dxa" w:w="140"/>
              <w:bottom w:type="dxa" w:w="80"/>
              <w:right w:type="dxa" w:w="140"/>
            </w:tcMar>
          </w:tcPr>
          <w:p>
            <w:r>
              <w:rPr>
                <w:rFonts w:ascii="Calibri" w:cs="Calibri" w:eastAsia="Calibri" w:hAnsi="Calibri"/>
                <w:color w:val="0D1B2A"/>
                <w:sz w:val="20"/>
                <w:szCs w:val="20"/>
              </w:rPr>
              <w:t xml:space="preserve">Anglais technique + Français</w:t>
            </w:r>
          </w:p>
        </w:tc>
        <w:tc>
          <w:tcPr>
            <w:tcW w:type="dxa" w:w="1500"/>
            <w:tcBorders>
              <w:top w:val="single" w:color="DDDDDD" w:sz="1"/>
              <w:left w:val="single" w:color="DDDDDD" w:sz="1"/>
              <w:bottom w:val="single" w:color="DDDDDD" w:sz="1"/>
              <w:right w:val="single" w:color="DDDDDD" w:sz="1"/>
            </w:tcBorders>
            <w:shd w:fill="FFF8EC" w:val="clear"/>
            <w:tcMar>
              <w:top w:type="dxa" w:w="80"/>
              <w:left w:type="dxa" w:w="140"/>
              <w:bottom w:type="dxa" w:w="80"/>
              <w:right w:type="dxa" w:w="140"/>
            </w:tcMar>
          </w:tcPr>
          <w:p>
            <w:r>
              <w:rPr>
                <w:rFonts w:ascii="Calibri" w:cs="Calibri" w:eastAsia="Calibri" w:hAnsi="Calibri"/>
                <w:color w:val="0D1B2A"/>
                <w:sz w:val="20"/>
                <w:szCs w:val="20"/>
              </w:rPr>
              <w:t xml:space="preserve">48h</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M237 — Marketing &amp; GRH</w:t>
            </w:r>
          </w:p>
        </w:tc>
        <w:tc>
          <w:tcPr>
            <w:tcW w:type="dxa" w:w="45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Gestion des ressources humaines + Marketing industriel</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48h</w:t>
            </w:r>
          </w:p>
        </w:tc>
      </w:tr>
    </w:tbl>
    <w:p/>
    <w:p>
      <w:pPr>
        <w:pStyle w:val="Heading2"/>
        <w:spacing w:before="240" w:after="120"/>
      </w:pPr>
      <w:r>
        <w:rPr>
          <w:rFonts w:ascii="Georgia" w:cs="Georgia" w:eastAsia="Georgia" w:hAnsi="Georgia"/>
          <w:b/>
          <w:bCs/>
          <w:color w:val="F5A800"/>
          <w:sz w:val="27"/>
          <w:szCs w:val="27"/>
        </w:rPr>
        <w:t xml:space="preserve">Semestre 4 — Spécialisation &amp; Haute Technologie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526"/>
        <w:gridCol w:w="1500"/>
      </w:tblGrid>
      <w:tr>
        <w:tc>
          <w:tcPr>
            <w:tcW w:type="dxa" w:w="3000"/>
            <w:tcBorders>
              <w:top w:val="single" w:color="DDDDDD" w:sz="1"/>
              <w:left w:val="single" w:color="DDDDDD" w:sz="1"/>
              <w:bottom w:val="single" w:color="DDDDDD" w:sz="1"/>
              <w:right w:val="single" w:color="DDDDDD" w:sz="1"/>
            </w:tcBorders>
            <w:shd w:fill="0D1B2A" w:val="clear"/>
            <w:tcMar>
              <w:top w:type="dxa" w:w="100"/>
              <w:left w:type="dxa" w:w="140"/>
              <w:bottom w:type="dxa" w:w="100"/>
              <w:right w:type="dxa" w:w="140"/>
            </w:tcMar>
          </w:tcPr>
          <w:p>
            <w:pPr>
              <w:jc w:val="center"/>
            </w:pPr>
            <w:r>
              <w:rPr>
                <w:rFonts w:ascii="Calibri" w:cs="Calibri" w:eastAsia="Calibri" w:hAnsi="Calibri"/>
                <w:b/>
                <w:bCs/>
                <w:color w:val="F5A800"/>
                <w:sz w:val="21"/>
                <w:szCs w:val="21"/>
              </w:rPr>
              <w:t xml:space="preserve">Module</w:t>
            </w:r>
          </w:p>
        </w:tc>
        <w:tc>
          <w:tcPr>
            <w:tcW w:type="dxa" w:w="4526"/>
            <w:tcBorders>
              <w:top w:val="single" w:color="DDDDDD" w:sz="1"/>
              <w:left w:val="single" w:color="DDDDDD" w:sz="1"/>
              <w:bottom w:val="single" w:color="DDDDDD" w:sz="1"/>
              <w:right w:val="single" w:color="DDDDDD" w:sz="1"/>
            </w:tcBorders>
            <w:shd w:fill="0D1B2A" w:val="clear"/>
            <w:tcMar>
              <w:top w:type="dxa" w:w="100"/>
              <w:left w:type="dxa" w:w="140"/>
              <w:bottom w:type="dxa" w:w="100"/>
              <w:right w:type="dxa" w:w="140"/>
            </w:tcMar>
          </w:tcPr>
          <w:p>
            <w:pPr>
              <w:jc w:val="center"/>
            </w:pPr>
            <w:r>
              <w:rPr>
                <w:rFonts w:ascii="Calibri" w:cs="Calibri" w:eastAsia="Calibri" w:hAnsi="Calibri"/>
                <w:b/>
                <w:bCs/>
                <w:color w:val="F5A800"/>
                <w:sz w:val="21"/>
                <w:szCs w:val="21"/>
              </w:rPr>
              <w:t xml:space="preserve">Contenu</w:t>
            </w:r>
          </w:p>
        </w:tc>
        <w:tc>
          <w:tcPr>
            <w:tcW w:type="dxa" w:w="1500"/>
            <w:tcBorders>
              <w:top w:val="single" w:color="DDDDDD" w:sz="1"/>
              <w:left w:val="single" w:color="DDDDDD" w:sz="1"/>
              <w:bottom w:val="single" w:color="DDDDDD" w:sz="1"/>
              <w:right w:val="single" w:color="DDDDDD" w:sz="1"/>
            </w:tcBorders>
            <w:shd w:fill="0D1B2A" w:val="clear"/>
            <w:tcMar>
              <w:top w:type="dxa" w:w="100"/>
              <w:left w:type="dxa" w:w="140"/>
              <w:bottom w:type="dxa" w:w="100"/>
              <w:right w:type="dxa" w:w="140"/>
            </w:tcMar>
          </w:tcPr>
          <w:p>
            <w:pPr>
              <w:jc w:val="center"/>
            </w:pPr>
            <w:r>
              <w:rPr>
                <w:rFonts w:ascii="Calibri" w:cs="Calibri" w:eastAsia="Calibri" w:hAnsi="Calibri"/>
                <w:b/>
                <w:bCs/>
                <w:color w:val="F5A800"/>
                <w:sz w:val="21"/>
                <w:szCs w:val="21"/>
              </w:rPr>
              <w:t xml:space="preserve">Volume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M241 — Mécanique des fluides avancée</w:t>
            </w:r>
          </w:p>
        </w:tc>
        <w:tc>
          <w:tcPr>
            <w:tcW w:type="dxa" w:w="45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Aérodynamique, turbulence, CFD (simulation fluide avancée)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48h</w:t>
            </w:r>
          </w:p>
        </w:tc>
      </w:tr>
      <w:tr>
        <w:tc>
          <w:tcPr>
            <w:tcW w:type="dxa" w:w="3000"/>
            <w:tcBorders>
              <w:top w:val="single" w:color="DDDDDD" w:sz="1"/>
              <w:left w:val="single" w:color="DDDDDD" w:sz="1"/>
              <w:bottom w:val="single" w:color="DDDDDD" w:sz="1"/>
              <w:right w:val="single" w:color="DDDDDD" w:sz="1"/>
            </w:tcBorders>
            <w:shd w:fill="FFF8EC" w:val="clear"/>
            <w:tcMar>
              <w:top w:type="dxa" w:w="80"/>
              <w:left w:type="dxa" w:w="140"/>
              <w:bottom w:type="dxa" w:w="80"/>
              <w:right w:type="dxa" w:w="140"/>
            </w:tcMar>
          </w:tcPr>
          <w:p>
            <w:r>
              <w:rPr>
                <w:rFonts w:ascii="Calibri" w:cs="Calibri" w:eastAsia="Calibri" w:hAnsi="Calibri"/>
                <w:color w:val="0D1B2A"/>
                <w:sz w:val="20"/>
                <w:szCs w:val="20"/>
              </w:rPr>
              <w:t xml:space="preserve">M242 — Énergétique industrielle</w:t>
            </w:r>
          </w:p>
        </w:tc>
        <w:tc>
          <w:tcPr>
            <w:tcW w:type="dxa" w:w="4526"/>
            <w:tcBorders>
              <w:top w:val="single" w:color="DDDDDD" w:sz="1"/>
              <w:left w:val="single" w:color="DDDDDD" w:sz="1"/>
              <w:bottom w:val="single" w:color="DDDDDD" w:sz="1"/>
              <w:right w:val="single" w:color="DDDDDD" w:sz="1"/>
            </w:tcBorders>
            <w:shd w:fill="FFF8EC" w:val="clear"/>
            <w:tcMar>
              <w:top w:type="dxa" w:w="80"/>
              <w:left w:type="dxa" w:w="140"/>
              <w:bottom w:type="dxa" w:w="80"/>
              <w:right w:type="dxa" w:w="140"/>
            </w:tcMar>
          </w:tcPr>
          <w:p>
            <w:r>
              <w:rPr>
                <w:rFonts w:ascii="Calibri" w:cs="Calibri" w:eastAsia="Calibri" w:hAnsi="Calibri"/>
                <w:color w:val="0D1B2A"/>
                <w:sz w:val="20"/>
                <w:szCs w:val="20"/>
              </w:rPr>
              <w:t xml:space="preserve">Chaudières et fours industriels + Machines transformateurs d'énergie</w:t>
            </w:r>
          </w:p>
        </w:tc>
        <w:tc>
          <w:tcPr>
            <w:tcW w:type="dxa" w:w="1500"/>
            <w:tcBorders>
              <w:top w:val="single" w:color="DDDDDD" w:sz="1"/>
              <w:left w:val="single" w:color="DDDDDD" w:sz="1"/>
              <w:bottom w:val="single" w:color="DDDDDD" w:sz="1"/>
              <w:right w:val="single" w:color="DDDDDD" w:sz="1"/>
            </w:tcBorders>
            <w:shd w:fill="FFF8EC" w:val="clear"/>
            <w:tcMar>
              <w:top w:type="dxa" w:w="80"/>
              <w:left w:type="dxa" w:w="140"/>
              <w:bottom w:type="dxa" w:w="80"/>
              <w:right w:type="dxa" w:w="140"/>
            </w:tcMar>
          </w:tcPr>
          <w:p>
            <w:r>
              <w:rPr>
                <w:rFonts w:ascii="Calibri" w:cs="Calibri" w:eastAsia="Calibri" w:hAnsi="Calibri"/>
                <w:color w:val="0D1B2A"/>
                <w:sz w:val="20"/>
                <w:szCs w:val="20"/>
              </w:rPr>
              <w:t xml:space="preserve">48h</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M243 — Systèmes embarqués 2</w:t>
            </w:r>
          </w:p>
        </w:tc>
        <w:tc>
          <w:tcPr>
            <w:tcW w:type="dxa" w:w="45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Systèmes embarqués avancés + LabVIEW (NI), PI, myRIO</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48h</w:t>
            </w:r>
          </w:p>
        </w:tc>
      </w:tr>
      <w:tr>
        <w:tc>
          <w:tcPr>
            <w:tcW w:type="dxa" w:w="3000"/>
            <w:tcBorders>
              <w:top w:val="single" w:color="DDDDDD" w:sz="1"/>
              <w:left w:val="single" w:color="DDDDDD" w:sz="1"/>
              <w:bottom w:val="single" w:color="DDDDDD" w:sz="1"/>
              <w:right w:val="single" w:color="DDDDDD" w:sz="1"/>
            </w:tcBorders>
            <w:shd w:fill="FFF8EC" w:val="clear"/>
            <w:tcMar>
              <w:top w:type="dxa" w:w="80"/>
              <w:left w:type="dxa" w:w="140"/>
              <w:bottom w:type="dxa" w:w="80"/>
              <w:right w:type="dxa" w:w="140"/>
            </w:tcMar>
          </w:tcPr>
          <w:p>
            <w:r>
              <w:rPr>
                <w:rFonts w:ascii="Calibri" w:cs="Calibri" w:eastAsia="Calibri" w:hAnsi="Calibri"/>
                <w:color w:val="0D1B2A"/>
                <w:sz w:val="20"/>
                <w:szCs w:val="20"/>
              </w:rPr>
              <w:t xml:space="preserve">M244 — Éolien, Hydroélectrique &amp; Stockage</w:t>
            </w:r>
          </w:p>
        </w:tc>
        <w:tc>
          <w:tcPr>
            <w:tcW w:type="dxa" w:w="4526"/>
            <w:tcBorders>
              <w:top w:val="single" w:color="DDDDDD" w:sz="1"/>
              <w:left w:val="single" w:color="DDDDDD" w:sz="1"/>
              <w:bottom w:val="single" w:color="DDDDDD" w:sz="1"/>
              <w:right w:val="single" w:color="DDDDDD" w:sz="1"/>
            </w:tcBorders>
            <w:shd w:fill="FFF8EC" w:val="clear"/>
            <w:tcMar>
              <w:top w:type="dxa" w:w="80"/>
              <w:left w:type="dxa" w:w="140"/>
              <w:bottom w:type="dxa" w:w="80"/>
              <w:right w:type="dxa" w:w="140"/>
            </w:tcMar>
          </w:tcPr>
          <w:p>
            <w:r>
              <w:rPr>
                <w:rFonts w:ascii="Calibri" w:cs="Calibri" w:eastAsia="Calibri" w:hAnsi="Calibri"/>
                <w:color w:val="0D1B2A"/>
                <w:sz w:val="20"/>
                <w:szCs w:val="20"/>
              </w:rPr>
              <w:t xml:space="preserve">Énergie éolienne + Hydroélectrique + Stockage d'énergie (batteries, STEP)</w:t>
            </w:r>
          </w:p>
        </w:tc>
        <w:tc>
          <w:tcPr>
            <w:tcW w:type="dxa" w:w="1500"/>
            <w:tcBorders>
              <w:top w:val="single" w:color="DDDDDD" w:sz="1"/>
              <w:left w:val="single" w:color="DDDDDD" w:sz="1"/>
              <w:bottom w:val="single" w:color="DDDDDD" w:sz="1"/>
              <w:right w:val="single" w:color="DDDDDD" w:sz="1"/>
            </w:tcBorders>
            <w:shd w:fill="FFF8EC" w:val="clear"/>
            <w:tcMar>
              <w:top w:type="dxa" w:w="80"/>
              <w:left w:type="dxa" w:w="140"/>
              <w:bottom w:type="dxa" w:w="80"/>
              <w:right w:type="dxa" w:w="140"/>
            </w:tcMar>
          </w:tcPr>
          <w:p>
            <w:r>
              <w:rPr>
                <w:rFonts w:ascii="Calibri" w:cs="Calibri" w:eastAsia="Calibri" w:hAnsi="Calibri"/>
                <w:color w:val="0D1B2A"/>
                <w:sz w:val="20"/>
                <w:szCs w:val="20"/>
              </w:rPr>
              <w:t xml:space="preserve">48h</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M245 — Langues étrangères 4</w:t>
            </w:r>
          </w:p>
        </w:tc>
        <w:tc>
          <w:tcPr>
            <w:tcW w:type="dxa" w:w="45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Français professionnel + English for Business</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48h</w:t>
            </w:r>
          </w:p>
        </w:tc>
      </w:tr>
      <w:tr>
        <w:tc>
          <w:tcPr>
            <w:tcW w:type="dxa" w:w="3000"/>
            <w:tcBorders>
              <w:top w:val="single" w:color="DDDDDD" w:sz="1"/>
              <w:left w:val="single" w:color="DDDDDD" w:sz="1"/>
              <w:bottom w:val="single" w:color="DDDDDD" w:sz="1"/>
              <w:right w:val="single" w:color="DDDDDD" w:sz="1"/>
            </w:tcBorders>
            <w:shd w:fill="FFF8EC" w:val="clear"/>
            <w:tcMar>
              <w:top w:type="dxa" w:w="80"/>
              <w:left w:type="dxa" w:w="140"/>
              <w:bottom w:type="dxa" w:w="80"/>
              <w:right w:type="dxa" w:w="140"/>
            </w:tcMar>
          </w:tcPr>
          <w:p>
            <w:r>
              <w:rPr>
                <w:rFonts w:ascii="Calibri" w:cs="Calibri" w:eastAsia="Calibri" w:hAnsi="Calibri"/>
                <w:color w:val="0D1B2A"/>
                <w:sz w:val="20"/>
                <w:szCs w:val="20"/>
              </w:rPr>
              <w:t xml:space="preserve">M246 — Nucléaire &amp; Hydrogène vert</w:t>
            </w:r>
          </w:p>
        </w:tc>
        <w:tc>
          <w:tcPr>
            <w:tcW w:type="dxa" w:w="4526"/>
            <w:tcBorders>
              <w:top w:val="single" w:color="DDDDDD" w:sz="1"/>
              <w:left w:val="single" w:color="DDDDDD" w:sz="1"/>
              <w:bottom w:val="single" w:color="DDDDDD" w:sz="1"/>
              <w:right w:val="single" w:color="DDDDDD" w:sz="1"/>
            </w:tcBorders>
            <w:shd w:fill="FFF8EC" w:val="clear"/>
            <w:tcMar>
              <w:top w:type="dxa" w:w="80"/>
              <w:left w:type="dxa" w:w="140"/>
              <w:bottom w:type="dxa" w:w="80"/>
              <w:right w:type="dxa" w:w="140"/>
            </w:tcMar>
          </w:tcPr>
          <w:p>
            <w:r>
              <w:rPr>
                <w:rFonts w:ascii="Calibri" w:cs="Calibri" w:eastAsia="Calibri" w:hAnsi="Calibri"/>
                <w:color w:val="0D1B2A"/>
                <w:sz w:val="20"/>
                <w:szCs w:val="20"/>
              </w:rPr>
              <w:t xml:space="preserve">Énergie nucléaire + Hydrogène vert (électrolyse, PtX)</w:t>
            </w:r>
          </w:p>
        </w:tc>
        <w:tc>
          <w:tcPr>
            <w:tcW w:type="dxa" w:w="1500"/>
            <w:tcBorders>
              <w:top w:val="single" w:color="DDDDDD" w:sz="1"/>
              <w:left w:val="single" w:color="DDDDDD" w:sz="1"/>
              <w:bottom w:val="single" w:color="DDDDDD" w:sz="1"/>
              <w:right w:val="single" w:color="DDDDDD" w:sz="1"/>
            </w:tcBorders>
            <w:shd w:fill="FFF8EC" w:val="clear"/>
            <w:tcMar>
              <w:top w:type="dxa" w:w="80"/>
              <w:left w:type="dxa" w:w="140"/>
              <w:bottom w:type="dxa" w:w="80"/>
              <w:right w:type="dxa" w:w="140"/>
            </w:tcMar>
          </w:tcPr>
          <w:p>
            <w:r>
              <w:rPr>
                <w:rFonts w:ascii="Calibri" w:cs="Calibri" w:eastAsia="Calibri" w:hAnsi="Calibri"/>
                <w:color w:val="0D1B2A"/>
                <w:sz w:val="20"/>
                <w:szCs w:val="20"/>
              </w:rPr>
              <w:t xml:space="preserve">48h</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M247 — Artificial Intelligence Skills</w:t>
            </w:r>
          </w:p>
        </w:tc>
        <w:tc>
          <w:tcPr>
            <w:tcW w:type="dxa" w:w="45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IA avancée appliquée aux systèmes énergétiques intelligents</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48h</w:t>
            </w:r>
          </w:p>
        </w:tc>
      </w:tr>
    </w:tbl>
    <w:p/>
    <w:p>
      <w:pPr>
        <w:spacing w:before="60" w:after="60"/>
        <w:jc w:val="both"/>
      </w:pPr>
      <w:r>
        <w:rPr>
          <w:rFonts w:ascii="Calibri" w:cs="Calibri" w:eastAsia="Calibri" w:hAnsi="Calibri"/>
          <w:b/>
          <w:bCs/>
          <w:i w:val="false"/>
          <w:iCs w:val="false"/>
          <w:color w:val="00A8E8"/>
          <w:sz w:val="22"/>
          <w:szCs w:val="22"/>
        </w:rPr>
        <w:t xml:space="preserve">S5 — Stage de projet industriel approfondi | S6 — Projet de Fin d'Études (PFE) : immersion complète en entreprise</w:t>
      </w:r>
    </w:p>
    <w:p>
      <w:r>
        <w:br w:type="page"/>
      </w:r>
    </w:p>
    <w:p>
      <w:pPr>
        <w:pStyle w:val="Heading1"/>
        <w:spacing w:before="360" w:after="160"/>
      </w:pPr>
      <w:r>
        <w:rPr>
          <w:rFonts w:ascii="Georgia" w:cs="Georgia" w:eastAsia="Georgia" w:hAnsi="Georgia"/>
          <w:b/>
          <w:bCs/>
          <w:color w:val="0D1B2A"/>
          <w:sz w:val="36"/>
          <w:szCs w:val="36"/>
        </w:rPr>
        <w:t xml:space="preserve">4. Les Compétences que Vous Développerez</w:t>
      </w:r>
    </w:p>
    <w:p>
      <w:pPr>
        <w:pBdr>
          <w:bottom w:val="single" w:color="F5A800" w:sz="10" w:space="1"/>
        </w:pBdr>
        <w:spacing w:before="80" w:after="80"/>
      </w:pPr>
    </w:p>
    <w:p/>
    <w:p>
      <w:pPr>
        <w:spacing w:before="60" w:after="60"/>
        <w:jc w:val="both"/>
      </w:pPr>
      <w:r>
        <w:rPr>
          <w:rFonts w:ascii="Calibri" w:cs="Calibri" w:eastAsia="Calibri" w:hAnsi="Calibri"/>
          <w:b w:val="false"/>
          <w:bCs w:val="false"/>
          <w:i w:val="false"/>
          <w:iCs w:val="false"/>
          <w:color w:val="0D1B2A"/>
          <w:sz w:val="22"/>
          <w:szCs w:val="22"/>
        </w:rPr>
        <w:t xml:space="preserve">Le profil GESI est l'un des plus recherchés du marché parce qu'il combine des dimensions que rares formations offrent ensemble. À la sortie de l'ENSA Fès, vous serez un ingénieur à 360° dans le domaine de l'énergie et des systèmes intelligents.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DDDDD" w:sz="1"/>
              <w:left w:val="single" w:color="DDDDDD" w:sz="1"/>
              <w:bottom w:val="single" w:color="DDDDDD" w:sz="1"/>
              <w:right w:val="single" w:color="DDDDDD" w:sz="1"/>
            </w:tcBorders>
            <w:shd w:fill="E8F6FD" w:val="clear"/>
            <w:tcMar>
              <w:top w:type="dxa" w:w="160"/>
              <w:left w:type="dxa" w:w="200"/>
              <w:bottom w:type="dxa" w:w="160"/>
              <w:right w:type="dxa" w:w="200"/>
            </w:tcMar>
          </w:tcPr>
          <w:p>
            <w:pPr>
              <w:spacing w:before="0" w:after="80"/>
            </w:pPr>
            <w:r>
              <w:rPr>
                <w:rFonts w:ascii="Georgia" w:cs="Georgia" w:eastAsia="Georgia" w:hAnsi="Georgia"/>
                <w:b/>
                <w:bCs/>
                <w:color w:val="0D1B2A"/>
                <w:sz w:val="22"/>
                <w:szCs w:val="22"/>
              </w:rPr>
              <w:t xml:space="preserve">⚡ COMPÉTENCES ÉNERGÉTIQUES</w:t>
            </w:r>
          </w:p>
          <w:p>
            <w:pPr>
              <w:pStyle w:val="ListParagraph"/>
              <w:numPr>
                <w:ilvl w:val="0"/>
                <w:numId w:val="2"/>
              </w:numPr>
              <w:spacing w:before="30" w:after="30"/>
            </w:pPr>
            <w:r>
              <w:rPr>
                <w:rFonts w:ascii="Calibri" w:cs="Calibri" w:eastAsia="Calibri" w:hAnsi="Calibri"/>
                <w:color w:val="0D1B2A"/>
                <w:sz w:val="20"/>
                <w:szCs w:val="20"/>
              </w:rPr>
              <w:t xml:space="preserve">Conception et dimensionnement de systèmes solaires PV et thermiques</w:t>
            </w:r>
          </w:p>
          <w:p>
            <w:pPr>
              <w:pStyle w:val="ListParagraph"/>
              <w:numPr>
                <w:ilvl w:val="0"/>
                <w:numId w:val="2"/>
              </w:numPr>
              <w:spacing w:before="30" w:after="30"/>
            </w:pPr>
            <w:r>
              <w:rPr>
                <w:rFonts w:ascii="Calibri" w:cs="Calibri" w:eastAsia="Calibri" w:hAnsi="Calibri"/>
                <w:color w:val="0D1B2A"/>
                <w:sz w:val="20"/>
                <w:szCs w:val="20"/>
              </w:rPr>
              <w:t xml:space="preserve">Évaluation et optimisation des ressources éoliennes et hydroélectriques</w:t>
            </w:r>
          </w:p>
          <w:p>
            <w:pPr>
              <w:pStyle w:val="ListParagraph"/>
              <w:numPr>
                <w:ilvl w:val="0"/>
                <w:numId w:val="2"/>
              </w:numPr>
              <w:spacing w:before="30" w:after="30"/>
            </w:pPr>
            <w:r>
              <w:rPr>
                <w:rFonts w:ascii="Calibri" w:cs="Calibri" w:eastAsia="Calibri" w:hAnsi="Calibri"/>
                <w:color w:val="0D1B2A"/>
                <w:sz w:val="20"/>
                <w:szCs w:val="20"/>
              </w:rPr>
              <w:t xml:space="preserve">Maîtrise de l'hydraulique industrielle et de la thermodynamique appliquée</w:t>
            </w:r>
          </w:p>
          <w:p>
            <w:pPr>
              <w:pStyle w:val="ListParagraph"/>
              <w:numPr>
                <w:ilvl w:val="0"/>
                <w:numId w:val="2"/>
              </w:numPr>
              <w:spacing w:before="30" w:after="30"/>
            </w:pPr>
            <w:r>
              <w:rPr>
                <w:rFonts w:ascii="Calibri" w:cs="Calibri" w:eastAsia="Calibri" w:hAnsi="Calibri"/>
                <w:color w:val="0D1B2A"/>
                <w:sz w:val="20"/>
                <w:szCs w:val="20"/>
              </w:rPr>
              <w:t xml:space="preserve">Gestion du stockage d'énergie (batteries, STEP, hydrogène)</w:t>
            </w:r>
          </w:p>
          <w:p>
            <w:pPr>
              <w:pStyle w:val="ListParagraph"/>
              <w:numPr>
                <w:ilvl w:val="0"/>
                <w:numId w:val="2"/>
              </w:numPr>
              <w:spacing w:before="30" w:after="30"/>
            </w:pPr>
            <w:r>
              <w:rPr>
                <w:rFonts w:ascii="Calibri" w:cs="Calibri" w:eastAsia="Calibri" w:hAnsi="Calibri"/>
                <w:color w:val="0D1B2A"/>
                <w:sz w:val="20"/>
                <w:szCs w:val="20"/>
              </w:rPr>
              <w:t xml:space="preserve">Efficacité énergétique industrielle et bilan énergétique</w:t>
            </w:r>
          </w:p>
        </w:tc>
        <w:tc>
          <w:tcPr>
            <w:tcW w:type="dxa" w:w="4513"/>
            <w:tcBorders>
              <w:top w:val="single" w:color="DDDDDD" w:sz="1"/>
              <w:left w:val="single" w:color="DDDDDD" w:sz="1"/>
              <w:bottom w:val="single" w:color="DDDDDD" w:sz="1"/>
              <w:right w:val="single" w:color="DDDDDD" w:sz="1"/>
            </w:tcBorders>
            <w:shd w:fill="E8F6FD" w:val="clear"/>
            <w:tcMar>
              <w:top w:type="dxa" w:w="160"/>
              <w:left w:type="dxa" w:w="200"/>
              <w:bottom w:type="dxa" w:w="160"/>
              <w:right w:type="dxa" w:w="200"/>
            </w:tcMar>
          </w:tcPr>
          <w:p>
            <w:pPr>
              <w:spacing w:before="0" w:after="80"/>
            </w:pPr>
            <w:r>
              <w:rPr>
                <w:rFonts w:ascii="Georgia" w:cs="Georgia" w:eastAsia="Georgia" w:hAnsi="Georgia"/>
                <w:b/>
                <w:bCs/>
                <w:color w:val="00A8E8"/>
                <w:sz w:val="22"/>
                <w:szCs w:val="22"/>
              </w:rPr>
              <w:t xml:space="preserve">🤖 COMPÉTENCES SYSTÈMES INTELLIGENTS</w:t>
            </w:r>
          </w:p>
          <w:p>
            <w:pPr>
              <w:pStyle w:val="ListParagraph"/>
              <w:numPr>
                <w:ilvl w:val="0"/>
                <w:numId w:val="2"/>
              </w:numPr>
              <w:spacing w:before="30" w:after="30"/>
            </w:pPr>
            <w:r>
              <w:rPr>
                <w:rFonts w:ascii="Calibri" w:cs="Calibri" w:eastAsia="Calibri" w:hAnsi="Calibri"/>
                <w:color w:val="0D1B2A"/>
                <w:sz w:val="20"/>
                <w:szCs w:val="20"/>
              </w:rPr>
              <w:t xml:space="preserve">Programmation embarquée (C/C++, microcontrôleurs, RTOS)</w:t>
            </w:r>
          </w:p>
          <w:p>
            <w:pPr>
              <w:pStyle w:val="ListParagraph"/>
              <w:numPr>
                <w:ilvl w:val="0"/>
                <w:numId w:val="2"/>
              </w:numPr>
              <w:spacing w:before="30" w:after="30"/>
            </w:pPr>
            <w:r>
              <w:rPr>
                <w:rFonts w:ascii="Calibri" w:cs="Calibri" w:eastAsia="Calibri" w:hAnsi="Calibri"/>
                <w:color w:val="0D1B2A"/>
                <w:sz w:val="20"/>
                <w:szCs w:val="20"/>
              </w:rPr>
              <w:t xml:space="preserve">Automatique et commande avancée des systèmes</w:t>
            </w:r>
          </w:p>
          <w:p>
            <w:pPr>
              <w:pStyle w:val="ListParagraph"/>
              <w:numPr>
                <w:ilvl w:val="0"/>
                <w:numId w:val="2"/>
              </w:numPr>
              <w:spacing w:before="30" w:after="30"/>
            </w:pPr>
            <w:r>
              <w:rPr>
                <w:rFonts w:ascii="Calibri" w:cs="Calibri" w:eastAsia="Calibri" w:hAnsi="Calibri"/>
                <w:color w:val="0D1B2A"/>
                <w:sz w:val="20"/>
                <w:szCs w:val="20"/>
              </w:rPr>
              <w:t xml:space="preserve">Électronique de puissance et variateurs de vitesse</w:t>
            </w:r>
          </w:p>
          <w:p>
            <w:pPr>
              <w:pStyle w:val="ListParagraph"/>
              <w:numPr>
                <w:ilvl w:val="0"/>
                <w:numId w:val="2"/>
              </w:numPr>
              <w:spacing w:before="30" w:after="30"/>
            </w:pPr>
            <w:r>
              <w:rPr>
                <w:rFonts w:ascii="Calibri" w:cs="Calibri" w:eastAsia="Calibri" w:hAnsi="Calibri"/>
                <w:color w:val="0D1B2A"/>
                <w:sz w:val="20"/>
                <w:szCs w:val="20"/>
              </w:rPr>
              <w:t xml:space="preserve">Machine Learning et analyse de données énergétiques</w:t>
            </w:r>
          </w:p>
          <w:p>
            <w:pPr>
              <w:pStyle w:val="ListParagraph"/>
              <w:numPr>
                <w:ilvl w:val="0"/>
                <w:numId w:val="2"/>
              </w:numPr>
              <w:spacing w:before="30" w:after="30"/>
            </w:pPr>
            <w:r>
              <w:rPr>
                <w:rFonts w:ascii="Calibri" w:cs="Calibri" w:eastAsia="Calibri" w:hAnsi="Calibri"/>
                <w:color w:val="0D1B2A"/>
                <w:sz w:val="20"/>
                <w:szCs w:val="20"/>
              </w:rPr>
              <w:t xml:space="preserve">Simulation multiphysique (thermique, électrique, mécanique)</w:t>
            </w:r>
          </w:p>
        </w:tc>
      </w:tr>
      <w:tr>
        <w:tc>
          <w:tcPr>
            <w:tcW w:type="dxa" w:w="4513"/>
            <w:tcBorders>
              <w:top w:val="single" w:color="DDDDDD" w:sz="1"/>
              <w:left w:val="single" w:color="DDDDDD" w:sz="1"/>
              <w:bottom w:val="single" w:color="DDDDDD" w:sz="1"/>
              <w:right w:val="single" w:color="DDDDDD" w:sz="1"/>
            </w:tcBorders>
            <w:shd w:fill="FFF8EC" w:val="clear"/>
            <w:tcMar>
              <w:top w:type="dxa" w:w="160"/>
              <w:left w:type="dxa" w:w="200"/>
              <w:bottom w:type="dxa" w:w="160"/>
              <w:right w:type="dxa" w:w="200"/>
            </w:tcMar>
          </w:tcPr>
          <w:p>
            <w:pPr>
              <w:spacing w:before="0" w:after="80"/>
            </w:pPr>
            <w:r>
              <w:rPr>
                <w:rFonts w:ascii="Georgia" w:cs="Georgia" w:eastAsia="Georgia" w:hAnsi="Georgia"/>
                <w:b/>
                <w:bCs/>
                <w:color w:val="F5A800"/>
                <w:sz w:val="22"/>
                <w:szCs w:val="22"/>
              </w:rPr>
              <w:t xml:space="preserve">🔬 COMPÉTENCES TRANSVERSALES</w:t>
            </w:r>
          </w:p>
          <w:p>
            <w:pPr>
              <w:pStyle w:val="ListParagraph"/>
              <w:numPr>
                <w:ilvl w:val="0"/>
                <w:numId w:val="2"/>
              </w:numPr>
              <w:spacing w:before="30" w:after="30"/>
            </w:pPr>
            <w:r>
              <w:rPr>
                <w:rFonts w:ascii="Calibri" w:cs="Calibri" w:eastAsia="Calibri" w:hAnsi="Calibri"/>
                <w:color w:val="0D1B2A"/>
                <w:sz w:val="20"/>
                <w:szCs w:val="20"/>
              </w:rPr>
              <w:t xml:space="preserve">Gestion de projets énergétiques complexes</w:t>
            </w:r>
          </w:p>
          <w:p>
            <w:pPr>
              <w:pStyle w:val="ListParagraph"/>
              <w:numPr>
                <w:ilvl w:val="0"/>
                <w:numId w:val="2"/>
              </w:numPr>
              <w:spacing w:before="30" w:after="30"/>
            </w:pPr>
            <w:r>
              <w:rPr>
                <w:rFonts w:ascii="Calibri" w:cs="Calibri" w:eastAsia="Calibri" w:hAnsi="Calibri"/>
                <w:color w:val="0D1B2A"/>
                <w:sz w:val="20"/>
                <w:szCs w:val="20"/>
              </w:rPr>
              <w:t xml:space="preserve">Maîtrise des outils de simulation (MATLAB, LabVIEW, CFD)</w:t>
            </w:r>
          </w:p>
          <w:p>
            <w:pPr>
              <w:pStyle w:val="ListParagraph"/>
              <w:numPr>
                <w:ilvl w:val="0"/>
                <w:numId w:val="2"/>
              </w:numPr>
              <w:spacing w:before="30" w:after="30"/>
            </w:pPr>
            <w:r>
              <w:rPr>
                <w:rFonts w:ascii="Calibri" w:cs="Calibri" w:eastAsia="Calibri" w:hAnsi="Calibri"/>
                <w:color w:val="0D1B2A"/>
                <w:sz w:val="20"/>
                <w:szCs w:val="20"/>
              </w:rPr>
              <w:t xml:space="preserve">Langues : anglais technique + français professionnel</w:t>
            </w:r>
          </w:p>
          <w:p>
            <w:pPr>
              <w:pStyle w:val="ListParagraph"/>
              <w:numPr>
                <w:ilvl w:val="0"/>
                <w:numId w:val="2"/>
              </w:numPr>
              <w:spacing w:before="30" w:after="30"/>
            </w:pPr>
            <w:r>
              <w:rPr>
                <w:rFonts w:ascii="Calibri" w:cs="Calibri" w:eastAsia="Calibri" w:hAnsi="Calibri"/>
                <w:color w:val="0D1B2A"/>
                <w:sz w:val="20"/>
                <w:szCs w:val="20"/>
              </w:rPr>
              <w:t xml:space="preserve">Analyse économique et technico-financière de projets</w:t>
            </w:r>
          </w:p>
          <w:p>
            <w:pPr>
              <w:pStyle w:val="ListParagraph"/>
              <w:numPr>
                <w:ilvl w:val="0"/>
                <w:numId w:val="2"/>
              </w:numPr>
              <w:spacing w:before="30" w:after="30"/>
            </w:pPr>
            <w:r>
              <w:rPr>
                <w:rFonts w:ascii="Calibri" w:cs="Calibri" w:eastAsia="Calibri" w:hAnsi="Calibri"/>
                <w:color w:val="0D1B2A"/>
                <w:sz w:val="20"/>
                <w:szCs w:val="20"/>
              </w:rPr>
              <w:t xml:space="preserve">Entrepreneuriat et innovation technologique</w:t>
            </w:r>
          </w:p>
        </w:tc>
        <w:tc>
          <w:tcPr>
            <w:tcW w:type="dxa" w:w="4513"/>
            <w:tcBorders>
              <w:top w:val="single" w:color="DDDDDD" w:sz="1"/>
              <w:left w:val="single" w:color="DDDDDD" w:sz="1"/>
              <w:bottom w:val="single" w:color="DDDDDD" w:sz="1"/>
              <w:right w:val="single" w:color="DDDDDD" w:sz="1"/>
            </w:tcBorders>
            <w:shd w:fill="E8F6FD" w:val="clear"/>
            <w:tcMar>
              <w:top w:type="dxa" w:w="160"/>
              <w:left w:type="dxa" w:w="200"/>
              <w:bottom w:type="dxa" w:w="160"/>
              <w:right w:type="dxa" w:w="200"/>
            </w:tcMar>
          </w:tcPr>
          <w:p>
            <w:pPr>
              <w:spacing w:before="0" w:after="80"/>
            </w:pPr>
            <w:r>
              <w:rPr>
                <w:rFonts w:ascii="Georgia" w:cs="Georgia" w:eastAsia="Georgia" w:hAnsi="Georgia"/>
                <w:b/>
                <w:bCs/>
                <w:color w:val="0D1B2A"/>
                <w:sz w:val="22"/>
                <w:szCs w:val="22"/>
              </w:rPr>
              <w:t xml:space="preserve">🌍 DOUBLE CULTURE NUMÉRIQUE-ÉNERGIE</w:t>
            </w:r>
          </w:p>
          <w:p>
            <w:pPr>
              <w:pStyle w:val="ListParagraph"/>
              <w:numPr>
                <w:ilvl w:val="0"/>
                <w:numId w:val="2"/>
              </w:numPr>
              <w:spacing w:before="30" w:after="30"/>
            </w:pPr>
            <w:r>
              <w:rPr>
                <w:rFonts w:ascii="Calibri" w:cs="Calibri" w:eastAsia="Calibri" w:hAnsi="Calibri"/>
                <w:color w:val="0D1B2A"/>
                <w:sz w:val="20"/>
                <w:szCs w:val="20"/>
              </w:rPr>
              <w:t xml:space="preserve">Intelligence artificielle appliquée à l'optimisation énergétique</w:t>
            </w:r>
          </w:p>
          <w:p>
            <w:pPr>
              <w:pStyle w:val="ListParagraph"/>
              <w:numPr>
                <w:ilvl w:val="0"/>
                <w:numId w:val="2"/>
              </w:numPr>
              <w:spacing w:before="30" w:after="30"/>
            </w:pPr>
            <w:r>
              <w:rPr>
                <w:rFonts w:ascii="Calibri" w:cs="Calibri" w:eastAsia="Calibri" w:hAnsi="Calibri"/>
                <w:color w:val="0D1B2A"/>
                <w:sz w:val="20"/>
                <w:szCs w:val="20"/>
              </w:rPr>
              <w:t xml:space="preserve">Smart Grids et réseaux électriques intelligents</w:t>
            </w:r>
          </w:p>
          <w:p>
            <w:pPr>
              <w:pStyle w:val="ListParagraph"/>
              <w:numPr>
                <w:ilvl w:val="0"/>
                <w:numId w:val="2"/>
              </w:numPr>
              <w:spacing w:before="30" w:after="30"/>
            </w:pPr>
            <w:r>
              <w:rPr>
                <w:rFonts w:ascii="Calibri" w:cs="Calibri" w:eastAsia="Calibri" w:hAnsi="Calibri"/>
                <w:color w:val="0D1B2A"/>
                <w:sz w:val="20"/>
                <w:szCs w:val="20"/>
              </w:rPr>
              <w:t xml:space="preserve">Power BI et visualisation de données industrielles</w:t>
            </w:r>
          </w:p>
          <w:p>
            <w:pPr>
              <w:pStyle w:val="ListParagraph"/>
              <w:numPr>
                <w:ilvl w:val="0"/>
                <w:numId w:val="2"/>
              </w:numPr>
              <w:spacing w:before="30" w:after="30"/>
            </w:pPr>
            <w:r>
              <w:rPr>
                <w:rFonts w:ascii="Calibri" w:cs="Calibri" w:eastAsia="Calibri" w:hAnsi="Calibri"/>
                <w:color w:val="0D1B2A"/>
                <w:sz w:val="20"/>
                <w:szCs w:val="20"/>
              </w:rPr>
              <w:t xml:space="preserve">IoT industriel et supervision de systèmes à distance</w:t>
            </w:r>
          </w:p>
          <w:p>
            <w:pPr>
              <w:pStyle w:val="ListParagraph"/>
              <w:numPr>
                <w:ilvl w:val="0"/>
                <w:numId w:val="2"/>
              </w:numPr>
              <w:spacing w:before="30" w:after="30"/>
            </w:pPr>
            <w:r>
              <w:rPr>
                <w:rFonts w:ascii="Calibri" w:cs="Calibri" w:eastAsia="Calibri" w:hAnsi="Calibri"/>
                <w:color w:val="0D1B2A"/>
                <w:sz w:val="20"/>
                <w:szCs w:val="20"/>
              </w:rPr>
              <w:t xml:space="preserve">Intégration des énergies renouvelables dans les réseaux</w:t>
            </w:r>
          </w:p>
        </w:tc>
      </w:tr>
    </w:tbl>
    <w:p>
      <w:r>
        <w:br w:type="page"/>
      </w:r>
    </w:p>
    <w:p>
      <w:pPr>
        <w:pStyle w:val="Heading1"/>
        <w:spacing w:before="360" w:after="160"/>
      </w:pPr>
      <w:r>
        <w:rPr>
          <w:rFonts w:ascii="Georgia" w:cs="Georgia" w:eastAsia="Georgia" w:hAnsi="Georgia"/>
          <w:b/>
          <w:bCs/>
          <w:color w:val="0D1B2A"/>
          <w:sz w:val="36"/>
          <w:szCs w:val="36"/>
        </w:rPr>
        <w:t xml:space="preserve">5. Débouchés Professionnels &amp; Rémunérations</w:t>
      </w:r>
    </w:p>
    <w:p>
      <w:pPr>
        <w:pBdr>
          <w:bottom w:val="single" w:color="F5A800" w:sz="10" w:space="1"/>
        </w:pBdr>
        <w:spacing w:before="80" w:after="80"/>
      </w:pPr>
    </w:p>
    <w:p/>
    <w:p>
      <w:pPr>
        <w:spacing w:before="60" w:after="60"/>
        <w:jc w:val="both"/>
      </w:pPr>
      <w:r>
        <w:rPr>
          <w:rFonts w:ascii="Calibri" w:cs="Calibri" w:eastAsia="Calibri" w:hAnsi="Calibri"/>
          <w:b w:val="false"/>
          <w:bCs w:val="false"/>
          <w:i w:val="false"/>
          <w:iCs w:val="false"/>
          <w:color w:val="0D1B2A"/>
          <w:sz w:val="22"/>
          <w:szCs w:val="22"/>
        </w:rPr>
        <w:t xml:space="preserve">La filière GESI ouvre des portes dans les secteurs les plus stratégiques et les plus rémunérateurs de l'économie marocaine et mondiale. Voici un panorama réaliste et documenté des métiers accessibles dès la sortie de l'ENSA Fès.</w:t>
      </w:r>
    </w:p>
    <w:p/>
    <w:p>
      <w:pPr>
        <w:pStyle w:val="Heading2"/>
        <w:spacing w:before="240" w:after="120"/>
      </w:pPr>
      <w:r>
        <w:rPr>
          <w:rFonts w:ascii="Georgia" w:cs="Georgia" w:eastAsia="Georgia" w:hAnsi="Georgia"/>
          <w:b/>
          <w:bCs/>
          <w:color w:val="F5A800"/>
          <w:sz w:val="27"/>
          <w:szCs w:val="27"/>
        </w:rPr>
        <w:t xml:space="preserve">5.1 — Les Métiers Phares de la Filière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1826"/>
        <w:gridCol w:w="1600"/>
      </w:tblGrid>
      <w:tr>
        <w:tc>
          <w:tcPr>
            <w:tcW w:type="dxa" w:w="2200"/>
            <w:tcBorders>
              <w:top w:val="single" w:color="DDDDDD" w:sz="1"/>
              <w:left w:val="single" w:color="DDDDDD" w:sz="1"/>
              <w:bottom w:val="single" w:color="DDDDDD" w:sz="1"/>
              <w:right w:val="single" w:color="DDDDDD" w:sz="1"/>
            </w:tcBorders>
            <w:shd w:fill="0D1B2A" w:val="clear"/>
            <w:tcMar>
              <w:top w:type="dxa" w:w="100"/>
              <w:left w:type="dxa" w:w="140"/>
              <w:bottom w:type="dxa" w:w="100"/>
              <w:right w:type="dxa" w:w="140"/>
            </w:tcMar>
          </w:tcPr>
          <w:p>
            <w:pPr>
              <w:jc w:val="center"/>
            </w:pPr>
            <w:r>
              <w:rPr>
                <w:rFonts w:ascii="Calibri" w:cs="Calibri" w:eastAsia="Calibri" w:hAnsi="Calibri"/>
                <w:b/>
                <w:bCs/>
                <w:color w:val="F5A800"/>
                <w:sz w:val="21"/>
                <w:szCs w:val="21"/>
              </w:rPr>
              <w:t xml:space="preserve">Poste</w:t>
            </w:r>
          </w:p>
        </w:tc>
        <w:tc>
          <w:tcPr>
            <w:tcW w:type="dxa" w:w="3400"/>
            <w:tcBorders>
              <w:top w:val="single" w:color="DDDDDD" w:sz="1"/>
              <w:left w:val="single" w:color="DDDDDD" w:sz="1"/>
              <w:bottom w:val="single" w:color="DDDDDD" w:sz="1"/>
              <w:right w:val="single" w:color="DDDDDD" w:sz="1"/>
            </w:tcBorders>
            <w:shd w:fill="0D1B2A" w:val="clear"/>
            <w:tcMar>
              <w:top w:type="dxa" w:w="100"/>
              <w:left w:type="dxa" w:w="140"/>
              <w:bottom w:type="dxa" w:w="100"/>
              <w:right w:type="dxa" w:w="140"/>
            </w:tcMar>
          </w:tcPr>
          <w:p>
            <w:pPr>
              <w:jc w:val="center"/>
            </w:pPr>
            <w:r>
              <w:rPr>
                <w:rFonts w:ascii="Calibri" w:cs="Calibri" w:eastAsia="Calibri" w:hAnsi="Calibri"/>
                <w:b/>
                <w:bCs/>
                <w:color w:val="F5A800"/>
                <w:sz w:val="21"/>
                <w:szCs w:val="21"/>
              </w:rPr>
              <w:t xml:space="preserve">Missions principales</w:t>
            </w:r>
          </w:p>
        </w:tc>
        <w:tc>
          <w:tcPr>
            <w:tcW w:type="dxa" w:w="1826"/>
            <w:tcBorders>
              <w:top w:val="single" w:color="DDDDDD" w:sz="1"/>
              <w:left w:val="single" w:color="DDDDDD" w:sz="1"/>
              <w:bottom w:val="single" w:color="DDDDDD" w:sz="1"/>
              <w:right w:val="single" w:color="DDDDDD" w:sz="1"/>
            </w:tcBorders>
            <w:shd w:fill="0D1B2A" w:val="clear"/>
            <w:tcMar>
              <w:top w:type="dxa" w:w="100"/>
              <w:left w:type="dxa" w:w="140"/>
              <w:bottom w:type="dxa" w:w="100"/>
              <w:right w:type="dxa" w:w="140"/>
            </w:tcMar>
          </w:tcPr>
          <w:p>
            <w:pPr>
              <w:jc w:val="center"/>
            </w:pPr>
            <w:r>
              <w:rPr>
                <w:rFonts w:ascii="Calibri" w:cs="Calibri" w:eastAsia="Calibri" w:hAnsi="Calibri"/>
                <w:b/>
                <w:bCs/>
                <w:color w:val="F5A800"/>
                <w:sz w:val="21"/>
                <w:szCs w:val="21"/>
              </w:rPr>
              <w:t xml:space="preserve">Salaire Maroc (débutant)</w:t>
            </w:r>
          </w:p>
        </w:tc>
        <w:tc>
          <w:tcPr>
            <w:tcW w:type="dxa" w:w="1600"/>
            <w:tcBorders>
              <w:top w:val="single" w:color="DDDDDD" w:sz="1"/>
              <w:left w:val="single" w:color="DDDDDD" w:sz="1"/>
              <w:bottom w:val="single" w:color="DDDDDD" w:sz="1"/>
              <w:right w:val="single" w:color="DDDDDD" w:sz="1"/>
            </w:tcBorders>
            <w:shd w:fill="0D1B2A" w:val="clear"/>
            <w:tcMar>
              <w:top w:type="dxa" w:w="100"/>
              <w:left w:type="dxa" w:w="140"/>
              <w:bottom w:type="dxa" w:w="100"/>
              <w:right w:type="dxa" w:w="140"/>
            </w:tcMar>
          </w:tcPr>
          <w:p>
            <w:pPr>
              <w:jc w:val="center"/>
            </w:pPr>
            <w:r>
              <w:rPr>
                <w:rFonts w:ascii="Calibri" w:cs="Calibri" w:eastAsia="Calibri" w:hAnsi="Calibri"/>
                <w:b/>
                <w:bCs/>
                <w:color w:val="F5A800"/>
                <w:sz w:val="21"/>
                <w:szCs w:val="21"/>
              </w:rPr>
              <w:t xml:space="preserve">Secteur / Exemple employeur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Ingénieur Énergies Renouvelables</w:t>
            </w:r>
          </w:p>
        </w:tc>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Conception, dimensionnement et supervision de centrales solaires, éoliennes, hydroélectriques. Études de faisabilité, suivi de chantiers.</w:t>
            </w:r>
          </w:p>
        </w:tc>
        <w:tc>
          <w:tcPr>
            <w:tcW w:type="dxa" w:w="1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8 000 – 10 000 DH/mois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MASEN, ONEE, OCP, Nareva, Éolus Maroc</w:t>
            </w:r>
          </w:p>
        </w:tc>
      </w:tr>
      <w:tr>
        <w:tc>
          <w:tcPr>
            <w:tcW w:type="dxa" w:w="2200"/>
            <w:tcBorders>
              <w:top w:val="single" w:color="DDDDDD" w:sz="1"/>
              <w:left w:val="single" w:color="DDDDDD" w:sz="1"/>
              <w:bottom w:val="single" w:color="DDDDDD" w:sz="1"/>
              <w:right w:val="single" w:color="DDDDDD" w:sz="1"/>
            </w:tcBorders>
            <w:shd w:fill="FFF8EC" w:val="clear"/>
            <w:tcMar>
              <w:top w:type="dxa" w:w="80"/>
              <w:left w:type="dxa" w:w="140"/>
              <w:bottom w:type="dxa" w:w="80"/>
              <w:right w:type="dxa" w:w="140"/>
            </w:tcMar>
          </w:tcPr>
          <w:p>
            <w:r>
              <w:rPr>
                <w:rFonts w:ascii="Calibri" w:cs="Calibri" w:eastAsia="Calibri" w:hAnsi="Calibri"/>
                <w:color w:val="0D1B2A"/>
                <w:sz w:val="20"/>
                <w:szCs w:val="20"/>
              </w:rPr>
              <w:t xml:space="preserve">Ingénieur Systèmes Embarqués</w:t>
            </w:r>
          </w:p>
        </w:tc>
        <w:tc>
          <w:tcPr>
            <w:tcW w:type="dxa" w:w="3400"/>
            <w:tcBorders>
              <w:top w:val="single" w:color="DDDDDD" w:sz="1"/>
              <w:left w:val="single" w:color="DDDDDD" w:sz="1"/>
              <w:bottom w:val="single" w:color="DDDDDD" w:sz="1"/>
              <w:right w:val="single" w:color="DDDDDD" w:sz="1"/>
            </w:tcBorders>
            <w:shd w:fill="FFF8EC" w:val="clear"/>
            <w:tcMar>
              <w:top w:type="dxa" w:w="80"/>
              <w:left w:type="dxa" w:w="140"/>
              <w:bottom w:type="dxa" w:w="80"/>
              <w:right w:type="dxa" w:w="140"/>
            </w:tcMar>
          </w:tcPr>
          <w:p>
            <w:r>
              <w:rPr>
                <w:rFonts w:ascii="Calibri" w:cs="Calibri" w:eastAsia="Calibri" w:hAnsi="Calibri"/>
                <w:color w:val="0D1B2A"/>
                <w:sz w:val="20"/>
                <w:szCs w:val="20"/>
              </w:rPr>
              <w:t xml:space="preserve">Développement de firmware, programmation microcontrôleurs, intégration HW/SW pour systèmes industriels ou automobiles.</w:t>
            </w:r>
          </w:p>
        </w:tc>
        <w:tc>
          <w:tcPr>
            <w:tcW w:type="dxa" w:w="1826"/>
            <w:tcBorders>
              <w:top w:val="single" w:color="DDDDDD" w:sz="1"/>
              <w:left w:val="single" w:color="DDDDDD" w:sz="1"/>
              <w:bottom w:val="single" w:color="DDDDDD" w:sz="1"/>
              <w:right w:val="single" w:color="DDDDDD" w:sz="1"/>
            </w:tcBorders>
            <w:shd w:fill="FFF8EC" w:val="clear"/>
            <w:tcMar>
              <w:top w:type="dxa" w:w="80"/>
              <w:left w:type="dxa" w:w="140"/>
              <w:bottom w:type="dxa" w:w="80"/>
              <w:right w:type="dxa" w:w="140"/>
            </w:tcMar>
          </w:tcPr>
          <w:p>
            <w:r>
              <w:rPr>
                <w:rFonts w:ascii="Calibri" w:cs="Calibri" w:eastAsia="Calibri" w:hAnsi="Calibri"/>
                <w:color w:val="0D1B2A"/>
                <w:sz w:val="20"/>
                <w:szCs w:val="20"/>
              </w:rPr>
              <w:t xml:space="preserve">9 000 – 12 000 DH/mois</w:t>
            </w:r>
          </w:p>
        </w:tc>
        <w:tc>
          <w:tcPr>
            <w:tcW w:type="dxa" w:w="1600"/>
            <w:tcBorders>
              <w:top w:val="single" w:color="DDDDDD" w:sz="1"/>
              <w:left w:val="single" w:color="DDDDDD" w:sz="1"/>
              <w:bottom w:val="single" w:color="DDDDDD" w:sz="1"/>
              <w:right w:val="single" w:color="DDDDDD" w:sz="1"/>
            </w:tcBorders>
            <w:shd w:fill="FFF8EC" w:val="clear"/>
            <w:tcMar>
              <w:top w:type="dxa" w:w="80"/>
              <w:left w:type="dxa" w:w="140"/>
              <w:bottom w:type="dxa" w:w="80"/>
              <w:right w:type="dxa" w:w="140"/>
            </w:tcMar>
          </w:tcPr>
          <w:p>
            <w:r>
              <w:rPr>
                <w:rFonts w:ascii="Calibri" w:cs="Calibri" w:eastAsia="Calibri" w:hAnsi="Calibri"/>
                <w:color w:val="0D1B2A"/>
                <w:sz w:val="20"/>
                <w:szCs w:val="20"/>
              </w:rPr>
              <w:t xml:space="preserve">Capgemini Eng., Safran, Aptiv, Valeo Maroc</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Ingénieur Électronique de Puissance</w:t>
            </w:r>
          </w:p>
        </w:tc>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Conception de convertisseurs, onduleurs, variateurs — pour énergies renouvelables et industrie.</w:t>
            </w:r>
          </w:p>
        </w:tc>
        <w:tc>
          <w:tcPr>
            <w:tcW w:type="dxa" w:w="1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9 000 – 13 000 DH/mois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Schneider Electric, ABB, ALTEN Maroc</w:t>
            </w:r>
          </w:p>
        </w:tc>
      </w:tr>
      <w:tr>
        <w:tc>
          <w:tcPr>
            <w:tcW w:type="dxa" w:w="2200"/>
            <w:tcBorders>
              <w:top w:val="single" w:color="DDDDDD" w:sz="1"/>
              <w:left w:val="single" w:color="DDDDDD" w:sz="1"/>
              <w:bottom w:val="single" w:color="DDDDDD" w:sz="1"/>
              <w:right w:val="single" w:color="DDDDDD" w:sz="1"/>
            </w:tcBorders>
            <w:shd w:fill="FFF8EC" w:val="clear"/>
            <w:tcMar>
              <w:top w:type="dxa" w:w="80"/>
              <w:left w:type="dxa" w:w="140"/>
              <w:bottom w:type="dxa" w:w="80"/>
              <w:right w:type="dxa" w:w="140"/>
            </w:tcMar>
          </w:tcPr>
          <w:p>
            <w:r>
              <w:rPr>
                <w:rFonts w:ascii="Calibri" w:cs="Calibri" w:eastAsia="Calibri" w:hAnsi="Calibri"/>
                <w:color w:val="0D1B2A"/>
                <w:sz w:val="20"/>
                <w:szCs w:val="20"/>
              </w:rPr>
              <w:t xml:space="preserve">Ingénieur Smart Grid / Réseau Électrique</w:t>
            </w:r>
          </w:p>
        </w:tc>
        <w:tc>
          <w:tcPr>
            <w:tcW w:type="dxa" w:w="3400"/>
            <w:tcBorders>
              <w:top w:val="single" w:color="DDDDDD" w:sz="1"/>
              <w:left w:val="single" w:color="DDDDDD" w:sz="1"/>
              <w:bottom w:val="single" w:color="DDDDDD" w:sz="1"/>
              <w:right w:val="single" w:color="DDDDDD" w:sz="1"/>
            </w:tcBorders>
            <w:shd w:fill="FFF8EC" w:val="clear"/>
            <w:tcMar>
              <w:top w:type="dxa" w:w="80"/>
              <w:left w:type="dxa" w:w="140"/>
              <w:bottom w:type="dxa" w:w="80"/>
              <w:right w:type="dxa" w:w="140"/>
            </w:tcMar>
          </w:tcPr>
          <w:p>
            <w:r>
              <w:rPr>
                <w:rFonts w:ascii="Calibri" w:cs="Calibri" w:eastAsia="Calibri" w:hAnsi="Calibri"/>
                <w:color w:val="0D1B2A"/>
                <w:sz w:val="20"/>
                <w:szCs w:val="20"/>
              </w:rPr>
              <w:t xml:space="preserve">Planification, supervision et optimisation des réseaux électriques intelligents. Intégration des renouvelables dans le réseau.</w:t>
            </w:r>
          </w:p>
        </w:tc>
        <w:tc>
          <w:tcPr>
            <w:tcW w:type="dxa" w:w="1826"/>
            <w:tcBorders>
              <w:top w:val="single" w:color="DDDDDD" w:sz="1"/>
              <w:left w:val="single" w:color="DDDDDD" w:sz="1"/>
              <w:bottom w:val="single" w:color="DDDDDD" w:sz="1"/>
              <w:right w:val="single" w:color="DDDDDD" w:sz="1"/>
            </w:tcBorders>
            <w:shd w:fill="FFF8EC" w:val="clear"/>
            <w:tcMar>
              <w:top w:type="dxa" w:w="80"/>
              <w:left w:type="dxa" w:w="140"/>
              <w:bottom w:type="dxa" w:w="80"/>
              <w:right w:type="dxa" w:w="140"/>
            </w:tcMar>
          </w:tcPr>
          <w:p>
            <w:r>
              <w:rPr>
                <w:rFonts w:ascii="Calibri" w:cs="Calibri" w:eastAsia="Calibri" w:hAnsi="Calibri"/>
                <w:color w:val="0D1B2A"/>
                <w:sz w:val="20"/>
                <w:szCs w:val="20"/>
              </w:rPr>
              <w:t xml:space="preserve">10 000 – 14 000 DH/mois</w:t>
            </w:r>
          </w:p>
        </w:tc>
        <w:tc>
          <w:tcPr>
            <w:tcW w:type="dxa" w:w="1600"/>
            <w:tcBorders>
              <w:top w:val="single" w:color="DDDDDD" w:sz="1"/>
              <w:left w:val="single" w:color="DDDDDD" w:sz="1"/>
              <w:bottom w:val="single" w:color="DDDDDD" w:sz="1"/>
              <w:right w:val="single" w:color="DDDDDD" w:sz="1"/>
            </w:tcBorders>
            <w:shd w:fill="FFF8EC" w:val="clear"/>
            <w:tcMar>
              <w:top w:type="dxa" w:w="80"/>
              <w:left w:type="dxa" w:w="140"/>
              <w:bottom w:type="dxa" w:w="80"/>
              <w:right w:type="dxa" w:w="140"/>
            </w:tcMar>
          </w:tcPr>
          <w:p>
            <w:r>
              <w:rPr>
                <w:rFonts w:ascii="Calibri" w:cs="Calibri" w:eastAsia="Calibri" w:hAnsi="Calibri"/>
                <w:color w:val="0D1B2A"/>
                <w:sz w:val="20"/>
                <w:szCs w:val="20"/>
              </w:rPr>
              <w:t xml:space="preserve">ONEE, ALSTOM, Siemens Maroc</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Data Engineer Énergie / IA</w:t>
            </w:r>
          </w:p>
        </w:tc>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Analyse de données de production énergétique, maintenance prédictive, optimisation des systèmes par ML.</w:t>
            </w:r>
          </w:p>
        </w:tc>
        <w:tc>
          <w:tcPr>
            <w:tcW w:type="dxa" w:w="1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11 000 – 16 000 DH/mois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OCP Digital, TotalEnergies Maroc, MASEN</w:t>
            </w:r>
          </w:p>
        </w:tc>
      </w:tr>
      <w:tr>
        <w:tc>
          <w:tcPr>
            <w:tcW w:type="dxa" w:w="2200"/>
            <w:tcBorders>
              <w:top w:val="single" w:color="DDDDDD" w:sz="1"/>
              <w:left w:val="single" w:color="DDDDDD" w:sz="1"/>
              <w:bottom w:val="single" w:color="DDDDDD" w:sz="1"/>
              <w:right w:val="single" w:color="DDDDDD" w:sz="1"/>
            </w:tcBorders>
            <w:shd w:fill="FFF8EC" w:val="clear"/>
            <w:tcMar>
              <w:top w:type="dxa" w:w="80"/>
              <w:left w:type="dxa" w:w="140"/>
              <w:bottom w:type="dxa" w:w="80"/>
              <w:right w:type="dxa" w:w="140"/>
            </w:tcMar>
          </w:tcPr>
          <w:p>
            <w:r>
              <w:rPr>
                <w:rFonts w:ascii="Calibri" w:cs="Calibri" w:eastAsia="Calibri" w:hAnsi="Calibri"/>
                <w:color w:val="0D1B2A"/>
                <w:sz w:val="20"/>
                <w:szCs w:val="20"/>
              </w:rPr>
              <w:t xml:space="preserve">Chef de Projet Énergétique (EPC/EPCM)</w:t>
            </w:r>
          </w:p>
        </w:tc>
        <w:tc>
          <w:tcPr>
            <w:tcW w:type="dxa" w:w="3400"/>
            <w:tcBorders>
              <w:top w:val="single" w:color="DDDDDD" w:sz="1"/>
              <w:left w:val="single" w:color="DDDDDD" w:sz="1"/>
              <w:bottom w:val="single" w:color="DDDDDD" w:sz="1"/>
              <w:right w:val="single" w:color="DDDDDD" w:sz="1"/>
            </w:tcBorders>
            <w:shd w:fill="FFF8EC" w:val="clear"/>
            <w:tcMar>
              <w:top w:type="dxa" w:w="80"/>
              <w:left w:type="dxa" w:w="140"/>
              <w:bottom w:type="dxa" w:w="80"/>
              <w:right w:type="dxa" w:w="140"/>
            </w:tcMar>
          </w:tcPr>
          <w:p>
            <w:r>
              <w:rPr>
                <w:rFonts w:ascii="Calibri" w:cs="Calibri" w:eastAsia="Calibri" w:hAnsi="Calibri"/>
                <w:color w:val="0D1B2A"/>
                <w:sz w:val="20"/>
                <w:szCs w:val="20"/>
              </w:rPr>
              <w:t xml:space="preserve">Pilotage complet de projets d'infrastructure énergétique — de la faisabilité à la mise en service.</w:t>
            </w:r>
          </w:p>
        </w:tc>
        <w:tc>
          <w:tcPr>
            <w:tcW w:type="dxa" w:w="1826"/>
            <w:tcBorders>
              <w:top w:val="single" w:color="DDDDDD" w:sz="1"/>
              <w:left w:val="single" w:color="DDDDDD" w:sz="1"/>
              <w:bottom w:val="single" w:color="DDDDDD" w:sz="1"/>
              <w:right w:val="single" w:color="DDDDDD" w:sz="1"/>
            </w:tcBorders>
            <w:shd w:fill="FFF8EC" w:val="clear"/>
            <w:tcMar>
              <w:top w:type="dxa" w:w="80"/>
              <w:left w:type="dxa" w:w="140"/>
              <w:bottom w:type="dxa" w:w="80"/>
              <w:right w:type="dxa" w:w="140"/>
            </w:tcMar>
          </w:tcPr>
          <w:p>
            <w:r>
              <w:rPr>
                <w:rFonts w:ascii="Calibri" w:cs="Calibri" w:eastAsia="Calibri" w:hAnsi="Calibri"/>
                <w:color w:val="0D1B2A"/>
                <w:sz w:val="20"/>
                <w:szCs w:val="20"/>
              </w:rPr>
              <w:t xml:space="preserve">12 000 – 18 000 DH/mois</w:t>
            </w:r>
          </w:p>
        </w:tc>
        <w:tc>
          <w:tcPr>
            <w:tcW w:type="dxa" w:w="1600"/>
            <w:tcBorders>
              <w:top w:val="single" w:color="DDDDDD" w:sz="1"/>
              <w:left w:val="single" w:color="DDDDDD" w:sz="1"/>
              <w:bottom w:val="single" w:color="DDDDDD" w:sz="1"/>
              <w:right w:val="single" w:color="DDDDDD" w:sz="1"/>
            </w:tcBorders>
            <w:shd w:fill="FFF8EC" w:val="clear"/>
            <w:tcMar>
              <w:top w:type="dxa" w:w="80"/>
              <w:left w:type="dxa" w:w="140"/>
              <w:bottom w:type="dxa" w:w="80"/>
              <w:right w:type="dxa" w:w="140"/>
            </w:tcMar>
          </w:tcPr>
          <w:p>
            <w:r>
              <w:rPr>
                <w:rFonts w:ascii="Calibri" w:cs="Calibri" w:eastAsia="Calibri" w:hAnsi="Calibri"/>
                <w:color w:val="0D1B2A"/>
                <w:sz w:val="20"/>
                <w:szCs w:val="20"/>
              </w:rPr>
              <w:t xml:space="preserve">Segula Technologies, JESA (OCP Group), Engie</w:t>
            </w:r>
          </w:p>
        </w:tc>
      </w:tr>
    </w:tbl>
    <w:p/>
    <w:p>
      <w:pPr>
        <w:pStyle w:val="Heading2"/>
        <w:spacing w:before="240" w:after="120"/>
      </w:pPr>
      <w:r>
        <w:rPr>
          <w:rFonts w:ascii="Georgia" w:cs="Georgia" w:eastAsia="Georgia" w:hAnsi="Georgia"/>
          <w:b/>
          <w:bCs/>
          <w:color w:val="F5A800"/>
          <w:sz w:val="27"/>
          <w:szCs w:val="27"/>
        </w:rPr>
        <w:t xml:space="preserve">5.2 — Trajectoire de Carrière sur 10 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DDDDD" w:sz="1"/>
              <w:left w:val="single" w:color="DDDDDD" w:sz="1"/>
              <w:bottom w:val="single" w:color="DDDDDD" w:sz="1"/>
              <w:right w:val="single" w:color="DDDDDD" w:sz="1"/>
            </w:tcBorders>
            <w:shd w:fill="0D1B2A" w:val="clear"/>
            <w:tcMar>
              <w:top w:type="dxa" w:w="140"/>
              <w:left w:type="dxa" w:w="180"/>
              <w:bottom w:type="dxa" w:w="140"/>
              <w:right w:type="dxa" w:w="180"/>
            </w:tcMar>
            <w:vAlign w:val="center"/>
          </w:tcPr>
          <w:p>
            <w:pPr>
              <w:jc w:val="center"/>
            </w:pPr>
            <w:r>
              <w:rPr>
                <w:rFonts w:ascii="Georgia" w:cs="Georgia" w:eastAsia="Georgia" w:hAnsi="Georgia"/>
                <w:b/>
                <w:bCs/>
                <w:color w:val="F5A800"/>
                <w:sz w:val="34"/>
                <w:szCs w:val="34"/>
              </w:rPr>
              <w:t xml:space="preserve">0 – 2 ans</w:t>
            </w:r>
          </w:p>
        </w:tc>
        <w:tc>
          <w:tcPr>
            <w:tcW w:type="dxa" w:w="6426"/>
            <w:tcBorders>
              <w:top w:val="single" w:color="DDDDDD" w:sz="1"/>
              <w:left w:val="single" w:color="DDDDDD" w:sz="1"/>
              <w:bottom w:val="single" w:color="DDDDDD" w:sz="1"/>
              <w:right w:val="single" w:color="DDDDDD" w:sz="1"/>
            </w:tcBorders>
            <w:shd w:fill="FFF8EC" w:val="clear"/>
            <w:tcMar>
              <w:top w:type="dxa" w:w="100"/>
              <w:left w:type="dxa" w:w="200"/>
              <w:bottom w:type="dxa" w:w="100"/>
              <w:right w:type="dxa" w:w="160"/>
            </w:tcMar>
            <w:vAlign w:val="center"/>
          </w:tcPr>
          <w:p>
            <w:r>
              <w:rPr>
                <w:rFonts w:ascii="Calibri" w:cs="Calibri" w:eastAsia="Calibri" w:hAnsi="Calibri"/>
                <w:b/>
                <w:bCs/>
                <w:color w:val="0D1B2A"/>
                <w:sz w:val="22"/>
                <w:szCs w:val="22"/>
              </w:rPr>
              <w:t xml:space="preserve">Ingénieur junior (8 000 – 12 000 DH/mois)</w:t>
            </w:r>
          </w:p>
          <w:p>
            <w:r>
              <w:rPr>
                <w:rFonts w:ascii="Calibri" w:cs="Calibri" w:eastAsia="Calibri" w:hAnsi="Calibri"/>
                <w:i/>
                <w:iCs/>
                <w:color w:val="3A4A5C"/>
                <w:sz w:val="20"/>
                <w:szCs w:val="20"/>
              </w:rPr>
              <w:t xml:space="preserve">MASEN, ONEE, ALTEN, Capgemini, Schneider, OCP, Nareva...</w:t>
            </w:r>
          </w:p>
        </w:tc>
      </w:tr>
      <w:tr>
        <w:tc>
          <w:tcPr>
            <w:tcW w:type="dxa" w:w="2600"/>
            <w:tcBorders>
              <w:top w:val="single" w:color="DDDDDD" w:sz="1"/>
              <w:left w:val="single" w:color="DDDDDD" w:sz="1"/>
              <w:bottom w:val="single" w:color="DDDDDD" w:sz="1"/>
              <w:right w:val="single" w:color="DDDDDD" w:sz="1"/>
            </w:tcBorders>
            <w:shd w:fill="0D1B2A" w:val="clear"/>
            <w:tcMar>
              <w:top w:type="dxa" w:w="140"/>
              <w:left w:type="dxa" w:w="180"/>
              <w:bottom w:type="dxa" w:w="140"/>
              <w:right w:type="dxa" w:w="180"/>
            </w:tcMar>
            <w:vAlign w:val="center"/>
          </w:tcPr>
          <w:p>
            <w:pPr>
              <w:jc w:val="center"/>
            </w:pPr>
            <w:r>
              <w:rPr>
                <w:rFonts w:ascii="Georgia" w:cs="Georgia" w:eastAsia="Georgia" w:hAnsi="Georgia"/>
                <w:b/>
                <w:bCs/>
                <w:color w:val="F5A800"/>
                <w:sz w:val="34"/>
                <w:szCs w:val="34"/>
              </w:rPr>
              <w:t xml:space="preserve">3 – 5 ans</w:t>
            </w:r>
          </w:p>
        </w:tc>
        <w:tc>
          <w:tcPr>
            <w:tcW w:type="dxa" w:w="6426"/>
            <w:tcBorders>
              <w:top w:val="single" w:color="DDDDDD" w:sz="1"/>
              <w:left w:val="single" w:color="DDDDDD" w:sz="1"/>
              <w:bottom w:val="single" w:color="DDDDDD" w:sz="1"/>
              <w:right w:val="single" w:color="DDDDDD" w:sz="1"/>
            </w:tcBorders>
            <w:shd w:fill="FFF8EC" w:val="clear"/>
            <w:tcMar>
              <w:top w:type="dxa" w:w="100"/>
              <w:left w:type="dxa" w:w="200"/>
              <w:bottom w:type="dxa" w:w="100"/>
              <w:right w:type="dxa" w:w="160"/>
            </w:tcMar>
            <w:vAlign w:val="center"/>
          </w:tcPr>
          <w:p>
            <w:r>
              <w:rPr>
                <w:rFonts w:ascii="Calibri" w:cs="Calibri" w:eastAsia="Calibri" w:hAnsi="Calibri"/>
                <w:b/>
                <w:bCs/>
                <w:color w:val="0D1B2A"/>
                <w:sz w:val="22"/>
                <w:szCs w:val="22"/>
              </w:rPr>
              <w:t xml:space="preserve">Ingénieur senior / Chef de projet (15 000 – 25 000 DH/mois)</w:t>
            </w:r>
          </w:p>
          <w:p>
            <w:r>
              <w:rPr>
                <w:rFonts w:ascii="Calibri" w:cs="Calibri" w:eastAsia="Calibri" w:hAnsi="Calibri"/>
                <w:i/>
                <w:iCs/>
                <w:color w:val="3A4A5C"/>
                <w:sz w:val="20"/>
                <w:szCs w:val="20"/>
              </w:rPr>
              <w:t xml:space="preserve">Responsabilité de projets EnR, smart grids, R&amp;D embarquée</w:t>
            </w:r>
          </w:p>
        </w:tc>
      </w:tr>
      <w:tr>
        <w:tc>
          <w:tcPr>
            <w:tcW w:type="dxa" w:w="2600"/>
            <w:tcBorders>
              <w:top w:val="single" w:color="DDDDDD" w:sz="1"/>
              <w:left w:val="single" w:color="DDDDDD" w:sz="1"/>
              <w:bottom w:val="single" w:color="DDDDDD" w:sz="1"/>
              <w:right w:val="single" w:color="DDDDDD" w:sz="1"/>
            </w:tcBorders>
            <w:shd w:fill="0D1B2A" w:val="clear"/>
            <w:tcMar>
              <w:top w:type="dxa" w:w="140"/>
              <w:left w:type="dxa" w:w="180"/>
              <w:bottom w:type="dxa" w:w="140"/>
              <w:right w:type="dxa" w:w="180"/>
            </w:tcMar>
            <w:vAlign w:val="center"/>
          </w:tcPr>
          <w:p>
            <w:pPr>
              <w:jc w:val="center"/>
            </w:pPr>
            <w:r>
              <w:rPr>
                <w:rFonts w:ascii="Georgia" w:cs="Georgia" w:eastAsia="Georgia" w:hAnsi="Georgia"/>
                <w:b/>
                <w:bCs/>
                <w:color w:val="F5A800"/>
                <w:sz w:val="34"/>
                <w:szCs w:val="34"/>
              </w:rPr>
              <w:t xml:space="preserve">6 – 10 ans</w:t>
            </w:r>
          </w:p>
        </w:tc>
        <w:tc>
          <w:tcPr>
            <w:tcW w:type="dxa" w:w="6426"/>
            <w:tcBorders>
              <w:top w:val="single" w:color="DDDDDD" w:sz="1"/>
              <w:left w:val="single" w:color="DDDDDD" w:sz="1"/>
              <w:bottom w:val="single" w:color="DDDDDD" w:sz="1"/>
              <w:right w:val="single" w:color="DDDDDD" w:sz="1"/>
            </w:tcBorders>
            <w:shd w:fill="FFF8EC" w:val="clear"/>
            <w:tcMar>
              <w:top w:type="dxa" w:w="100"/>
              <w:left w:type="dxa" w:w="200"/>
              <w:bottom w:type="dxa" w:w="100"/>
              <w:right w:type="dxa" w:w="160"/>
            </w:tcMar>
            <w:vAlign w:val="center"/>
          </w:tcPr>
          <w:p>
            <w:r>
              <w:rPr>
                <w:rFonts w:ascii="Calibri" w:cs="Calibri" w:eastAsia="Calibri" w:hAnsi="Calibri"/>
                <w:b/>
                <w:bCs/>
                <w:color w:val="0D1B2A"/>
                <w:sz w:val="22"/>
                <w:szCs w:val="22"/>
              </w:rPr>
              <w:t xml:space="preserve">Directeur technique / Manager (25 000 – 40 000+)</w:t>
            </w:r>
          </w:p>
          <w:p>
            <w:r>
              <w:rPr>
                <w:rFonts w:ascii="Calibri" w:cs="Calibri" w:eastAsia="Calibri" w:hAnsi="Calibri"/>
                <w:i/>
                <w:iCs/>
                <w:color w:val="3A4A5C"/>
                <w:sz w:val="20"/>
                <w:szCs w:val="20"/>
              </w:rPr>
              <w:t xml:space="preserve">Direction de département, consultant international, entrepreneur</w:t>
            </w:r>
          </w:p>
        </w:tc>
      </w:tr>
      <w:tr>
        <w:tc>
          <w:tcPr>
            <w:tcW w:type="dxa" w:w="2600"/>
            <w:tcBorders>
              <w:top w:val="single" w:color="DDDDDD" w:sz="1"/>
              <w:left w:val="single" w:color="DDDDDD" w:sz="1"/>
              <w:bottom w:val="single" w:color="DDDDDD" w:sz="1"/>
              <w:right w:val="single" w:color="DDDDDD" w:sz="1"/>
            </w:tcBorders>
            <w:shd w:fill="0D1B2A" w:val="clear"/>
            <w:tcMar>
              <w:top w:type="dxa" w:w="140"/>
              <w:left w:type="dxa" w:w="180"/>
              <w:bottom w:type="dxa" w:w="140"/>
              <w:right w:type="dxa" w:w="180"/>
            </w:tcMar>
            <w:vAlign w:val="center"/>
          </w:tcPr>
          <w:p>
            <w:pPr>
              <w:jc w:val="center"/>
            </w:pPr>
            <w:r>
              <w:rPr>
                <w:rFonts w:ascii="Georgia" w:cs="Georgia" w:eastAsia="Georgia" w:hAnsi="Georgia"/>
                <w:b/>
                <w:bCs/>
                <w:color w:val="F5A800"/>
                <w:sz w:val="34"/>
                <w:szCs w:val="34"/>
              </w:rPr>
              <w:t xml:space="preserve">Mobilité Europe</w:t>
            </w:r>
          </w:p>
        </w:tc>
        <w:tc>
          <w:tcPr>
            <w:tcW w:type="dxa" w:w="6426"/>
            <w:tcBorders>
              <w:top w:val="single" w:color="DDDDDD" w:sz="1"/>
              <w:left w:val="single" w:color="DDDDDD" w:sz="1"/>
              <w:bottom w:val="single" w:color="DDDDDD" w:sz="1"/>
              <w:right w:val="single" w:color="DDDDDD" w:sz="1"/>
            </w:tcBorders>
            <w:shd w:fill="FFF8EC" w:val="clear"/>
            <w:tcMar>
              <w:top w:type="dxa" w:w="100"/>
              <w:left w:type="dxa" w:w="200"/>
              <w:bottom w:type="dxa" w:w="100"/>
              <w:right w:type="dxa" w:w="160"/>
            </w:tcMar>
            <w:vAlign w:val="center"/>
          </w:tcPr>
          <w:p>
            <w:r>
              <w:rPr>
                <w:rFonts w:ascii="Calibri" w:cs="Calibri" w:eastAsia="Calibri" w:hAnsi="Calibri"/>
                <w:b/>
                <w:bCs/>
                <w:color w:val="0D1B2A"/>
                <w:sz w:val="22"/>
                <w:szCs w:val="22"/>
              </w:rPr>
              <w:t xml:space="preserve">35 000 – 70 000 €/an</w:t>
            </w:r>
          </w:p>
          <w:p>
            <w:r>
              <w:rPr>
                <w:rFonts w:ascii="Calibri" w:cs="Calibri" w:eastAsia="Calibri" w:hAnsi="Calibri"/>
                <w:i/>
                <w:iCs/>
                <w:color w:val="3A4A5C"/>
                <w:sz w:val="20"/>
                <w:szCs w:val="20"/>
              </w:rPr>
              <w:t xml:space="preserve">EnR (Engie, EDF, TotalEnergies), embarqué (Bosch, Continental)</w:t>
            </w:r>
          </w:p>
        </w:tc>
      </w:tr>
    </w:tbl>
    <w:p/>
    <w:p>
      <w:pPr>
        <w:spacing w:before="60" w:after="60"/>
        <w:jc w:val="both"/>
      </w:pPr>
      <w:r>
        <w:rPr>
          <w:rFonts w:ascii="Calibri" w:cs="Calibri" w:eastAsia="Calibri" w:hAnsi="Calibri"/>
          <w:b w:val="false"/>
          <w:bCs w:val="false"/>
          <w:i/>
          <w:iCs/>
          <w:color w:val="3A4A5C"/>
          <w:sz w:val="22"/>
          <w:szCs w:val="22"/>
        </w:rPr>
        <w:t xml:space="preserve">Note : Le secteur des Smart Grids et du stockage d'énergie est identifié par l'AIE comme offrant les perspectives d'emploi les plus solides et résilientes de la prochaine décennie — avec une demande mondiale en constante croissance.</w:t>
      </w:r>
    </w:p>
    <w:p>
      <w:r>
        <w:br w:type="page"/>
      </w:r>
    </w:p>
    <w:p>
      <w:pPr>
        <w:pStyle w:val="Heading1"/>
        <w:spacing w:before="360" w:after="160"/>
      </w:pPr>
      <w:r>
        <w:rPr>
          <w:rFonts w:ascii="Georgia" w:cs="Georgia" w:eastAsia="Georgia" w:hAnsi="Georgia"/>
          <w:b/>
          <w:bCs/>
          <w:color w:val="0D1B2A"/>
          <w:sz w:val="36"/>
          <w:szCs w:val="36"/>
        </w:rPr>
        <w:t xml:space="preserve">6. Secteurs d'Activité &amp; Entreprises au Maroc</w:t>
      </w:r>
    </w:p>
    <w:p>
      <w:pPr>
        <w:pBdr>
          <w:bottom w:val="single" w:color="F5A800" w:sz="10" w:space="1"/>
        </w:pBdr>
        <w:spacing w:before="80" w:after="80"/>
      </w:pPr>
    </w:p>
    <w:p/>
    <w:p>
      <w:pPr>
        <w:pStyle w:val="Heading2"/>
        <w:spacing w:before="240" w:after="120"/>
      </w:pPr>
      <w:r>
        <w:rPr>
          <w:rFonts w:ascii="Georgia" w:cs="Georgia" w:eastAsia="Georgia" w:hAnsi="Georgia"/>
          <w:b/>
          <w:bCs/>
          <w:color w:val="F5A800"/>
          <w:sz w:val="27"/>
          <w:szCs w:val="27"/>
        </w:rPr>
        <w:t xml:space="preserve">☀️ Énergies Renouvelables — Le secteur en plein boom</w:t>
      </w:r>
    </w:p>
    <w:p>
      <w:pPr>
        <w:spacing w:before="60" w:after="60"/>
        <w:jc w:val="both"/>
      </w:pPr>
      <w:r>
        <w:rPr>
          <w:rFonts w:ascii="Calibri" w:cs="Calibri" w:eastAsia="Calibri" w:hAnsi="Calibri"/>
          <w:b w:val="false"/>
          <w:bCs w:val="false"/>
          <w:i w:val="false"/>
          <w:iCs w:val="false"/>
          <w:color w:val="0D1B2A"/>
          <w:sz w:val="22"/>
          <w:szCs w:val="22"/>
        </w:rPr>
        <w:t xml:space="preserve">Le Maroc multiplie par 4 ses investissements dans les renouvelables et par 5 ceux dans les réseaux électriques. Le pays figure au 1er rang africain et au 27ème rang mondial en attractivité EnR (EY RECAI 2025).</w:t>
      </w:r>
    </w:p>
    <w:p/>
    <w:p>
      <w:pPr>
        <w:pStyle w:val="ListParagraph"/>
        <w:numPr>
          <w:ilvl w:val="0"/>
          <w:numId w:val="2"/>
        </w:numPr>
        <w:spacing w:before="50" w:after="50"/>
      </w:pPr>
      <w:r>
        <w:rPr>
          <w:rFonts w:ascii="Calibri" w:cs="Calibri" w:eastAsia="Calibri" w:hAnsi="Calibri"/>
          <w:b w:val="false"/>
          <w:bCs w:val="false"/>
          <w:color w:val="0D1B2A"/>
          <w:sz w:val="22"/>
          <w:szCs w:val="22"/>
        </w:rPr>
        <w:t xml:space="preserve">MASEN (Agence Marocaine pour l'Énergie Durable) : maître d'ouvrage des grandes centrales Noor</w:t>
      </w:r>
    </w:p>
    <w:p>
      <w:pPr>
        <w:pStyle w:val="ListParagraph"/>
        <w:numPr>
          <w:ilvl w:val="0"/>
          <w:numId w:val="2"/>
        </w:numPr>
        <w:spacing w:before="50" w:after="50"/>
      </w:pPr>
      <w:r>
        <w:rPr>
          <w:rFonts w:ascii="Calibri" w:cs="Calibri" w:eastAsia="Calibri" w:hAnsi="Calibri"/>
          <w:b w:val="false"/>
          <w:bCs w:val="false"/>
          <w:color w:val="0D1B2A"/>
          <w:sz w:val="22"/>
          <w:szCs w:val="22"/>
        </w:rPr>
        <w:t xml:space="preserve">ONEE (Office National de l'Électricité &amp; Eau Potable) : opérateur national, réseaux, supervision</w:t>
      </w:r>
    </w:p>
    <w:p>
      <w:pPr>
        <w:pStyle w:val="ListParagraph"/>
        <w:numPr>
          <w:ilvl w:val="0"/>
          <w:numId w:val="2"/>
        </w:numPr>
        <w:spacing w:before="50" w:after="50"/>
      </w:pPr>
      <w:r>
        <w:rPr>
          <w:rFonts w:ascii="Calibri" w:cs="Calibri" w:eastAsia="Calibri" w:hAnsi="Calibri"/>
          <w:b w:val="false"/>
          <w:bCs w:val="false"/>
          <w:color w:val="0D1B2A"/>
          <w:sz w:val="22"/>
          <w:szCs w:val="22"/>
        </w:rPr>
        <w:t xml:space="preserve">Nareva Holding (ONA) : parcs éoliens Tarfaya, Boujdour — 1er producteur privé d'énergie au Maroc</w:t>
      </w:r>
    </w:p>
    <w:p>
      <w:pPr>
        <w:pStyle w:val="ListParagraph"/>
        <w:numPr>
          <w:ilvl w:val="0"/>
          <w:numId w:val="2"/>
        </w:numPr>
        <w:spacing w:before="50" w:after="50"/>
      </w:pPr>
      <w:r>
        <w:rPr>
          <w:rFonts w:ascii="Calibri" w:cs="Calibri" w:eastAsia="Calibri" w:hAnsi="Calibri"/>
          <w:b w:val="false"/>
          <w:bCs w:val="false"/>
          <w:color w:val="0D1B2A"/>
          <w:sz w:val="22"/>
          <w:szCs w:val="22"/>
        </w:rPr>
        <w:t xml:space="preserve">TotalEnergies Maroc : projets solaires et distribution, stratégie énergie durable</w:t>
      </w:r>
    </w:p>
    <w:p>
      <w:pPr>
        <w:pStyle w:val="ListParagraph"/>
        <w:numPr>
          <w:ilvl w:val="0"/>
          <w:numId w:val="2"/>
        </w:numPr>
        <w:spacing w:before="50" w:after="50"/>
      </w:pPr>
      <w:r>
        <w:rPr>
          <w:rFonts w:ascii="Calibri" w:cs="Calibri" w:eastAsia="Calibri" w:hAnsi="Calibri"/>
          <w:b w:val="false"/>
          <w:bCs w:val="false"/>
          <w:color w:val="0D1B2A"/>
          <w:sz w:val="22"/>
          <w:szCs w:val="22"/>
        </w:rPr>
        <w:t xml:space="preserve">Siemens Gamesa, Vestas, GE Renewable Energy — constructeurs d'éoliennes présents au Maroc</w:t>
      </w:r>
    </w:p>
    <w:p>
      <w:pPr>
        <w:pStyle w:val="ListParagraph"/>
        <w:numPr>
          <w:ilvl w:val="0"/>
          <w:numId w:val="2"/>
        </w:numPr>
        <w:spacing w:before="50" w:after="50"/>
      </w:pPr>
      <w:r>
        <w:rPr>
          <w:rFonts w:ascii="Calibri" w:cs="Calibri" w:eastAsia="Calibri" w:hAnsi="Calibri"/>
          <w:b w:val="false"/>
          <w:bCs w:val="false"/>
          <w:color w:val="0D1B2A"/>
          <w:sz w:val="22"/>
          <w:szCs w:val="22"/>
        </w:rPr>
        <w:t xml:space="preserve">Projets Noor Midelt I/II/III (CSP + PV hybride, 850 MW), Noor Atlas (290 MW PV)</w:t>
      </w:r>
    </w:p>
    <w:p/>
    <w:p>
      <w:pPr>
        <w:pStyle w:val="Heading2"/>
        <w:spacing w:before="240" w:after="120"/>
      </w:pPr>
      <w:r>
        <w:rPr>
          <w:rFonts w:ascii="Georgia" w:cs="Georgia" w:eastAsia="Georgia" w:hAnsi="Georgia"/>
          <w:b/>
          <w:bCs/>
          <w:color w:val="F5A800"/>
          <w:sz w:val="27"/>
          <w:szCs w:val="27"/>
        </w:rPr>
        <w:t xml:space="preserve">⚡ Industrie Électrique &amp; Smart Grids</w:t>
      </w:r>
    </w:p>
    <w:p>
      <w:pPr>
        <w:spacing w:before="60" w:after="60"/>
        <w:jc w:val="both"/>
      </w:pPr>
      <w:r>
        <w:rPr>
          <w:rFonts w:ascii="Calibri" w:cs="Calibri" w:eastAsia="Calibri" w:hAnsi="Calibri"/>
          <w:b w:val="false"/>
          <w:bCs w:val="false"/>
          <w:i w:val="false"/>
          <w:iCs w:val="false"/>
          <w:color w:val="0D1B2A"/>
          <w:sz w:val="22"/>
          <w:szCs w:val="22"/>
        </w:rPr>
        <w:t xml:space="preserve">Le réseau électrique marocain est en pleine modernisation pour intégrer les énergies renouvelables et assurer la stabilité du système face à l'intermittence. La demande en ingénieurs smart grid explose.</w:t>
      </w:r>
    </w:p>
    <w:p/>
    <w:p>
      <w:pPr>
        <w:pStyle w:val="ListParagraph"/>
        <w:numPr>
          <w:ilvl w:val="0"/>
          <w:numId w:val="2"/>
        </w:numPr>
        <w:spacing w:before="50" w:after="50"/>
      </w:pPr>
      <w:r>
        <w:rPr>
          <w:rFonts w:ascii="Calibri" w:cs="Calibri" w:eastAsia="Calibri" w:hAnsi="Calibri"/>
          <w:b w:val="false"/>
          <w:bCs w:val="false"/>
          <w:color w:val="0D1B2A"/>
          <w:sz w:val="22"/>
          <w:szCs w:val="22"/>
        </w:rPr>
        <w:t xml:space="preserve">Schneider Electric Maroc : solutions smart grid, tableaux électriques, efficacité énergétique</w:t>
      </w:r>
    </w:p>
    <w:p>
      <w:pPr>
        <w:pStyle w:val="ListParagraph"/>
        <w:numPr>
          <w:ilvl w:val="0"/>
          <w:numId w:val="2"/>
        </w:numPr>
        <w:spacing w:before="50" w:after="50"/>
      </w:pPr>
      <w:r>
        <w:rPr>
          <w:rFonts w:ascii="Calibri" w:cs="Calibri" w:eastAsia="Calibri" w:hAnsi="Calibri"/>
          <w:b w:val="false"/>
          <w:bCs w:val="false"/>
          <w:color w:val="0D1B2A"/>
          <w:sz w:val="22"/>
          <w:szCs w:val="22"/>
        </w:rPr>
        <w:t xml:space="preserve">ABB Maroc : onduleurs, variateurs, automatisation industrielle</w:t>
      </w:r>
    </w:p>
    <w:p>
      <w:pPr>
        <w:pStyle w:val="ListParagraph"/>
        <w:numPr>
          <w:ilvl w:val="0"/>
          <w:numId w:val="2"/>
        </w:numPr>
        <w:spacing w:before="50" w:after="50"/>
      </w:pPr>
      <w:r>
        <w:rPr>
          <w:rFonts w:ascii="Calibri" w:cs="Calibri" w:eastAsia="Calibri" w:hAnsi="Calibri"/>
          <w:b w:val="false"/>
          <w:bCs w:val="false"/>
          <w:color w:val="0D1B2A"/>
          <w:sz w:val="22"/>
          <w:szCs w:val="22"/>
        </w:rPr>
        <w:t xml:space="preserve">ALSTOM Grid : sous-stations, protection des réseaux, transmission HT</w:t>
      </w:r>
    </w:p>
    <w:p>
      <w:pPr>
        <w:pStyle w:val="ListParagraph"/>
        <w:numPr>
          <w:ilvl w:val="0"/>
          <w:numId w:val="2"/>
        </w:numPr>
        <w:spacing w:before="50" w:after="50"/>
      </w:pPr>
      <w:r>
        <w:rPr>
          <w:rFonts w:ascii="Calibri" w:cs="Calibri" w:eastAsia="Calibri" w:hAnsi="Calibri"/>
          <w:b w:val="false"/>
          <w:bCs w:val="false"/>
          <w:color w:val="0D1B2A"/>
          <w:sz w:val="22"/>
          <w:szCs w:val="22"/>
        </w:rPr>
        <w:t xml:space="preserve">Legrand Maroc : systèmes électriques intelligents pour bâtiments et industrie</w:t>
      </w:r>
    </w:p>
    <w:p/>
    <w:p>
      <w:pPr>
        <w:pStyle w:val="Heading2"/>
        <w:spacing w:before="240" w:after="120"/>
      </w:pPr>
      <w:r>
        <w:rPr>
          <w:rFonts w:ascii="Georgia" w:cs="Georgia" w:eastAsia="Georgia" w:hAnsi="Georgia"/>
          <w:b/>
          <w:bCs/>
          <w:color w:val="F5A800"/>
          <w:sz w:val="27"/>
          <w:szCs w:val="27"/>
        </w:rPr>
        <w:t xml:space="preserve">🤖 Systèmes Embarqués &amp; Industrie Automobile</w:t>
      </w:r>
    </w:p>
    <w:p>
      <w:pPr>
        <w:spacing w:before="60" w:after="60"/>
        <w:jc w:val="both"/>
      </w:pPr>
      <w:r>
        <w:rPr>
          <w:rFonts w:ascii="Calibri" w:cs="Calibri" w:eastAsia="Calibri" w:hAnsi="Calibri"/>
          <w:b w:val="false"/>
          <w:bCs w:val="false"/>
          <w:i w:val="false"/>
          <w:iCs w:val="false"/>
          <w:color w:val="0D1B2A"/>
          <w:sz w:val="22"/>
          <w:szCs w:val="22"/>
        </w:rPr>
        <w:t xml:space="preserve">Le boom de l'électronique embarquée dans l'automobile marocaine (Renault, Stellantis) et l'aéronautique (Safran, Boeing) crée une demande massive pour les profils GESI spécialisés en systèmes embarqués.</w:t>
      </w:r>
    </w:p>
    <w:p/>
    <w:p>
      <w:pPr>
        <w:pStyle w:val="ListParagraph"/>
        <w:numPr>
          <w:ilvl w:val="0"/>
          <w:numId w:val="2"/>
        </w:numPr>
        <w:spacing w:before="50" w:after="50"/>
      </w:pPr>
      <w:r>
        <w:rPr>
          <w:rFonts w:ascii="Calibri" w:cs="Calibri" w:eastAsia="Calibri" w:hAnsi="Calibri"/>
          <w:b w:val="false"/>
          <w:bCs w:val="false"/>
          <w:color w:val="0D1B2A"/>
          <w:sz w:val="22"/>
          <w:szCs w:val="22"/>
        </w:rPr>
        <w:t xml:space="preserve">Capgemini Engineering : recrutements massifs — ingénieurs embarqués pour automotive (CAN, LIN, Ethernet)</w:t>
      </w:r>
    </w:p>
    <w:p>
      <w:pPr>
        <w:pStyle w:val="ListParagraph"/>
        <w:numPr>
          <w:ilvl w:val="0"/>
          <w:numId w:val="2"/>
        </w:numPr>
        <w:spacing w:before="50" w:after="50"/>
      </w:pPr>
      <w:r>
        <w:rPr>
          <w:rFonts w:ascii="Calibri" w:cs="Calibri" w:eastAsia="Calibri" w:hAnsi="Calibri"/>
          <w:b w:val="false"/>
          <w:bCs w:val="false"/>
          <w:color w:val="0D1B2A"/>
          <w:sz w:val="22"/>
          <w:szCs w:val="22"/>
        </w:rPr>
        <w:t xml:space="preserve">Valeo Maroc : systèmes embarqués pour éclairage intelligent et assistance à la conduite</w:t>
      </w:r>
    </w:p>
    <w:p>
      <w:pPr>
        <w:pStyle w:val="ListParagraph"/>
        <w:numPr>
          <w:ilvl w:val="0"/>
          <w:numId w:val="2"/>
        </w:numPr>
        <w:spacing w:before="50" w:after="50"/>
      </w:pPr>
      <w:r>
        <w:rPr>
          <w:rFonts w:ascii="Calibri" w:cs="Calibri" w:eastAsia="Calibri" w:hAnsi="Calibri"/>
          <w:b w:val="false"/>
          <w:bCs w:val="false"/>
          <w:color w:val="0D1B2A"/>
          <w:sz w:val="22"/>
          <w:szCs w:val="22"/>
        </w:rPr>
        <w:t xml:space="preserve">Aptiv (ex-Delphi) : câblage et systèmes électriques automobiles — 3 usines au Maroc</w:t>
      </w:r>
    </w:p>
    <w:p>
      <w:pPr>
        <w:pStyle w:val="ListParagraph"/>
        <w:numPr>
          <w:ilvl w:val="0"/>
          <w:numId w:val="2"/>
        </w:numPr>
        <w:spacing w:before="50" w:after="50"/>
      </w:pPr>
      <w:r>
        <w:rPr>
          <w:rFonts w:ascii="Calibri" w:cs="Calibri" w:eastAsia="Calibri" w:hAnsi="Calibri"/>
          <w:b w:val="false"/>
          <w:bCs w:val="false"/>
          <w:color w:val="0D1B2A"/>
          <w:sz w:val="22"/>
          <w:szCs w:val="22"/>
        </w:rPr>
        <w:t xml:space="preserve">Expleo, ALTEN Maroc : ingénieurs embarqués pour Renault, Stellantis, Airbus, Boeing</w:t>
      </w:r>
    </w:p>
    <w:p/>
    <w:p>
      <w:pPr>
        <w:pStyle w:val="Heading2"/>
        <w:spacing w:before="240" w:after="120"/>
      </w:pPr>
      <w:r>
        <w:rPr>
          <w:rFonts w:ascii="Georgia" w:cs="Georgia" w:eastAsia="Georgia" w:hAnsi="Georgia"/>
          <w:b/>
          <w:bCs/>
          <w:color w:val="F5A800"/>
          <w:sz w:val="27"/>
          <w:szCs w:val="27"/>
        </w:rPr>
        <w:t xml:space="preserve">💡 OCP Group — Employeur stratégique régional</w:t>
      </w:r>
    </w:p>
    <w:p>
      <w:pPr>
        <w:spacing w:before="60" w:after="60"/>
        <w:jc w:val="both"/>
      </w:pPr>
      <w:r>
        <w:rPr>
          <w:rFonts w:ascii="Calibri" w:cs="Calibri" w:eastAsia="Calibri" w:hAnsi="Calibri"/>
          <w:b w:val="false"/>
          <w:bCs w:val="false"/>
          <w:i w:val="false"/>
          <w:iCs w:val="false"/>
          <w:color w:val="0D1B2A"/>
          <w:sz w:val="22"/>
          <w:szCs w:val="22"/>
        </w:rPr>
        <w:t xml:space="preserve">OCP Group, basé à Benguerir et Casablanca, est l'un des plus grands recruteurs d'ingénieurs énergétiques au Maroc. Son programme de transition vers l'énergie verte est colossal.</w:t>
      </w:r>
    </w:p>
    <w:p/>
    <w:p>
      <w:pPr>
        <w:pStyle w:val="ListParagraph"/>
        <w:numPr>
          <w:ilvl w:val="0"/>
          <w:numId w:val="2"/>
        </w:numPr>
        <w:spacing w:before="50" w:after="50"/>
      </w:pPr>
      <w:r>
        <w:rPr>
          <w:rFonts w:ascii="Calibri" w:cs="Calibri" w:eastAsia="Calibri" w:hAnsi="Calibri"/>
          <w:b w:val="false"/>
          <w:bCs w:val="false"/>
          <w:color w:val="0D1B2A"/>
          <w:sz w:val="22"/>
          <w:szCs w:val="22"/>
        </w:rPr>
        <w:t xml:space="preserve">Plateforme Green H2A (hydrogène vert) : 30 millions DH investis en 2025</w:t>
      </w:r>
    </w:p>
    <w:p>
      <w:pPr>
        <w:pStyle w:val="ListParagraph"/>
        <w:numPr>
          <w:ilvl w:val="0"/>
          <w:numId w:val="2"/>
        </w:numPr>
        <w:spacing w:before="50" w:after="50"/>
      </w:pPr>
      <w:r>
        <w:rPr>
          <w:rFonts w:ascii="Calibri" w:cs="Calibri" w:eastAsia="Calibri" w:hAnsi="Calibri"/>
          <w:b w:val="false"/>
          <w:bCs w:val="false"/>
          <w:color w:val="0D1B2A"/>
          <w:sz w:val="22"/>
          <w:szCs w:val="22"/>
        </w:rPr>
        <w:t xml:space="preserve">Programme Green Ammonia : production d'ammoniac vert pour les engrais du futur</w:t>
      </w:r>
    </w:p>
    <w:p>
      <w:pPr>
        <w:pStyle w:val="ListParagraph"/>
        <w:numPr>
          <w:ilvl w:val="0"/>
          <w:numId w:val="2"/>
        </w:numPr>
        <w:spacing w:before="50" w:after="50"/>
      </w:pPr>
      <w:r>
        <w:rPr>
          <w:rFonts w:ascii="Calibri" w:cs="Calibri" w:eastAsia="Calibri" w:hAnsi="Calibri"/>
          <w:b w:val="false"/>
          <w:bCs w:val="false"/>
          <w:color w:val="0D1B2A"/>
          <w:sz w:val="22"/>
          <w:szCs w:val="22"/>
        </w:rPr>
        <w:t xml:space="preserve">2 parcs solaires à Benguerir (1,2 Mds DH) : ingénieurs GESI en première ligne</w:t>
      </w:r>
    </w:p>
    <w:p>
      <w:pPr>
        <w:pStyle w:val="ListParagraph"/>
        <w:numPr>
          <w:ilvl w:val="0"/>
          <w:numId w:val="2"/>
        </w:numPr>
        <w:spacing w:before="50" w:after="50"/>
      </w:pPr>
      <w:r>
        <w:rPr>
          <w:rFonts w:ascii="Calibri" w:cs="Calibri" w:eastAsia="Calibri" w:hAnsi="Calibri"/>
          <w:b w:val="false"/>
          <w:bCs w:val="false"/>
          <w:color w:val="0D1B2A"/>
          <w:sz w:val="22"/>
          <w:szCs w:val="22"/>
        </w:rPr>
        <w:t xml:space="preserve">OCP Digital : data analytics, IA appliquée à l'énergie et à la production industrielle</w:t>
      </w:r>
    </w:p>
    <w:p>
      <w:r>
        <w:br w:type="page"/>
      </w:r>
    </w:p>
    <w:p>
      <w:pPr>
        <w:pStyle w:val="Heading1"/>
        <w:spacing w:before="360" w:after="160"/>
      </w:pPr>
      <w:r>
        <w:rPr>
          <w:rFonts w:ascii="Georgia" w:cs="Georgia" w:eastAsia="Georgia" w:hAnsi="Georgia"/>
          <w:b/>
          <w:bCs/>
          <w:color w:val="0D1B2A"/>
          <w:sz w:val="36"/>
          <w:szCs w:val="36"/>
        </w:rPr>
        <w:t xml:space="preserve">7. Le Génie Énergétique dans le Monde</w:t>
      </w:r>
    </w:p>
    <w:p>
      <w:pPr>
        <w:pBdr>
          <w:bottom w:val="single" w:color="F5A800" w:sz="10" w:space="1"/>
        </w:pBdr>
        <w:spacing w:before="80" w:after="80"/>
      </w:pPr>
    </w:p>
    <w:p/>
    <w:p>
      <w:pPr>
        <w:spacing w:before="60" w:after="60"/>
        <w:jc w:val="both"/>
      </w:pPr>
      <w:r>
        <w:rPr>
          <w:rFonts w:ascii="Calibri" w:cs="Calibri" w:eastAsia="Calibri" w:hAnsi="Calibri"/>
          <w:b w:val="false"/>
          <w:bCs w:val="false"/>
          <w:i w:val="false"/>
          <w:iCs w:val="false"/>
          <w:color w:val="0D1B2A"/>
          <w:sz w:val="22"/>
          <w:szCs w:val="22"/>
        </w:rPr>
        <w:t xml:space="preserve">Les compétences GESI sont parmi les plus universellement transférables du marché de l'ingénierie. La transition énergétique mondiale est un phénomène planétaire — et les profils formés à l'ENSA Fès sont directement exportables vers l'Europe, le Golfe, l'Afrique et l'Asie.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DDDDD" w:sz="1"/>
              <w:left w:val="single" w:color="DDDDDD" w:sz="1"/>
              <w:bottom w:val="single" w:color="DDDDDD" w:sz="1"/>
              <w:right w:val="single" w:color="DDDDDD" w:sz="1"/>
            </w:tcBorders>
            <w:shd w:fill="0D1B2A" w:val="clear"/>
            <w:tcMar>
              <w:top w:type="dxa" w:w="140"/>
              <w:left w:type="dxa" w:w="180"/>
              <w:bottom w:type="dxa" w:w="140"/>
              <w:right w:type="dxa" w:w="180"/>
            </w:tcMar>
            <w:vAlign w:val="center"/>
          </w:tcPr>
          <w:p>
            <w:pPr>
              <w:jc w:val="center"/>
            </w:pPr>
            <w:r>
              <w:rPr>
                <w:rFonts w:ascii="Georgia" w:cs="Georgia" w:eastAsia="Georgia" w:hAnsi="Georgia"/>
                <w:b/>
                <w:bCs/>
                <w:color w:val="F5A800"/>
                <w:sz w:val="34"/>
                <w:szCs w:val="34"/>
              </w:rPr>
              <w:t xml:space="preserve">76 M</w:t>
            </w:r>
          </w:p>
        </w:tc>
        <w:tc>
          <w:tcPr>
            <w:tcW w:type="dxa" w:w="6426"/>
            <w:tcBorders>
              <w:top w:val="single" w:color="DDDDDD" w:sz="1"/>
              <w:left w:val="single" w:color="DDDDDD" w:sz="1"/>
              <w:bottom w:val="single" w:color="DDDDDD" w:sz="1"/>
              <w:right w:val="single" w:color="DDDDDD" w:sz="1"/>
            </w:tcBorders>
            <w:shd w:fill="FFF8EC" w:val="clear"/>
            <w:tcMar>
              <w:top w:type="dxa" w:w="100"/>
              <w:left w:type="dxa" w:w="200"/>
              <w:bottom w:type="dxa" w:w="100"/>
              <w:right w:type="dxa" w:w="160"/>
            </w:tcMar>
            <w:vAlign w:val="center"/>
          </w:tcPr>
          <w:p>
            <w:r>
              <w:rPr>
                <w:rFonts w:ascii="Calibri" w:cs="Calibri" w:eastAsia="Calibri" w:hAnsi="Calibri"/>
                <w:b/>
                <w:bCs/>
                <w:color w:val="0D1B2A"/>
                <w:sz w:val="22"/>
                <w:szCs w:val="22"/>
              </w:rPr>
              <w:t xml:space="preserve">Emplois dans l'énergie dans le monde en 2024 (AIE)</w:t>
            </w:r>
          </w:p>
          <w:p>
            <w:r>
              <w:rPr>
                <w:rFonts w:ascii="Calibri" w:cs="Calibri" w:eastAsia="Calibri" w:hAnsi="Calibri"/>
                <w:i/>
                <w:iCs/>
                <w:color w:val="3A4A5C"/>
                <w:sz w:val="20"/>
                <w:szCs w:val="20"/>
              </w:rPr>
              <w:t xml:space="preserve">1ère fois que l'électricité devient le 1er employeur — dépassant les combustibles fossiles</w:t>
            </w:r>
          </w:p>
        </w:tc>
      </w:tr>
      <w:tr>
        <w:tc>
          <w:tcPr>
            <w:tcW w:type="dxa" w:w="2600"/>
            <w:tcBorders>
              <w:top w:val="single" w:color="DDDDDD" w:sz="1"/>
              <w:left w:val="single" w:color="DDDDDD" w:sz="1"/>
              <w:bottom w:val="single" w:color="DDDDDD" w:sz="1"/>
              <w:right w:val="single" w:color="DDDDDD" w:sz="1"/>
            </w:tcBorders>
            <w:shd w:fill="0D1B2A" w:val="clear"/>
            <w:tcMar>
              <w:top w:type="dxa" w:w="140"/>
              <w:left w:type="dxa" w:w="180"/>
              <w:bottom w:type="dxa" w:w="140"/>
              <w:right w:type="dxa" w:w="180"/>
            </w:tcMar>
            <w:vAlign w:val="center"/>
          </w:tcPr>
          <w:p>
            <w:pPr>
              <w:jc w:val="center"/>
            </w:pPr>
            <w:r>
              <w:rPr>
                <w:rFonts w:ascii="Georgia" w:cs="Georgia" w:eastAsia="Georgia" w:hAnsi="Georgia"/>
                <w:b/>
                <w:bCs/>
                <w:color w:val="F5A800"/>
                <w:sz w:val="34"/>
                <w:szCs w:val="34"/>
              </w:rPr>
              <w:t xml:space="preserve">+2,2%</w:t>
            </w:r>
          </w:p>
        </w:tc>
        <w:tc>
          <w:tcPr>
            <w:tcW w:type="dxa" w:w="6426"/>
            <w:tcBorders>
              <w:top w:val="single" w:color="DDDDDD" w:sz="1"/>
              <w:left w:val="single" w:color="DDDDDD" w:sz="1"/>
              <w:bottom w:val="single" w:color="DDDDDD" w:sz="1"/>
              <w:right w:val="single" w:color="DDDDDD" w:sz="1"/>
            </w:tcBorders>
            <w:shd w:fill="FFF8EC" w:val="clear"/>
            <w:tcMar>
              <w:top w:type="dxa" w:w="100"/>
              <w:left w:type="dxa" w:w="200"/>
              <w:bottom w:type="dxa" w:w="100"/>
              <w:right w:type="dxa" w:w="160"/>
            </w:tcMar>
            <w:vAlign w:val="center"/>
          </w:tcPr>
          <w:p>
            <w:r>
              <w:rPr>
                <w:rFonts w:ascii="Calibri" w:cs="Calibri" w:eastAsia="Calibri" w:hAnsi="Calibri"/>
                <w:b/>
                <w:bCs/>
                <w:color w:val="0D1B2A"/>
                <w:sz w:val="22"/>
                <w:szCs w:val="22"/>
              </w:rPr>
              <w:t xml:space="preserve">Croissance de l'emploi énergétique mondial en 2024</w:t>
            </w:r>
          </w:p>
          <w:p>
            <w:r>
              <w:rPr>
                <w:rFonts w:ascii="Calibri" w:cs="Calibri" w:eastAsia="Calibri" w:hAnsi="Calibri"/>
                <w:i/>
                <w:iCs/>
                <w:color w:val="3A4A5C"/>
                <w:sz w:val="20"/>
                <w:szCs w:val="20"/>
              </w:rPr>
              <w:t xml:space="preserve">Soit 1,7× la croissance de l'économie mondiale globale</w:t>
            </w:r>
          </w:p>
        </w:tc>
      </w:tr>
      <w:tr>
        <w:tc>
          <w:tcPr>
            <w:tcW w:type="dxa" w:w="2600"/>
            <w:tcBorders>
              <w:top w:val="single" w:color="DDDDDD" w:sz="1"/>
              <w:left w:val="single" w:color="DDDDDD" w:sz="1"/>
              <w:bottom w:val="single" w:color="DDDDDD" w:sz="1"/>
              <w:right w:val="single" w:color="DDDDDD" w:sz="1"/>
            </w:tcBorders>
            <w:shd w:fill="0D1B2A" w:val="clear"/>
            <w:tcMar>
              <w:top w:type="dxa" w:w="140"/>
              <w:left w:type="dxa" w:w="180"/>
              <w:bottom w:type="dxa" w:w="140"/>
              <w:right w:type="dxa" w:w="180"/>
            </w:tcMar>
            <w:vAlign w:val="center"/>
          </w:tcPr>
          <w:p>
            <w:pPr>
              <w:jc w:val="center"/>
            </w:pPr>
            <w:r>
              <w:rPr>
                <w:rFonts w:ascii="Georgia" w:cs="Georgia" w:eastAsia="Georgia" w:hAnsi="Georgia"/>
                <w:b/>
                <w:bCs/>
                <w:color w:val="F5A800"/>
                <w:sz w:val="34"/>
                <w:szCs w:val="34"/>
              </w:rPr>
              <w:t xml:space="preserve">310 000</w:t>
            </w:r>
          </w:p>
        </w:tc>
        <w:tc>
          <w:tcPr>
            <w:tcW w:type="dxa" w:w="6426"/>
            <w:tcBorders>
              <w:top w:val="single" w:color="DDDDDD" w:sz="1"/>
              <w:left w:val="single" w:color="DDDDDD" w:sz="1"/>
              <w:bottom w:val="single" w:color="DDDDDD" w:sz="1"/>
              <w:right w:val="single" w:color="DDDDDD" w:sz="1"/>
            </w:tcBorders>
            <w:shd w:fill="FFF8EC" w:val="clear"/>
            <w:tcMar>
              <w:top w:type="dxa" w:w="100"/>
              <w:left w:type="dxa" w:w="200"/>
              <w:bottom w:type="dxa" w:w="100"/>
              <w:right w:type="dxa" w:w="160"/>
            </w:tcMar>
            <w:vAlign w:val="center"/>
          </w:tcPr>
          <w:p>
            <w:r>
              <w:rPr>
                <w:rFonts w:ascii="Calibri" w:cs="Calibri" w:eastAsia="Calibri" w:hAnsi="Calibri"/>
                <w:b/>
                <w:bCs/>
                <w:color w:val="0D1B2A"/>
                <w:sz w:val="22"/>
                <w:szCs w:val="22"/>
              </w:rPr>
              <w:t xml:space="preserve">Emplois créés par le seul solaire PV en 2024</w:t>
            </w:r>
          </w:p>
          <w:p>
            <w:r>
              <w:rPr>
                <w:rFonts w:ascii="Calibri" w:cs="Calibri" w:eastAsia="Calibri" w:hAnsi="Calibri"/>
                <w:i/>
                <w:iCs/>
                <w:color w:val="3A4A5C"/>
                <w:sz w:val="20"/>
                <w:szCs w:val="20"/>
              </w:rPr>
              <w:t xml:space="preserve">= La moitié de toutes les créations d'emplois dans la génération électrique mondiale</w:t>
            </w:r>
          </w:p>
        </w:tc>
      </w:tr>
      <w:tr>
        <w:tc>
          <w:tcPr>
            <w:tcW w:type="dxa" w:w="2600"/>
            <w:tcBorders>
              <w:top w:val="single" w:color="DDDDDD" w:sz="1"/>
              <w:left w:val="single" w:color="DDDDDD" w:sz="1"/>
              <w:bottom w:val="single" w:color="DDDDDD" w:sz="1"/>
              <w:right w:val="single" w:color="DDDDDD" w:sz="1"/>
            </w:tcBorders>
            <w:shd w:fill="0D1B2A" w:val="clear"/>
            <w:tcMar>
              <w:top w:type="dxa" w:w="140"/>
              <w:left w:type="dxa" w:w="180"/>
              <w:bottom w:type="dxa" w:w="140"/>
              <w:right w:type="dxa" w:w="180"/>
            </w:tcMar>
            <w:vAlign w:val="center"/>
          </w:tcPr>
          <w:p>
            <w:pPr>
              <w:jc w:val="center"/>
            </w:pPr>
            <w:r>
              <w:rPr>
                <w:rFonts w:ascii="Georgia" w:cs="Georgia" w:eastAsia="Georgia" w:hAnsi="Georgia"/>
                <w:b/>
                <w:bCs/>
                <w:color w:val="F5A800"/>
                <w:sz w:val="34"/>
                <w:szCs w:val="34"/>
              </w:rPr>
              <w:t xml:space="preserve">+15%/an</w:t>
            </w:r>
          </w:p>
        </w:tc>
        <w:tc>
          <w:tcPr>
            <w:tcW w:type="dxa" w:w="6426"/>
            <w:tcBorders>
              <w:top w:val="single" w:color="DDDDDD" w:sz="1"/>
              <w:left w:val="single" w:color="DDDDDD" w:sz="1"/>
              <w:bottom w:val="single" w:color="DDDDDD" w:sz="1"/>
              <w:right w:val="single" w:color="DDDDDD" w:sz="1"/>
            </w:tcBorders>
            <w:shd w:fill="FFF8EC" w:val="clear"/>
            <w:tcMar>
              <w:top w:type="dxa" w:w="100"/>
              <w:left w:type="dxa" w:w="200"/>
              <w:bottom w:type="dxa" w:w="100"/>
              <w:right w:type="dxa" w:w="160"/>
            </w:tcMar>
            <w:vAlign w:val="center"/>
          </w:tcPr>
          <w:p>
            <w:r>
              <w:rPr>
                <w:rFonts w:ascii="Calibri" w:cs="Calibri" w:eastAsia="Calibri" w:hAnsi="Calibri"/>
                <w:b/>
                <w:bCs/>
                <w:color w:val="0D1B2A"/>
                <w:sz w:val="22"/>
                <w:szCs w:val="22"/>
              </w:rPr>
              <w:t xml:space="preserve">Croissance de l'emploi en stockage d'énergie &amp; smart grids</w:t>
            </w:r>
          </w:p>
          <w:p>
            <w:r>
              <w:rPr>
                <w:rFonts w:ascii="Calibri" w:cs="Calibri" w:eastAsia="Calibri" w:hAnsi="Calibri"/>
                <w:i/>
                <w:iCs/>
                <w:color w:val="3A4A5C"/>
                <w:sz w:val="20"/>
                <w:szCs w:val="20"/>
              </w:rPr>
              <w:t xml:space="preserve">Le segment le plus porteur selon le rapport World Energy Employment 2025 de l'AIE</w:t>
            </w:r>
          </w:p>
        </w:tc>
      </w:tr>
      <w:tr>
        <w:tc>
          <w:tcPr>
            <w:tcW w:type="dxa" w:w="2600"/>
            <w:tcBorders>
              <w:top w:val="single" w:color="DDDDDD" w:sz="1"/>
              <w:left w:val="single" w:color="DDDDDD" w:sz="1"/>
              <w:bottom w:val="single" w:color="DDDDDD" w:sz="1"/>
              <w:right w:val="single" w:color="DDDDDD" w:sz="1"/>
            </w:tcBorders>
            <w:shd w:fill="0D1B2A" w:val="clear"/>
            <w:tcMar>
              <w:top w:type="dxa" w:w="140"/>
              <w:left w:type="dxa" w:w="180"/>
              <w:bottom w:type="dxa" w:w="140"/>
              <w:right w:type="dxa" w:w="180"/>
            </w:tcMar>
            <w:vAlign w:val="center"/>
          </w:tcPr>
          <w:p>
            <w:pPr>
              <w:jc w:val="center"/>
            </w:pPr>
            <w:r>
              <w:rPr>
                <w:rFonts w:ascii="Georgia" w:cs="Georgia" w:eastAsia="Georgia" w:hAnsi="Georgia"/>
                <w:b/>
                <w:bCs/>
                <w:color w:val="F5A800"/>
                <w:sz w:val="34"/>
                <w:szCs w:val="34"/>
              </w:rPr>
              <w:t xml:space="preserve">13 Mds USD</w:t>
            </w:r>
          </w:p>
        </w:tc>
        <w:tc>
          <w:tcPr>
            <w:tcW w:type="dxa" w:w="6426"/>
            <w:tcBorders>
              <w:top w:val="single" w:color="DDDDDD" w:sz="1"/>
              <w:left w:val="single" w:color="DDDDDD" w:sz="1"/>
              <w:bottom w:val="single" w:color="DDDDDD" w:sz="1"/>
              <w:right w:val="single" w:color="DDDDDD" w:sz="1"/>
            </w:tcBorders>
            <w:shd w:fill="FFF8EC" w:val="clear"/>
            <w:tcMar>
              <w:top w:type="dxa" w:w="100"/>
              <w:left w:type="dxa" w:w="200"/>
              <w:bottom w:type="dxa" w:w="100"/>
              <w:right w:type="dxa" w:w="160"/>
            </w:tcMar>
            <w:vAlign w:val="center"/>
          </w:tcPr>
          <w:p>
            <w:r>
              <w:rPr>
                <w:rFonts w:ascii="Calibri" w:cs="Calibri" w:eastAsia="Calibri" w:hAnsi="Calibri"/>
                <w:b/>
                <w:bCs/>
                <w:color w:val="0D1B2A"/>
                <w:sz w:val="22"/>
                <w:szCs w:val="22"/>
              </w:rPr>
              <w:t xml:space="preserve">Taille du marché mondial hydrogène vert en 2030</w:t>
            </w:r>
          </w:p>
          <w:p>
            <w:r>
              <w:rPr>
                <w:rFonts w:ascii="Calibri" w:cs="Calibri" w:eastAsia="Calibri" w:hAnsi="Calibri"/>
                <w:i/>
                <w:iCs/>
                <w:color w:val="3A4A5C"/>
                <w:sz w:val="20"/>
                <w:szCs w:val="20"/>
              </w:rPr>
              <w:t xml:space="preserve">Le Maroc vise 4% de ce marché — soit 520 M USD de valeur capture nationale</w:t>
            </w:r>
          </w:p>
        </w:tc>
      </w:tr>
    </w:tbl>
    <w:p/>
    <w:p>
      <w:pPr>
        <w:pStyle w:val="Heading2"/>
        <w:spacing w:before="240" w:after="120"/>
      </w:pPr>
      <w:r>
        <w:rPr>
          <w:rFonts w:ascii="Georgia" w:cs="Georgia" w:eastAsia="Georgia" w:hAnsi="Georgia"/>
          <w:b/>
          <w:bCs/>
          <w:color w:val="F5A800"/>
          <w:sz w:val="27"/>
          <w:szCs w:val="27"/>
        </w:rPr>
        <w:t xml:space="preserve">Tendances mondiales qui survaluent le profil GESI :</w:t>
      </w:r>
    </w:p>
    <w:p>
      <w:pPr>
        <w:pStyle w:val="ListParagraph"/>
        <w:numPr>
          <w:ilvl w:val="0"/>
          <w:numId w:val="2"/>
        </w:numPr>
        <w:spacing w:before="60" w:after="60"/>
      </w:pPr>
      <w:r>
        <w:rPr>
          <w:rFonts w:ascii="Calibri" w:cs="Calibri" w:eastAsia="Calibri" w:hAnsi="Calibri"/>
          <w:b/>
          <w:bCs/>
          <w:color w:val="00A8E8"/>
          <w:sz w:val="22"/>
          <w:szCs w:val="22"/>
        </w:rPr>
        <w:t xml:space="preserve">Électrification des transports</w:t>
      </w:r>
      <w:r>
        <w:rPr>
          <w:rFonts w:ascii="Calibri" w:cs="Calibri" w:eastAsia="Calibri" w:hAnsi="Calibri"/>
          <w:color w:val="3A4A5C"/>
          <w:sz w:val="22"/>
          <w:szCs w:val="22"/>
        </w:rPr>
        <w:t xml:space="preserve"> — Toutes les industries automobiles (Toyota, VW, BYD, GM) investissent massivement dans l'électronique embarquée, les batteries et la gestion d'énergie — profils GESI en forte demande</w:t>
      </w:r>
    </w:p>
    <w:p>
      <w:pPr>
        <w:pStyle w:val="ListParagraph"/>
        <w:numPr>
          <w:ilvl w:val="0"/>
          <w:numId w:val="2"/>
        </w:numPr>
        <w:spacing w:before="60" w:after="60"/>
      </w:pPr>
      <w:r>
        <w:rPr>
          <w:rFonts w:ascii="Calibri" w:cs="Calibri" w:eastAsia="Calibri" w:hAnsi="Calibri"/>
          <w:b/>
          <w:bCs/>
          <w:color w:val="00A8E8"/>
          <w:sz w:val="22"/>
          <w:szCs w:val="22"/>
        </w:rPr>
        <w:t xml:space="preserve">Solaire distribué</w:t>
      </w:r>
      <w:r>
        <w:rPr>
          <w:rFonts w:ascii="Calibri" w:cs="Calibri" w:eastAsia="Calibri" w:hAnsi="Calibri"/>
          <w:color w:val="3A4A5C"/>
          <w:sz w:val="22"/>
          <w:szCs w:val="22"/>
        </w:rPr>
        <w:t xml:space="preserve"> — Le marché mondial du PV distribué devrait atteindre 31 milliards USD au Maroc seul (étude Initiative Imal 2024) — ingénieurs GESI indispensables</w:t>
      </w:r>
    </w:p>
    <w:p>
      <w:pPr>
        <w:pStyle w:val="ListParagraph"/>
        <w:numPr>
          <w:ilvl w:val="0"/>
          <w:numId w:val="2"/>
        </w:numPr>
        <w:spacing w:before="60" w:after="60"/>
      </w:pPr>
      <w:r>
        <w:rPr>
          <w:rFonts w:ascii="Calibri" w:cs="Calibri" w:eastAsia="Calibri" w:hAnsi="Calibri"/>
          <w:b/>
          <w:bCs/>
          <w:color w:val="00A8E8"/>
          <w:sz w:val="22"/>
          <w:szCs w:val="22"/>
        </w:rPr>
        <w:t xml:space="preserve">Maintenance prédictive par IA</w:t>
      </w:r>
      <w:r>
        <w:rPr>
          <w:rFonts w:ascii="Calibri" w:cs="Calibri" w:eastAsia="Calibri" w:hAnsi="Calibri"/>
          <w:color w:val="3A4A5C"/>
          <w:sz w:val="22"/>
          <w:szCs w:val="22"/>
        </w:rPr>
        <w:t xml:space="preserve"> — Marchés estimés à 12+ milliards USD — les ingénieurs capables de croiser énergie et machine learning sont extrêmement rares et très bien payés</w:t>
      </w:r>
    </w:p>
    <w:p>
      <w:pPr>
        <w:pStyle w:val="ListParagraph"/>
        <w:numPr>
          <w:ilvl w:val="0"/>
          <w:numId w:val="2"/>
        </w:numPr>
        <w:spacing w:before="60" w:after="60"/>
      </w:pPr>
      <w:r>
        <w:rPr>
          <w:rFonts w:ascii="Calibri" w:cs="Calibri" w:eastAsia="Calibri" w:hAnsi="Calibri"/>
          <w:b/>
          <w:bCs/>
          <w:color w:val="00A8E8"/>
          <w:sz w:val="22"/>
          <w:szCs w:val="22"/>
        </w:rPr>
        <w:t xml:space="preserve">Nucléaire en renaissance</w:t>
      </w:r>
      <w:r>
        <w:rPr>
          <w:rFonts w:ascii="Calibri" w:cs="Calibri" w:eastAsia="Calibri" w:hAnsi="Calibri"/>
          <w:color w:val="3A4A5C"/>
          <w:sz w:val="22"/>
          <w:szCs w:val="22"/>
        </w:rPr>
        <w:t xml:space="preserve"> — 30+ pays relancent ou lancent des programmes nucléaires — profils formés à l'énergie nucléaire (module M246) de plus en plus demandés</w:t>
      </w:r>
    </w:p>
    <w:p>
      <w:pPr>
        <w:pStyle w:val="ListParagraph"/>
        <w:numPr>
          <w:ilvl w:val="0"/>
          <w:numId w:val="2"/>
        </w:numPr>
        <w:spacing w:before="60" w:after="60"/>
      </w:pPr>
      <w:r>
        <w:rPr>
          <w:rFonts w:ascii="Calibri" w:cs="Calibri" w:eastAsia="Calibri" w:hAnsi="Calibri"/>
          <w:b/>
          <w:bCs/>
          <w:color w:val="00A8E8"/>
          <w:sz w:val="22"/>
          <w:szCs w:val="22"/>
        </w:rPr>
        <w:t xml:space="preserve">Réseaux intelligents</w:t>
      </w:r>
      <w:r>
        <w:rPr>
          <w:rFonts w:ascii="Calibri" w:cs="Calibri" w:eastAsia="Calibri" w:hAnsi="Calibri"/>
          <w:color w:val="3A4A5C"/>
          <w:sz w:val="22"/>
          <w:szCs w:val="22"/>
        </w:rPr>
        <w:t xml:space="preserve"> — L'UE investit 584 milliards EUR dans les smart grids d'ici 2030 — profils GESI recherchés par Siemens, ABB, Schneider, Engie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
        <w:gridCol w:w="8676"/>
      </w:tblGrid>
      <w:tr>
        <w:tc>
          <w:tcPr>
            <w:tcW w:type="dxa" w:w="350"/>
            <w:tcBorders>
              <w:top w:val="none" w:color="FFFFFF" w:sz="0"/>
              <w:left w:val="none" w:color="FFFFFF" w:sz="0"/>
              <w:bottom w:val="none" w:color="FFFFFF" w:sz="0"/>
              <w:right w:val="none" w:color="FFFFFF" w:sz="0"/>
            </w:tcBorders>
            <w:shd w:fill="F5A800" w:val="clear"/>
            <w:tcMar>
              <w:top w:type="dxa" w:w="80"/>
              <w:left w:type="dxa" w:w="80"/>
              <w:bottom w:type="dxa" w:w="80"/>
              <w:right w:type="dxa" w:w="80"/>
            </w:tcMar>
          </w:tcPr>
          <w:p/>
        </w:tc>
        <w:tc>
          <w:tcPr>
            <w:tcW w:type="dxa" w:w="8676"/>
            <w:tcBorders>
              <w:top w:val="none" w:color="FFFFFF" w:sz="0"/>
              <w:left w:val="none" w:color="FFFFFF" w:sz="0"/>
              <w:bottom w:val="none" w:color="FFFFFF" w:sz="0"/>
              <w:right w:val="none" w:color="FFFFFF" w:sz="0"/>
            </w:tcBorders>
            <w:shd w:fill="E8F6FD" w:val="clear"/>
            <w:tcMar>
              <w:top w:type="dxa" w:w="140"/>
              <w:left w:type="dxa" w:w="220"/>
              <w:bottom w:type="dxa" w:w="140"/>
              <w:right w:type="dxa" w:w="220"/>
            </w:tcMar>
          </w:tcPr>
          <w:p>
            <w:r>
              <w:rPr>
                <w:rFonts w:ascii="Georgia" w:cs="Georgia" w:eastAsia="Georgia" w:hAnsi="Georgia"/>
                <w:i/>
                <w:iCs/>
                <w:color w:val="0D1B2A"/>
                <w:sz w:val="22"/>
                <w:szCs w:val="22"/>
              </w:rPr>
              <w:t xml:space="preserve">"Les perspectives d'emploi les plus solides et résilientes se situeront dans les métiers spécialisés du réseau électrique, du stockage et de la digitalisation des systèmes énergétiques. La double compétence technique-numérique sera un avantage décisif."</w:t>
            </w:r>
          </w:p>
          <w:p>
            <w:r>
              <w:rPr>
                <w:rFonts w:ascii="Calibri" w:cs="Calibri" w:eastAsia="Calibri" w:hAnsi="Calibri"/>
                <w:b/>
                <w:bCs/>
                <w:color w:val="00A8E8"/>
                <w:sz w:val="20"/>
                <w:szCs w:val="20"/>
              </w:rPr>
              <w:t xml:space="preserve">— Les Éco — Analyse du rapport AIE World Energy Employment 2025</w:t>
            </w:r>
          </w:p>
        </w:tc>
      </w:tr>
    </w:tbl>
    <w:p>
      <w:r>
        <w:br w:type="page"/>
      </w:r>
    </w:p>
    <w:p>
      <w:pPr>
        <w:pStyle w:val="Heading1"/>
        <w:spacing w:before="360" w:after="160"/>
      </w:pPr>
      <w:r>
        <w:rPr>
          <w:rFonts w:ascii="Georgia" w:cs="Georgia" w:eastAsia="Georgia" w:hAnsi="Georgia"/>
          <w:b/>
          <w:bCs/>
          <w:color w:val="0D1B2A"/>
          <w:sz w:val="36"/>
          <w:szCs w:val="36"/>
        </w:rPr>
        <w:t xml:space="preserve">8. Recherche, Conférences &amp; Écosystème Scientifique</w:t>
      </w:r>
    </w:p>
    <w:p>
      <w:pPr>
        <w:pBdr>
          <w:bottom w:val="single" w:color="F5A800" w:sz="10" w:space="1"/>
        </w:pBdr>
        <w:spacing w:before="80" w:after="80"/>
      </w:pPr>
    </w:p>
    <w:p/>
    <w:p>
      <w:pPr>
        <w:spacing w:before="60" w:after="60"/>
        <w:jc w:val="both"/>
      </w:pPr>
      <w:r>
        <w:rPr>
          <w:rFonts w:ascii="Calibri" w:cs="Calibri" w:eastAsia="Calibri" w:hAnsi="Calibri"/>
          <w:b w:val="false"/>
          <w:bCs w:val="false"/>
          <w:i w:val="false"/>
          <w:iCs w:val="false"/>
          <w:color w:val="0D1B2A"/>
          <w:sz w:val="22"/>
          <w:szCs w:val="22"/>
        </w:rPr>
        <w:t xml:space="preserve">L'ENSA Fès est une école vivante : elle organise régulièrement des conférences internationales, des workshops et des journées thématiques qui vous connectent aux experts académiques et industriels du domaine énergétique et des systèmes intelligents.</w:t>
      </w:r>
    </w:p>
    <w:p/>
    <w:p>
      <w:pPr>
        <w:pStyle w:val="Heading2"/>
        <w:spacing w:before="240" w:after="120"/>
      </w:pPr>
      <w:r>
        <w:rPr>
          <w:rFonts w:ascii="Georgia" w:cs="Georgia" w:eastAsia="Georgia" w:hAnsi="Georgia"/>
          <w:b/>
          <w:bCs/>
          <w:color w:val="F5A800"/>
          <w:sz w:val="27"/>
          <w:szCs w:val="27"/>
        </w:rPr>
        <w:t xml:space="preserve">Événements académiques &amp; industriels (ENSA Fès)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3826"/>
        <w:gridCol w:w="1400"/>
      </w:tblGrid>
      <w:tr>
        <w:tc>
          <w:tcPr>
            <w:tcW w:type="dxa" w:w="3800"/>
            <w:tcBorders>
              <w:top w:val="single" w:color="DDDDDD" w:sz="1"/>
              <w:left w:val="single" w:color="DDDDDD" w:sz="1"/>
              <w:bottom w:val="single" w:color="DDDDDD" w:sz="1"/>
              <w:right w:val="single" w:color="DDDDDD" w:sz="1"/>
            </w:tcBorders>
            <w:shd w:fill="0D1B2A" w:val="clear"/>
            <w:tcMar>
              <w:top w:type="dxa" w:w="100"/>
              <w:left w:type="dxa" w:w="140"/>
              <w:bottom w:type="dxa" w:w="100"/>
              <w:right w:type="dxa" w:w="140"/>
            </w:tcMar>
          </w:tcPr>
          <w:p>
            <w:pPr>
              <w:jc w:val="center"/>
            </w:pPr>
            <w:r>
              <w:rPr>
                <w:rFonts w:ascii="Calibri" w:cs="Calibri" w:eastAsia="Calibri" w:hAnsi="Calibri"/>
                <w:b/>
                <w:bCs/>
                <w:color w:val="F5A800"/>
                <w:sz w:val="21"/>
                <w:szCs w:val="21"/>
              </w:rPr>
              <w:t xml:space="preserve">Événement</w:t>
            </w:r>
          </w:p>
        </w:tc>
        <w:tc>
          <w:tcPr>
            <w:tcW w:type="dxa" w:w="3826"/>
            <w:tcBorders>
              <w:top w:val="single" w:color="DDDDDD" w:sz="1"/>
              <w:left w:val="single" w:color="DDDDDD" w:sz="1"/>
              <w:bottom w:val="single" w:color="DDDDDD" w:sz="1"/>
              <w:right w:val="single" w:color="DDDDDD" w:sz="1"/>
            </w:tcBorders>
            <w:shd w:fill="0D1B2A" w:val="clear"/>
            <w:tcMar>
              <w:top w:type="dxa" w:w="100"/>
              <w:left w:type="dxa" w:w="140"/>
              <w:bottom w:type="dxa" w:w="100"/>
              <w:right w:type="dxa" w:w="140"/>
            </w:tcMar>
          </w:tcPr>
          <w:p>
            <w:pPr>
              <w:jc w:val="center"/>
            </w:pPr>
            <w:r>
              <w:rPr>
                <w:rFonts w:ascii="Calibri" w:cs="Calibri" w:eastAsia="Calibri" w:hAnsi="Calibri"/>
                <w:b/>
                <w:bCs/>
                <w:color w:val="F5A800"/>
                <w:sz w:val="21"/>
                <w:szCs w:val="21"/>
              </w:rPr>
              <w:t xml:space="preserve">Thématique</w:t>
            </w:r>
          </w:p>
        </w:tc>
        <w:tc>
          <w:tcPr>
            <w:tcW w:type="dxa" w:w="1400"/>
            <w:tcBorders>
              <w:top w:val="single" w:color="DDDDDD" w:sz="1"/>
              <w:left w:val="single" w:color="DDDDDD" w:sz="1"/>
              <w:bottom w:val="single" w:color="DDDDDD" w:sz="1"/>
              <w:right w:val="single" w:color="DDDDDD" w:sz="1"/>
            </w:tcBorders>
            <w:shd w:fill="0D1B2A" w:val="clear"/>
            <w:tcMar>
              <w:top w:type="dxa" w:w="100"/>
              <w:left w:type="dxa" w:w="140"/>
              <w:bottom w:type="dxa" w:w="100"/>
              <w:right w:type="dxa" w:w="140"/>
            </w:tcMar>
          </w:tcPr>
          <w:p>
            <w:pPr>
              <w:jc w:val="center"/>
            </w:pPr>
            <w:r>
              <w:rPr>
                <w:rFonts w:ascii="Calibri" w:cs="Calibri" w:eastAsia="Calibri" w:hAnsi="Calibri"/>
                <w:b/>
                <w:bCs/>
                <w:color w:val="F5A800"/>
                <w:sz w:val="21"/>
                <w:szCs w:val="21"/>
              </w:rPr>
              <w:t xml:space="preserve">Fréquence</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CIMSI 2025 — Conférence Internationale sur le Monitoring des Systèmes Industriels</w:t>
            </w:r>
          </w:p>
        </w:tc>
        <w:tc>
          <w:tcPr>
            <w:tcW w:type="dxa" w:w="3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Systèmes énergétiques, surveillance industrielle, contrôle-commande. Partenaires : Centrale Lille, Polytech Lille, ULB Bruxelles.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Annuelle — Déc. 2025</w:t>
            </w:r>
          </w:p>
        </w:tc>
      </w:tr>
      <w:tr>
        <w:tc>
          <w:tcPr>
            <w:tcW w:type="dxa" w:w="3800"/>
            <w:tcBorders>
              <w:top w:val="single" w:color="DDDDDD" w:sz="1"/>
              <w:left w:val="single" w:color="DDDDDD" w:sz="1"/>
              <w:bottom w:val="single" w:color="DDDDDD" w:sz="1"/>
              <w:right w:val="single" w:color="DDDDDD" w:sz="1"/>
            </w:tcBorders>
            <w:shd w:fill="FFF8EC" w:val="clear"/>
            <w:tcMar>
              <w:top w:type="dxa" w:w="80"/>
              <w:left w:type="dxa" w:w="140"/>
              <w:bottom w:type="dxa" w:w="80"/>
              <w:right w:type="dxa" w:w="140"/>
            </w:tcMar>
          </w:tcPr>
          <w:p>
            <w:r>
              <w:rPr>
                <w:rFonts w:ascii="Calibri" w:cs="Calibri" w:eastAsia="Calibri" w:hAnsi="Calibri"/>
                <w:color w:val="0D1B2A"/>
                <w:sz w:val="20"/>
                <w:szCs w:val="20"/>
              </w:rPr>
              <w:t xml:space="preserve">Journée thématique : Énergétique &amp; Systèmes Intelligents</w:t>
            </w:r>
          </w:p>
        </w:tc>
        <w:tc>
          <w:tcPr>
            <w:tcW w:type="dxa" w:w="3826"/>
            <w:tcBorders>
              <w:top w:val="single" w:color="DDDDDD" w:sz="1"/>
              <w:left w:val="single" w:color="DDDDDD" w:sz="1"/>
              <w:bottom w:val="single" w:color="DDDDDD" w:sz="1"/>
              <w:right w:val="single" w:color="DDDDDD" w:sz="1"/>
            </w:tcBorders>
            <w:shd w:fill="FFF8EC" w:val="clear"/>
            <w:tcMar>
              <w:top w:type="dxa" w:w="80"/>
              <w:left w:type="dxa" w:w="140"/>
              <w:bottom w:type="dxa" w:w="80"/>
              <w:right w:type="dxa" w:w="140"/>
            </w:tcMar>
          </w:tcPr>
          <w:p>
            <w:r>
              <w:rPr>
                <w:rFonts w:ascii="Calibri" w:cs="Calibri" w:eastAsia="Calibri" w:hAnsi="Calibri"/>
                <w:color w:val="0D1B2A"/>
                <w:sz w:val="20"/>
                <w:szCs w:val="20"/>
              </w:rPr>
              <w:t xml:space="preserve">Avril 2025. Lien direct entre gestion thermique, énergétique industrielle et systèmes intelligents.</w:t>
            </w:r>
          </w:p>
        </w:tc>
        <w:tc>
          <w:tcPr>
            <w:tcW w:type="dxa" w:w="1400"/>
            <w:tcBorders>
              <w:top w:val="single" w:color="DDDDDD" w:sz="1"/>
              <w:left w:val="single" w:color="DDDDDD" w:sz="1"/>
              <w:bottom w:val="single" w:color="DDDDDD" w:sz="1"/>
              <w:right w:val="single" w:color="DDDDDD" w:sz="1"/>
            </w:tcBorders>
            <w:shd w:fill="FFF8EC" w:val="clear"/>
            <w:tcMar>
              <w:top w:type="dxa" w:w="80"/>
              <w:left w:type="dxa" w:w="140"/>
              <w:bottom w:type="dxa" w:w="80"/>
              <w:right w:type="dxa" w:w="140"/>
            </w:tcMar>
          </w:tcPr>
          <w:p>
            <w:r>
              <w:rPr>
                <w:rFonts w:ascii="Calibri" w:cs="Calibri" w:eastAsia="Calibri" w:hAnsi="Calibri"/>
                <w:color w:val="0D1B2A"/>
                <w:sz w:val="20"/>
                <w:szCs w:val="20"/>
              </w:rPr>
              <w:t xml:space="preserve">Annuelle</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Workshop : Intelligent Control for Complex Autonomous Systems</w:t>
            </w:r>
          </w:p>
        </w:tc>
        <w:tc>
          <w:tcPr>
            <w:tcW w:type="dxa" w:w="3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Contrôle intelligent, IoT, systèmes autonomes dans les infrastructures énergétiques.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Annuelle — Mai 2025</w:t>
            </w:r>
          </w:p>
        </w:tc>
      </w:tr>
      <w:tr>
        <w:tc>
          <w:tcPr>
            <w:tcW w:type="dxa" w:w="3800"/>
            <w:tcBorders>
              <w:top w:val="single" w:color="DDDDDD" w:sz="1"/>
              <w:left w:val="single" w:color="DDDDDD" w:sz="1"/>
              <w:bottom w:val="single" w:color="DDDDDD" w:sz="1"/>
              <w:right w:val="single" w:color="DDDDDD" w:sz="1"/>
            </w:tcBorders>
            <w:shd w:fill="FFF8EC" w:val="clear"/>
            <w:tcMar>
              <w:top w:type="dxa" w:w="80"/>
              <w:left w:type="dxa" w:w="140"/>
              <w:bottom w:type="dxa" w:w="80"/>
              <w:right w:type="dxa" w:w="140"/>
            </w:tcMar>
          </w:tcPr>
          <w:p>
            <w:r>
              <w:rPr>
                <w:rFonts w:ascii="Calibri" w:cs="Calibri" w:eastAsia="Calibri" w:hAnsi="Calibri"/>
                <w:color w:val="0D1B2A"/>
                <w:sz w:val="20"/>
                <w:szCs w:val="20"/>
              </w:rPr>
              <w:t xml:space="preserve">Journée 'IA Multimodale &amp; Apprentissage Automatique'</w:t>
            </w:r>
          </w:p>
        </w:tc>
        <w:tc>
          <w:tcPr>
            <w:tcW w:type="dxa" w:w="3826"/>
            <w:tcBorders>
              <w:top w:val="single" w:color="DDDDDD" w:sz="1"/>
              <w:left w:val="single" w:color="DDDDDD" w:sz="1"/>
              <w:bottom w:val="single" w:color="DDDDDD" w:sz="1"/>
              <w:right w:val="single" w:color="DDDDDD" w:sz="1"/>
            </w:tcBorders>
            <w:shd w:fill="FFF8EC" w:val="clear"/>
            <w:tcMar>
              <w:top w:type="dxa" w:w="80"/>
              <w:left w:type="dxa" w:w="140"/>
              <w:bottom w:type="dxa" w:w="80"/>
              <w:right w:type="dxa" w:w="140"/>
            </w:tcMar>
          </w:tcPr>
          <w:p>
            <w:r>
              <w:rPr>
                <w:rFonts w:ascii="Calibri" w:cs="Calibri" w:eastAsia="Calibri" w:hAnsi="Calibri"/>
                <w:color w:val="0D1B2A"/>
                <w:sz w:val="20"/>
                <w:szCs w:val="20"/>
              </w:rPr>
              <w:t xml:space="preserve">IA appliquée à la prédiction de production énergétique, optimisation de smart grids.</w:t>
            </w:r>
          </w:p>
        </w:tc>
        <w:tc>
          <w:tcPr>
            <w:tcW w:type="dxa" w:w="1400"/>
            <w:tcBorders>
              <w:top w:val="single" w:color="DDDDDD" w:sz="1"/>
              <w:left w:val="single" w:color="DDDDDD" w:sz="1"/>
              <w:bottom w:val="single" w:color="DDDDDD" w:sz="1"/>
              <w:right w:val="single" w:color="DDDDDD" w:sz="1"/>
            </w:tcBorders>
            <w:shd w:fill="FFF8EC" w:val="clear"/>
            <w:tcMar>
              <w:top w:type="dxa" w:w="80"/>
              <w:left w:type="dxa" w:w="140"/>
              <w:bottom w:type="dxa" w:w="80"/>
              <w:right w:type="dxa" w:w="140"/>
            </w:tcMar>
          </w:tcPr>
          <w:p>
            <w:r>
              <w:rPr>
                <w:rFonts w:ascii="Calibri" w:cs="Calibri" w:eastAsia="Calibri" w:hAnsi="Calibri"/>
                <w:color w:val="0D1B2A"/>
                <w:sz w:val="20"/>
                <w:szCs w:val="20"/>
              </w:rPr>
              <w:t xml:space="preserve">Régulière</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Journée Doctorale — Systèmes Intelligents &amp; Technologies Émergentes</w:t>
            </w:r>
          </w:p>
        </w:tc>
        <w:tc>
          <w:tcPr>
            <w:tcW w:type="dxa" w:w="3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Recherche doctorale en énergie &amp; systèmes intelligents — rencontre chercheurs et industrie.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Annuelle</w:t>
            </w:r>
          </w:p>
        </w:tc>
      </w:tr>
    </w:tbl>
    <w:p/>
    <w:p>
      <w:pPr>
        <w:pStyle w:val="Heading2"/>
        <w:spacing w:before="240" w:after="120"/>
      </w:pPr>
      <w:r>
        <w:rPr>
          <w:rFonts w:ascii="Georgia" w:cs="Georgia" w:eastAsia="Georgia" w:hAnsi="Georgia"/>
          <w:b/>
          <w:bCs/>
          <w:color w:val="F5A800"/>
          <w:sz w:val="27"/>
          <w:szCs w:val="27"/>
        </w:rPr>
        <w:t xml:space="preserve">Partenaires académiques internationaux :</w:t>
      </w:r>
    </w:p>
    <w:p>
      <w:pPr>
        <w:pStyle w:val="ListParagraph"/>
        <w:numPr>
          <w:ilvl w:val="0"/>
          <w:numId w:val="2"/>
        </w:numPr>
        <w:spacing w:before="50" w:after="50"/>
      </w:pPr>
      <w:r>
        <w:rPr>
          <w:rFonts w:ascii="Calibri" w:cs="Calibri" w:eastAsia="Calibri" w:hAnsi="Calibri"/>
          <w:b w:val="false"/>
          <w:bCs w:val="false"/>
          <w:color w:val="0D1B2A"/>
          <w:sz w:val="22"/>
          <w:szCs w:val="22"/>
        </w:rPr>
        <w:t xml:space="preserve">Centrale Lille &amp; Polytech Lille (France) — énergétique, systèmes de contrôle</w:t>
      </w:r>
    </w:p>
    <w:p>
      <w:pPr>
        <w:pStyle w:val="ListParagraph"/>
        <w:numPr>
          <w:ilvl w:val="0"/>
          <w:numId w:val="2"/>
        </w:numPr>
        <w:spacing w:before="50" w:after="50"/>
      </w:pPr>
      <w:r>
        <w:rPr>
          <w:rFonts w:ascii="Calibri" w:cs="Calibri" w:eastAsia="Calibri" w:hAnsi="Calibri"/>
          <w:b w:val="false"/>
          <w:bCs w:val="false"/>
          <w:color w:val="0D1B2A"/>
          <w:sz w:val="22"/>
          <w:szCs w:val="22"/>
        </w:rPr>
        <w:t xml:space="preserve">Université Libre de Bruxelles — échanges de recherche en énergie et automatique</w:t>
      </w:r>
    </w:p>
    <w:p>
      <w:pPr>
        <w:pStyle w:val="ListParagraph"/>
        <w:numPr>
          <w:ilvl w:val="0"/>
          <w:numId w:val="2"/>
        </w:numPr>
        <w:spacing w:before="50" w:after="50"/>
      </w:pPr>
      <w:r>
        <w:rPr>
          <w:rFonts w:ascii="Calibri" w:cs="Calibri" w:eastAsia="Calibri" w:hAnsi="Calibri"/>
          <w:b w:val="false"/>
          <w:bCs w:val="false"/>
          <w:color w:val="0D1B2A"/>
          <w:sz w:val="22"/>
          <w:szCs w:val="22"/>
        </w:rPr>
        <w:t xml:space="preserve">Université de Badji Mokhtar (Annaba, Algérie) — coopération maghrébine</w:t>
      </w:r>
    </w:p>
    <w:p>
      <w:pPr>
        <w:pStyle w:val="ListParagraph"/>
        <w:numPr>
          <w:ilvl w:val="0"/>
          <w:numId w:val="2"/>
        </w:numPr>
        <w:spacing w:before="50" w:after="50"/>
      </w:pPr>
      <w:r>
        <w:rPr>
          <w:rFonts w:ascii="Calibri" w:cs="Calibri" w:eastAsia="Calibri" w:hAnsi="Calibri"/>
          <w:b w:val="false"/>
          <w:bCs w:val="false"/>
          <w:color w:val="0D1B2A"/>
          <w:sz w:val="22"/>
          <w:szCs w:val="22"/>
        </w:rPr>
        <w:t xml:space="preserve">IRESEN (Institut de Recherche en Énergie Solaire et Énergies Nouvelles) — Rabat</w:t>
      </w:r>
    </w:p>
    <w:p>
      <w:pPr>
        <w:pStyle w:val="ListParagraph"/>
        <w:numPr>
          <w:ilvl w:val="0"/>
          <w:numId w:val="2"/>
        </w:numPr>
        <w:spacing w:before="50" w:after="50"/>
      </w:pPr>
      <w:r>
        <w:rPr>
          <w:rFonts w:ascii="Calibri" w:cs="Calibri" w:eastAsia="Calibri" w:hAnsi="Calibri"/>
          <w:b w:val="false"/>
          <w:bCs w:val="false"/>
          <w:color w:val="0D1B2A"/>
          <w:sz w:val="22"/>
          <w:szCs w:val="22"/>
        </w:rPr>
        <w:t xml:space="preserve">UM6P / EMINES School of Industrial Management — Benguerir (OCP Group)</w:t>
      </w:r>
    </w:p>
    <w:p/>
    <w:p>
      <w:pPr>
        <w:pStyle w:val="Heading2"/>
        <w:spacing w:before="240" w:after="120"/>
      </w:pPr>
      <w:r>
        <w:rPr>
          <w:rFonts w:ascii="Georgia" w:cs="Georgia" w:eastAsia="Georgia" w:hAnsi="Georgia"/>
          <w:b/>
          <w:bCs/>
          <w:color w:val="F5A800"/>
          <w:sz w:val="27"/>
          <w:szCs w:val="27"/>
        </w:rPr>
        <w:t xml:space="preserve">Laboratoires de Recherche à l'ENSA Fès :</w:t>
      </w:r>
    </w:p>
    <w:p>
      <w:pPr>
        <w:pStyle w:val="ListParagraph"/>
        <w:numPr>
          <w:ilvl w:val="0"/>
          <w:numId w:val="2"/>
        </w:numPr>
        <w:spacing w:before="50" w:after="50"/>
      </w:pPr>
      <w:r>
        <w:rPr>
          <w:rFonts w:ascii="Calibri" w:cs="Calibri" w:eastAsia="Calibri" w:hAnsi="Calibri"/>
          <w:b w:val="false"/>
          <w:bCs w:val="false"/>
          <w:color w:val="0D1B2A"/>
          <w:sz w:val="22"/>
          <w:szCs w:val="22"/>
        </w:rPr>
        <w:t xml:space="preserve">LISA — Laboratoire d'Ingénierie des Systèmes Automatisés</w:t>
      </w:r>
    </w:p>
    <w:p>
      <w:pPr>
        <w:pStyle w:val="ListParagraph"/>
        <w:numPr>
          <w:ilvl w:val="0"/>
          <w:numId w:val="2"/>
        </w:numPr>
        <w:spacing w:before="50" w:after="50"/>
      </w:pPr>
      <w:r>
        <w:rPr>
          <w:rFonts w:ascii="Calibri" w:cs="Calibri" w:eastAsia="Calibri" w:hAnsi="Calibri"/>
          <w:b w:val="false"/>
          <w:bCs w:val="false"/>
          <w:color w:val="0D1B2A"/>
          <w:sz w:val="22"/>
          <w:szCs w:val="22"/>
        </w:rPr>
        <w:t xml:space="preserve">Laboratoire Énergie &amp; Systèmes Intelligents — recherche en smart grids et ER</w:t>
      </w:r>
    </w:p>
    <w:p>
      <w:pPr>
        <w:pStyle w:val="ListParagraph"/>
        <w:numPr>
          <w:ilvl w:val="0"/>
          <w:numId w:val="2"/>
        </w:numPr>
        <w:spacing w:before="50" w:after="50"/>
      </w:pPr>
      <w:r>
        <w:rPr>
          <w:rFonts w:ascii="Calibri" w:cs="Calibri" w:eastAsia="Calibri" w:hAnsi="Calibri"/>
          <w:b w:val="false"/>
          <w:bCs w:val="false"/>
          <w:color w:val="0D1B2A"/>
          <w:sz w:val="22"/>
          <w:szCs w:val="22"/>
        </w:rPr>
        <w:t xml:space="preserve">Plateforme LabVIEW / NI / myRIO — outils de mesure et instrumentation avancés</w:t>
      </w:r>
    </w:p>
    <w:p>
      <w:pPr>
        <w:spacing w:before="60" w:after="60"/>
        <w:jc w:val="both"/>
      </w:pPr>
      <w:r>
        <w:rPr>
          <w:rFonts w:ascii="Calibri" w:cs="Calibri" w:eastAsia="Calibri" w:hAnsi="Calibri"/>
          <w:b w:val="false"/>
          <w:bCs w:val="false"/>
          <w:i/>
          <w:iCs/>
          <w:color w:val="3A4A5C"/>
          <w:sz w:val="22"/>
          <w:szCs w:val="22"/>
        </w:rPr>
        <w:t xml:space="preserve">Ces laboratoires publient dans des revues internationales (Elsevier, IEEE) et accueillent des thèses de doctorat en cotutelle avec des universités européennes.</w:t>
      </w:r>
    </w:p>
    <w:p>
      <w:r>
        <w:br w:type="page"/>
      </w:r>
    </w:p>
    <w:p>
      <w:pPr>
        <w:pStyle w:val="Heading1"/>
        <w:spacing w:before="360" w:after="160"/>
      </w:pPr>
      <w:r>
        <w:rPr>
          <w:rFonts w:ascii="Georgia" w:cs="Georgia" w:eastAsia="Georgia" w:hAnsi="Georgia"/>
          <w:b/>
          <w:bCs/>
          <w:color w:val="0D1B2A"/>
          <w:sz w:val="36"/>
          <w:szCs w:val="36"/>
        </w:rPr>
        <w:t xml:space="preserve">9. Votre Profil CPGE : Une Base Parfaite pour le GESI</w:t>
      </w:r>
    </w:p>
    <w:p>
      <w:pPr>
        <w:pBdr>
          <w:bottom w:val="single" w:color="F5A800" w:sz="10" w:space="1"/>
        </w:pBdr>
        <w:spacing w:before="80" w:after="80"/>
      </w:pPr>
    </w:p>
    <w:p/>
    <w:p>
      <w:pPr>
        <w:spacing w:before="60" w:after="60"/>
        <w:jc w:val="both"/>
      </w:pPr>
      <w:r>
        <w:rPr>
          <w:rFonts w:ascii="Calibri" w:cs="Calibri" w:eastAsia="Calibri" w:hAnsi="Calibri"/>
          <w:b w:val="false"/>
          <w:bCs w:val="false"/>
          <w:i w:val="false"/>
          <w:iCs w:val="false"/>
          <w:color w:val="0D1B2A"/>
          <w:sz w:val="22"/>
          <w:szCs w:val="22"/>
        </w:rPr>
        <w:t xml:space="preserve">La Classe Préparatoire vous a équipé d'un arsenal scientifique de haut niveau. La filière GESI est l'une des rares formations qui exploite l'intégralité de cet arsenal — les maths, la physique, la chimie, l'électricité, la thermodynamique — pour les transformer en compétences d'ingénieur directement applicables à l'industrie.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DDDDD" w:sz="1"/>
              <w:left w:val="single" w:color="DDDDDD" w:sz="1"/>
              <w:bottom w:val="single" w:color="DDDDDD" w:sz="1"/>
              <w:right w:val="single" w:color="DDDDDD" w:sz="1"/>
            </w:tcBorders>
            <w:shd w:fill="0D1B2A" w:val="clear"/>
            <w:tcMar>
              <w:top w:type="dxa" w:w="100"/>
              <w:left w:type="dxa" w:w="140"/>
              <w:bottom w:type="dxa" w:w="100"/>
              <w:right w:type="dxa" w:w="140"/>
            </w:tcMar>
          </w:tcPr>
          <w:p>
            <w:pPr>
              <w:jc w:val="center"/>
            </w:pPr>
            <w:r>
              <w:rPr>
                <w:rFonts w:ascii="Calibri" w:cs="Calibri" w:eastAsia="Calibri" w:hAnsi="Calibri"/>
                <w:b/>
                <w:bCs/>
                <w:color w:val="F5A800"/>
                <w:sz w:val="21"/>
                <w:szCs w:val="21"/>
              </w:rPr>
              <w:t xml:space="preserve">Ce que la CPGE vous a apporté</w:t>
            </w:r>
          </w:p>
        </w:tc>
        <w:tc>
          <w:tcPr>
            <w:tcW w:type="dxa" w:w="4513"/>
            <w:tcBorders>
              <w:top w:val="single" w:color="DDDDDD" w:sz="1"/>
              <w:left w:val="single" w:color="DDDDDD" w:sz="1"/>
              <w:bottom w:val="single" w:color="DDDDDD" w:sz="1"/>
              <w:right w:val="single" w:color="DDDDDD" w:sz="1"/>
            </w:tcBorders>
            <w:shd w:fill="0D1B2A" w:val="clear"/>
            <w:tcMar>
              <w:top w:type="dxa" w:w="100"/>
              <w:left w:type="dxa" w:w="140"/>
              <w:bottom w:type="dxa" w:w="100"/>
              <w:right w:type="dxa" w:w="140"/>
            </w:tcMar>
          </w:tcPr>
          <w:p>
            <w:pPr>
              <w:jc w:val="center"/>
            </w:pPr>
            <w:r>
              <w:rPr>
                <w:rFonts w:ascii="Calibri" w:cs="Calibri" w:eastAsia="Calibri" w:hAnsi="Calibri"/>
                <w:b/>
                <w:bCs/>
                <w:color w:val="F5A800"/>
                <w:sz w:val="21"/>
                <w:szCs w:val="21"/>
              </w:rPr>
              <w:t xml:space="preserve">Ce que le GESI en fait à l'ENSA Fès</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Maths : équations différentielles, intégrales</w:t>
            </w:r>
          </w:p>
        </w:tc>
        <w:tc>
          <w:tcPr>
            <w:tcW w:type="dxa" w:w="4513"/>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Modélisation de systèmes dynamiques, automatique, simulation thermique et électrique</w:t>
            </w:r>
          </w:p>
        </w:tc>
      </w:tr>
      <w:tr>
        <w:tc>
          <w:tcPr>
            <w:tcW w:type="dxa" w:w="4513"/>
            <w:tcBorders>
              <w:top w:val="single" w:color="DDDDDD" w:sz="1"/>
              <w:left w:val="single" w:color="DDDDDD" w:sz="1"/>
              <w:bottom w:val="single" w:color="DDDDDD" w:sz="1"/>
              <w:right w:val="single" w:color="DDDDDD" w:sz="1"/>
            </w:tcBorders>
            <w:shd w:fill="FFF8EC" w:val="clear"/>
            <w:tcMar>
              <w:top w:type="dxa" w:w="80"/>
              <w:left w:type="dxa" w:w="140"/>
              <w:bottom w:type="dxa" w:w="80"/>
              <w:right w:type="dxa" w:w="140"/>
            </w:tcMar>
          </w:tcPr>
          <w:p>
            <w:r>
              <w:rPr>
                <w:rFonts w:ascii="Calibri" w:cs="Calibri" w:eastAsia="Calibri" w:hAnsi="Calibri"/>
                <w:color w:val="0D1B2A"/>
                <w:sz w:val="20"/>
                <w:szCs w:val="20"/>
              </w:rPr>
              <w:t xml:space="preserve">Physique : thermodynamique, électromagnétisme</w:t>
            </w:r>
          </w:p>
        </w:tc>
        <w:tc>
          <w:tcPr>
            <w:tcW w:type="dxa" w:w="4513"/>
            <w:tcBorders>
              <w:top w:val="single" w:color="DDDDDD" w:sz="1"/>
              <w:left w:val="single" w:color="DDDDDD" w:sz="1"/>
              <w:bottom w:val="single" w:color="DDDDDD" w:sz="1"/>
              <w:right w:val="single" w:color="DDDDDD" w:sz="1"/>
            </w:tcBorders>
            <w:shd w:fill="FFF8EC" w:val="clear"/>
            <w:tcMar>
              <w:top w:type="dxa" w:w="80"/>
              <w:left w:type="dxa" w:w="140"/>
              <w:bottom w:type="dxa" w:w="80"/>
              <w:right w:type="dxa" w:w="140"/>
            </w:tcMar>
          </w:tcPr>
          <w:p>
            <w:r>
              <w:rPr>
                <w:rFonts w:ascii="Calibri" w:cs="Calibri" w:eastAsia="Calibri" w:hAnsi="Calibri"/>
                <w:color w:val="0D1B2A"/>
                <w:sz w:val="20"/>
                <w:szCs w:val="20"/>
              </w:rPr>
              <w:t xml:space="preserve">Conception de centrales solaires, moteurs électriques, transferts de chaleur industriels</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Physique : mécanique des fluides</w:t>
            </w:r>
          </w:p>
        </w:tc>
        <w:tc>
          <w:tcPr>
            <w:tcW w:type="dxa" w:w="4513"/>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Hydraulique industrielle, aérodynamique des éoliennes, CFD avancé</w:t>
            </w:r>
          </w:p>
        </w:tc>
      </w:tr>
      <w:tr>
        <w:tc>
          <w:tcPr>
            <w:tcW w:type="dxa" w:w="4513"/>
            <w:tcBorders>
              <w:top w:val="single" w:color="DDDDDD" w:sz="1"/>
              <w:left w:val="single" w:color="DDDDDD" w:sz="1"/>
              <w:bottom w:val="single" w:color="DDDDDD" w:sz="1"/>
              <w:right w:val="single" w:color="DDDDDD" w:sz="1"/>
            </w:tcBorders>
            <w:shd w:fill="FFF8EC" w:val="clear"/>
            <w:tcMar>
              <w:top w:type="dxa" w:w="80"/>
              <w:left w:type="dxa" w:w="140"/>
              <w:bottom w:type="dxa" w:w="80"/>
              <w:right w:type="dxa" w:w="140"/>
            </w:tcMar>
          </w:tcPr>
          <w:p>
            <w:r>
              <w:rPr>
                <w:rFonts w:ascii="Calibri" w:cs="Calibri" w:eastAsia="Calibri" w:hAnsi="Calibri"/>
                <w:color w:val="0D1B2A"/>
                <w:sz w:val="20"/>
                <w:szCs w:val="20"/>
              </w:rPr>
              <w:t xml:space="preserve">Sciences industrielles : automatique de base</w:t>
            </w:r>
          </w:p>
        </w:tc>
        <w:tc>
          <w:tcPr>
            <w:tcW w:type="dxa" w:w="4513"/>
            <w:tcBorders>
              <w:top w:val="single" w:color="DDDDDD" w:sz="1"/>
              <w:left w:val="single" w:color="DDDDDD" w:sz="1"/>
              <w:bottom w:val="single" w:color="DDDDDD" w:sz="1"/>
              <w:right w:val="single" w:color="DDDDDD" w:sz="1"/>
            </w:tcBorders>
            <w:shd w:fill="FFF8EC" w:val="clear"/>
            <w:tcMar>
              <w:top w:type="dxa" w:w="80"/>
              <w:left w:type="dxa" w:w="140"/>
              <w:bottom w:type="dxa" w:w="80"/>
              <w:right w:type="dxa" w:w="140"/>
            </w:tcMar>
          </w:tcPr>
          <w:p>
            <w:r>
              <w:rPr>
                <w:rFonts w:ascii="Calibri" w:cs="Calibri" w:eastAsia="Calibri" w:hAnsi="Calibri"/>
                <w:color w:val="0D1B2A"/>
                <w:sz w:val="20"/>
                <w:szCs w:val="20"/>
              </w:rPr>
              <w:t xml:space="preserve">Commande avancée, asservissement de machines électriques, contrôle de smart grids</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Informatique : algorithmique, bases de programmation</w:t>
            </w:r>
          </w:p>
        </w:tc>
        <w:tc>
          <w:tcPr>
            <w:tcW w:type="dxa" w:w="4513"/>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Systèmes embarqués, Python pour le ML, LabVIEW pour l'instrumentation industrielle</w:t>
            </w:r>
          </w:p>
        </w:tc>
      </w:tr>
      <w:tr>
        <w:tc>
          <w:tcPr>
            <w:tcW w:type="dxa" w:w="4513"/>
            <w:tcBorders>
              <w:top w:val="single" w:color="DDDDDD" w:sz="1"/>
              <w:left w:val="single" w:color="DDDDDD" w:sz="1"/>
              <w:bottom w:val="single" w:color="DDDDDD" w:sz="1"/>
              <w:right w:val="single" w:color="DDDDDD" w:sz="1"/>
            </w:tcBorders>
            <w:shd w:fill="FFF8EC" w:val="clear"/>
            <w:tcMar>
              <w:top w:type="dxa" w:w="80"/>
              <w:left w:type="dxa" w:w="140"/>
              <w:bottom w:type="dxa" w:w="80"/>
              <w:right w:type="dxa" w:w="140"/>
            </w:tcMar>
          </w:tcPr>
          <w:p>
            <w:r>
              <w:rPr>
                <w:rFonts w:ascii="Calibri" w:cs="Calibri" w:eastAsia="Calibri" w:hAnsi="Calibri"/>
                <w:color w:val="0D1B2A"/>
                <w:sz w:val="20"/>
                <w:szCs w:val="20"/>
              </w:rPr>
              <w:t xml:space="preserve">Chimie : thermochimie, réactions</w:t>
            </w:r>
          </w:p>
        </w:tc>
        <w:tc>
          <w:tcPr>
            <w:tcW w:type="dxa" w:w="4513"/>
            <w:tcBorders>
              <w:top w:val="single" w:color="DDDDDD" w:sz="1"/>
              <w:left w:val="single" w:color="DDDDDD" w:sz="1"/>
              <w:bottom w:val="single" w:color="DDDDDD" w:sz="1"/>
              <w:right w:val="single" w:color="DDDDDD" w:sz="1"/>
            </w:tcBorders>
            <w:shd w:fill="FFF8EC" w:val="clear"/>
            <w:tcMar>
              <w:top w:type="dxa" w:w="80"/>
              <w:left w:type="dxa" w:w="140"/>
              <w:bottom w:type="dxa" w:w="80"/>
              <w:right w:type="dxa" w:w="140"/>
            </w:tcMar>
          </w:tcPr>
          <w:p>
            <w:r>
              <w:rPr>
                <w:rFonts w:ascii="Calibri" w:cs="Calibri" w:eastAsia="Calibri" w:hAnsi="Calibri"/>
                <w:color w:val="0D1B2A"/>
                <w:sz w:val="20"/>
                <w:szCs w:val="20"/>
              </w:rPr>
              <w:t xml:space="preserve">Combustion industrielle, hydrogène vert (électrolyse), procédés énergétiques</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Électricité : circuits, régimes transitoires</w:t>
            </w:r>
          </w:p>
        </w:tc>
        <w:tc>
          <w:tcPr>
            <w:tcW w:type="dxa" w:w="4513"/>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0D1B2A"/>
                <w:sz w:val="20"/>
                <w:szCs w:val="20"/>
              </w:rPr>
              <w:t xml:space="preserve">Électronique de puissance, onduleurs, variateurs, réseaux intelligents</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
        <w:gridCol w:w="8676"/>
      </w:tblGrid>
      <w:tr>
        <w:tc>
          <w:tcPr>
            <w:tcW w:type="dxa" w:w="350"/>
            <w:tcBorders>
              <w:top w:val="none" w:color="FFFFFF" w:sz="0"/>
              <w:left w:val="none" w:color="FFFFFF" w:sz="0"/>
              <w:bottom w:val="none" w:color="FFFFFF" w:sz="0"/>
              <w:right w:val="none" w:color="FFFFFF" w:sz="0"/>
            </w:tcBorders>
            <w:shd w:fill="F5A800" w:val="clear"/>
            <w:tcMar>
              <w:top w:type="dxa" w:w="80"/>
              <w:left w:type="dxa" w:w="80"/>
              <w:bottom w:type="dxa" w:w="80"/>
              <w:right w:type="dxa" w:w="80"/>
            </w:tcMar>
          </w:tcPr>
          <w:p/>
        </w:tc>
        <w:tc>
          <w:tcPr>
            <w:tcW w:type="dxa" w:w="8676"/>
            <w:tcBorders>
              <w:top w:val="none" w:color="FFFFFF" w:sz="0"/>
              <w:left w:val="none" w:color="FFFFFF" w:sz="0"/>
              <w:bottom w:val="none" w:color="FFFFFF" w:sz="0"/>
              <w:right w:val="none" w:color="FFFFFF" w:sz="0"/>
            </w:tcBorders>
            <w:shd w:fill="E8F6FD" w:val="clear"/>
            <w:tcMar>
              <w:top w:type="dxa" w:w="140"/>
              <w:left w:type="dxa" w:w="220"/>
              <w:bottom w:type="dxa" w:w="140"/>
              <w:right w:type="dxa" w:w="220"/>
            </w:tcMar>
          </w:tcPr>
          <w:p>
            <w:r>
              <w:rPr>
                <w:rFonts w:ascii="Georgia" w:cs="Georgia" w:eastAsia="Georgia" w:hAnsi="Georgia"/>
                <w:i/>
                <w:iCs/>
                <w:color w:val="0D1B2A"/>
                <w:sz w:val="22"/>
                <w:szCs w:val="22"/>
              </w:rPr>
              <w:t xml:space="preserve">"Le GESI transforme votre rigueur de prépa en capacité à concevoir les infrastructures énergétiques du 21ème siècle — celles que le Maroc et le monde entier sont en train de bâtir."</w:t>
            </w:r>
          </w:p>
          <w:p>
            <w:r>
              <w:rPr>
                <w:rFonts w:ascii="Calibri" w:cs="Calibri" w:eastAsia="Calibri" w:hAnsi="Calibri"/>
                <w:b/>
                <w:bCs/>
                <w:color w:val="00A8E8"/>
                <w:sz w:val="20"/>
                <w:szCs w:val="20"/>
              </w:rPr>
              <w:t xml:space="preserve">— ENSA Fès — Département Génie Énergétique &amp; Systèmes Intelligents</w:t>
            </w:r>
          </w:p>
        </w:tc>
      </w:tr>
    </w:tbl>
    <w:p/>
    <w:p>
      <w:pPr>
        <w:spacing w:before="60" w:after="60"/>
        <w:jc w:val="both"/>
      </w:pPr>
      <w:r>
        <w:rPr>
          <w:rFonts w:ascii="Calibri" w:cs="Calibri" w:eastAsia="Calibri" w:hAnsi="Calibri"/>
          <w:b w:val="false"/>
          <w:bCs w:val="false"/>
          <w:i w:val="false"/>
          <w:iCs w:val="false"/>
          <w:color w:val="0D1B2A"/>
          <w:sz w:val="22"/>
          <w:szCs w:val="22"/>
        </w:rPr>
        <w:t xml:space="preserve">Votre Projet de Fin d'Études (PFE) de 4 à 6 mois vous immergera directement dans des entreprises comme MASEN, OCP, ONEE, Nareva, Capgemini Engineering, Schneider Electric ou Segula Technologies. Beaucoup de PFE se transforment en offres d'embauche.</w:t>
      </w:r>
    </w:p>
    <w:p>
      <w:r>
        <w:br w:type="page"/>
      </w:r>
    </w:p>
    <w:p>
      <w:pPr>
        <w:pStyle w:val="Heading1"/>
        <w:spacing w:before="360" w:after="160"/>
      </w:pPr>
      <w:r>
        <w:rPr>
          <w:rFonts w:ascii="Georgia" w:cs="Georgia" w:eastAsia="Georgia" w:hAnsi="Georgia"/>
          <w:b/>
          <w:bCs/>
          <w:color w:val="0D1B2A"/>
          <w:sz w:val="36"/>
          <w:szCs w:val="36"/>
        </w:rPr>
        <w:t xml:space="preserve">10. Conclusion : Construisez l'Énergie de Demain</w:t>
      </w:r>
    </w:p>
    <w:p>
      <w:pPr>
        <w:pBdr>
          <w:bottom w:val="single" w:color="F5A800" w:sz="10" w:space="1"/>
        </w:pBdr>
        <w:spacing w:before="80" w:after="80"/>
      </w:pP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tcMar>
              <w:top w:type="dxa" w:w="80"/>
              <w:left w:type="dxa" w:w="80"/>
              <w:bottom w:type="dxa" w:w="80"/>
              <w:right w:type="dxa" w:w="80"/>
            </w:tcMar>
          </w:tcPr>
          <w:p>
            <w:pPr>
              <w:jc w:val="center"/>
            </w:pPr>
            <w:r>
              <w:rPr>
                <w:rFonts w:ascii="Calibri" w:cs="Calibri" w:eastAsia="Calibri" w:hAnsi="Calibri"/>
                <w:b/>
                <w:bCs/>
                <w:sz w:val="26"/>
                <w:szCs w:val="26"/>
              </w:rPr>
              <w:t xml:space="preserve">☀️</w:t>
            </w:r>
          </w:p>
        </w:tc>
        <w:tc>
          <w:tcPr>
            <w:tcW w:type="dxa" w:w="8426"/>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alibri" w:cs="Calibri" w:eastAsia="Calibri" w:hAnsi="Calibri"/>
                <w:color w:val="0D1B2A"/>
                <w:sz w:val="22"/>
                <w:szCs w:val="22"/>
              </w:rPr>
              <w:t xml:space="preserve">Le Maroc a quasiment doublé sa capacité EnR en 10 ans et vise 52% renouvelables en 2030</w:t>
            </w:r>
          </w:p>
        </w:tc>
      </w:tr>
      <w:tr>
        <w:tc>
          <w:tcPr>
            <w:tcW w:type="dxa" w:w="600"/>
            <w:tcBorders>
              <w:top w:val="none" w:color="FFFFFF" w:sz="0"/>
              <w:left w:val="none" w:color="FFFFFF" w:sz="0"/>
              <w:bottom w:val="none" w:color="FFFFFF" w:sz="0"/>
              <w:right w:val="none" w:color="FFFFFF" w:sz="0"/>
            </w:tcBorders>
            <w:tcMar>
              <w:top w:type="dxa" w:w="80"/>
              <w:left w:type="dxa" w:w="80"/>
              <w:bottom w:type="dxa" w:w="80"/>
              <w:right w:type="dxa" w:w="80"/>
            </w:tcMar>
          </w:tcPr>
          <w:p>
            <w:pPr>
              <w:jc w:val="center"/>
            </w:pPr>
            <w:r>
              <w:rPr>
                <w:rFonts w:ascii="Calibri" w:cs="Calibri" w:eastAsia="Calibri" w:hAnsi="Calibri"/>
                <w:b/>
                <w:bCs/>
                <w:sz w:val="26"/>
                <w:szCs w:val="26"/>
              </w:rPr>
              <w:t xml:space="preserve">⚡</w:t>
            </w:r>
          </w:p>
        </w:tc>
        <w:tc>
          <w:tcPr>
            <w:tcW w:type="dxa" w:w="8426"/>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alibri" w:cs="Calibri" w:eastAsia="Calibri" w:hAnsi="Calibri"/>
                <w:color w:val="0D1B2A"/>
                <w:sz w:val="22"/>
                <w:szCs w:val="22"/>
              </w:rPr>
              <w:t xml:space="preserve">319 milliards de DH de projets hydrogène vert approuvés en 2025 — une opportunité unique</w:t>
            </w:r>
          </w:p>
        </w:tc>
      </w:tr>
      <w:tr>
        <w:tc>
          <w:tcPr>
            <w:tcW w:type="dxa" w:w="600"/>
            <w:tcBorders>
              <w:top w:val="none" w:color="FFFFFF" w:sz="0"/>
              <w:left w:val="none" w:color="FFFFFF" w:sz="0"/>
              <w:bottom w:val="none" w:color="FFFFFF" w:sz="0"/>
              <w:right w:val="none" w:color="FFFFFF" w:sz="0"/>
            </w:tcBorders>
            <w:tcMar>
              <w:top w:type="dxa" w:w="80"/>
              <w:left w:type="dxa" w:w="80"/>
              <w:bottom w:type="dxa" w:w="80"/>
              <w:right w:type="dxa" w:w="80"/>
            </w:tcMar>
          </w:tcPr>
          <w:p>
            <w:pPr>
              <w:jc w:val="center"/>
            </w:pPr>
            <w:r>
              <w:rPr>
                <w:rFonts w:ascii="Calibri" w:cs="Calibri" w:eastAsia="Calibri" w:hAnsi="Calibri"/>
                <w:b/>
                <w:bCs/>
                <w:sz w:val="26"/>
                <w:szCs w:val="26"/>
              </w:rPr>
              <w:t xml:space="preserve">🤖</w:t>
            </w:r>
          </w:p>
        </w:tc>
        <w:tc>
          <w:tcPr>
            <w:tcW w:type="dxa" w:w="8426"/>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alibri" w:cs="Calibri" w:eastAsia="Calibri" w:hAnsi="Calibri"/>
                <w:color w:val="0D1B2A"/>
                <w:sz w:val="22"/>
                <w:szCs w:val="22"/>
              </w:rPr>
              <w:t xml:space="preserve">Les systèmes embarqués et l'IA énergétique sont les profils les plus rares et les plus recherchés</w:t>
            </w:r>
          </w:p>
        </w:tc>
      </w:tr>
      <w:tr>
        <w:tc>
          <w:tcPr>
            <w:tcW w:type="dxa" w:w="600"/>
            <w:tcBorders>
              <w:top w:val="none" w:color="FFFFFF" w:sz="0"/>
              <w:left w:val="none" w:color="FFFFFF" w:sz="0"/>
              <w:bottom w:val="none" w:color="FFFFFF" w:sz="0"/>
              <w:right w:val="none" w:color="FFFFFF" w:sz="0"/>
            </w:tcBorders>
            <w:tcMar>
              <w:top w:type="dxa" w:w="80"/>
              <w:left w:type="dxa" w:w="80"/>
              <w:bottom w:type="dxa" w:w="80"/>
              <w:right w:type="dxa" w:w="80"/>
            </w:tcMar>
          </w:tcPr>
          <w:p>
            <w:pPr>
              <w:jc w:val="center"/>
            </w:pPr>
            <w:r>
              <w:rPr>
                <w:rFonts w:ascii="Calibri" w:cs="Calibri" w:eastAsia="Calibri" w:hAnsi="Calibri"/>
                <w:b/>
                <w:bCs/>
                <w:sz w:val="26"/>
                <w:szCs w:val="26"/>
              </w:rPr>
              <w:t xml:space="preserve">🌍</w:t>
            </w:r>
          </w:p>
        </w:tc>
        <w:tc>
          <w:tcPr>
            <w:tcW w:type="dxa" w:w="8426"/>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alibri" w:cs="Calibri" w:eastAsia="Calibri" w:hAnsi="Calibri"/>
                <w:color w:val="0D1B2A"/>
                <w:sz w:val="22"/>
                <w:szCs w:val="22"/>
              </w:rPr>
              <w:t xml:space="preserve">76 millions d'emplois mondiaux dans l'énergie — croissance 1,7× plus rapide que l'économie globale</w:t>
            </w:r>
          </w:p>
        </w:tc>
      </w:tr>
      <w:tr>
        <w:tc>
          <w:tcPr>
            <w:tcW w:type="dxa" w:w="600"/>
            <w:tcBorders>
              <w:top w:val="none" w:color="FFFFFF" w:sz="0"/>
              <w:left w:val="none" w:color="FFFFFF" w:sz="0"/>
              <w:bottom w:val="none" w:color="FFFFFF" w:sz="0"/>
              <w:right w:val="none" w:color="FFFFFF" w:sz="0"/>
            </w:tcBorders>
            <w:tcMar>
              <w:top w:type="dxa" w:w="80"/>
              <w:left w:type="dxa" w:w="80"/>
              <w:bottom w:type="dxa" w:w="80"/>
              <w:right w:type="dxa" w:w="80"/>
            </w:tcMar>
          </w:tcPr>
          <w:p>
            <w:pPr>
              <w:jc w:val="center"/>
            </w:pPr>
            <w:r>
              <w:rPr>
                <w:rFonts w:ascii="Calibri" w:cs="Calibri" w:eastAsia="Calibri" w:hAnsi="Calibri"/>
                <w:b/>
                <w:bCs/>
                <w:sz w:val="26"/>
                <w:szCs w:val="26"/>
              </w:rPr>
              <w:t xml:space="preserve">📍</w:t>
            </w:r>
          </w:p>
        </w:tc>
        <w:tc>
          <w:tcPr>
            <w:tcW w:type="dxa" w:w="8426"/>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alibri" w:cs="Calibri" w:eastAsia="Calibri" w:hAnsi="Calibri"/>
                <w:color w:val="0D1B2A"/>
                <w:sz w:val="22"/>
                <w:szCs w:val="22"/>
              </w:rPr>
              <w:t xml:space="preserve">Le parc éolien Nassim Taza II est à quelques kilomètres de votre école — vous formerez ceux qui le maintiendront</w:t>
            </w:r>
          </w:p>
        </w:tc>
      </w:tr>
      <w:tr>
        <w:tc>
          <w:tcPr>
            <w:tcW w:type="dxa" w:w="600"/>
            <w:tcBorders>
              <w:top w:val="none" w:color="FFFFFF" w:sz="0"/>
              <w:left w:val="none" w:color="FFFFFF" w:sz="0"/>
              <w:bottom w:val="none" w:color="FFFFFF" w:sz="0"/>
              <w:right w:val="none" w:color="FFFFFF" w:sz="0"/>
            </w:tcBorders>
            <w:tcMar>
              <w:top w:type="dxa" w:w="80"/>
              <w:left w:type="dxa" w:w="80"/>
              <w:bottom w:type="dxa" w:w="80"/>
              <w:right w:type="dxa" w:w="80"/>
            </w:tcMar>
          </w:tcPr>
          <w:p>
            <w:pPr>
              <w:jc w:val="center"/>
            </w:pPr>
            <w:r>
              <w:rPr>
                <w:rFonts w:ascii="Calibri" w:cs="Calibri" w:eastAsia="Calibri" w:hAnsi="Calibri"/>
                <w:b/>
                <w:bCs/>
                <w:sz w:val="26"/>
                <w:szCs w:val="26"/>
              </w:rPr>
              <w:t xml:space="preserve">💡</w:t>
            </w:r>
          </w:p>
        </w:tc>
        <w:tc>
          <w:tcPr>
            <w:tcW w:type="dxa" w:w="8426"/>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alibri" w:cs="Calibri" w:eastAsia="Calibri" w:hAnsi="Calibri"/>
                <w:color w:val="0D1B2A"/>
                <w:sz w:val="22"/>
                <w:szCs w:val="22"/>
              </w:rPr>
              <w:t xml:space="preserve">La formation couvre TOUT : thermique, fluides, solaire, éolien, nucléaire, hydrogène, embarqué, IA</w:t>
            </w:r>
          </w:p>
        </w:tc>
      </w:tr>
      <w:tr>
        <w:tc>
          <w:tcPr>
            <w:tcW w:type="dxa" w:w="600"/>
            <w:tcBorders>
              <w:top w:val="none" w:color="FFFFFF" w:sz="0"/>
              <w:left w:val="none" w:color="FFFFFF" w:sz="0"/>
              <w:bottom w:val="none" w:color="FFFFFF" w:sz="0"/>
              <w:right w:val="none" w:color="FFFFFF" w:sz="0"/>
            </w:tcBorders>
            <w:tcMar>
              <w:top w:type="dxa" w:w="80"/>
              <w:left w:type="dxa" w:w="80"/>
              <w:bottom w:type="dxa" w:w="80"/>
              <w:right w:type="dxa" w:w="80"/>
            </w:tcMar>
          </w:tcPr>
          <w:p>
            <w:pPr>
              <w:jc w:val="center"/>
            </w:pPr>
            <w:r>
              <w:rPr>
                <w:rFonts w:ascii="Calibri" w:cs="Calibri" w:eastAsia="Calibri" w:hAnsi="Calibri"/>
                <w:b/>
                <w:bCs/>
                <w:sz w:val="26"/>
                <w:szCs w:val="26"/>
              </w:rPr>
              <w:t xml:space="preserve">🎓</w:t>
            </w:r>
          </w:p>
        </w:tc>
        <w:tc>
          <w:tcPr>
            <w:tcW w:type="dxa" w:w="8426"/>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alibri" w:cs="Calibri" w:eastAsia="Calibri" w:hAnsi="Calibri"/>
                <w:color w:val="0D1B2A"/>
                <w:sz w:val="22"/>
                <w:szCs w:val="22"/>
              </w:rPr>
              <w:t xml:space="preserve">Diplôme d'ingénieur d'État Bac+5 — reconnu nationalement et internationalement</w:t>
            </w:r>
          </w:p>
        </w:tc>
      </w:tr>
      <w:tr>
        <w:tc>
          <w:tcPr>
            <w:tcW w:type="dxa" w:w="600"/>
            <w:tcBorders>
              <w:top w:val="none" w:color="FFFFFF" w:sz="0"/>
              <w:left w:val="none" w:color="FFFFFF" w:sz="0"/>
              <w:bottom w:val="none" w:color="FFFFFF" w:sz="0"/>
              <w:right w:val="none" w:color="FFFFFF" w:sz="0"/>
            </w:tcBorders>
            <w:tcMar>
              <w:top w:type="dxa" w:w="80"/>
              <w:left w:type="dxa" w:w="80"/>
              <w:bottom w:type="dxa" w:w="80"/>
              <w:right w:type="dxa" w:w="80"/>
            </w:tcMar>
          </w:tcPr>
          <w:p>
            <w:pPr>
              <w:jc w:val="center"/>
            </w:pPr>
            <w:r>
              <w:rPr>
                <w:rFonts w:ascii="Calibri" w:cs="Calibri" w:eastAsia="Calibri" w:hAnsi="Calibri"/>
                <w:b/>
                <w:bCs/>
                <w:sz w:val="26"/>
                <w:szCs w:val="26"/>
              </w:rPr>
              <w:t xml:space="preserve">💼</w:t>
            </w:r>
          </w:p>
        </w:tc>
        <w:tc>
          <w:tcPr>
            <w:tcW w:type="dxa" w:w="8426"/>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alibri" w:cs="Calibri" w:eastAsia="Calibri" w:hAnsi="Calibri"/>
                <w:color w:val="0D1B2A"/>
                <w:sz w:val="22"/>
                <w:szCs w:val="22"/>
              </w:rPr>
              <w:t xml:space="preserve">Employeurs : MASEN, OCP, ONEE, Nareva, Schneider, Capgemini, TotalEnergies, Siemens, ALTEN...</w:t>
            </w:r>
          </w:p>
        </w:tc>
      </w:tr>
    </w:tbl>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0D1B2A" w:val="clear"/>
            <w:tcMar>
              <w:top w:type="dxa" w:w="260"/>
              <w:left w:type="dxa" w:w="400"/>
              <w:bottom w:type="dxa" w:w="260"/>
              <w:right w:type="dxa" w:w="400"/>
            </w:tcMar>
          </w:tcPr>
          <w:p>
            <w:pPr>
              <w:spacing w:before="0" w:after="80"/>
              <w:jc w:val="center"/>
            </w:pPr>
            <w:r>
              <w:rPr>
                <w:rFonts w:ascii="Georgia" w:cs="Georgia" w:eastAsia="Georgia" w:hAnsi="Georgia"/>
                <w:b/>
                <w:bCs/>
                <w:color w:val="F5A800"/>
                <w:sz w:val="26"/>
                <w:szCs w:val="26"/>
              </w:rPr>
              <w:t xml:space="preserve">🌞  REJOIGNEZ LE GÉNIE ÉNERGÉTIQUE &amp; SYSTÈMES INTELLIGENTS</w:t>
            </w:r>
          </w:p>
          <w:p>
            <w:pPr>
              <w:spacing w:before="0" w:after="80"/>
              <w:jc w:val="center"/>
            </w:pPr>
            <w:r>
              <w:rPr>
                <w:rFonts w:ascii="Calibri" w:cs="Calibri" w:eastAsia="Calibri" w:hAnsi="Calibri"/>
                <w:i/>
                <w:iCs/>
                <w:color w:val="FFFFFF"/>
                <w:sz w:val="22"/>
                <w:szCs w:val="22"/>
              </w:rPr>
              <w:t xml:space="preserve">Chaque watt produit proprement, chaque réseau rendu intelligent, chaque système embarqué optimisé — c'est votre œuvre en tant qu'ingénieur GESI.</w:t>
            </w:r>
          </w:p>
          <w:p>
            <w:pPr>
              <w:jc w:val="center"/>
            </w:pPr>
            <w:r>
              <w:rPr>
                <w:rFonts w:ascii="Calibri" w:cs="Calibri" w:eastAsia="Calibri" w:hAnsi="Calibri"/>
                <w:color w:val="00A8E8"/>
                <w:sz w:val="20"/>
                <w:szCs w:val="20"/>
              </w:rPr>
              <w:t xml:space="preserve">ENSA Fès  —  Génie Énergétique &amp; Systèmes Intelligents  —  Diplôme d'Ingénieur d'État Bac+5</w:t>
            </w:r>
          </w:p>
        </w:tc>
      </w:tr>
    </w:tbl>
    <w:p/>
    <w:p/>
    <w:p>
      <w:pPr>
        <w:spacing w:before="60" w:after="60"/>
        <w:jc w:val="both"/>
      </w:pPr>
      <w:r>
        <w:rPr>
          <w:rFonts w:ascii="Calibri" w:cs="Calibri" w:eastAsia="Calibri" w:hAnsi="Calibri"/>
          <w:b w:val="false"/>
          <w:bCs w:val="false"/>
          <w:i/>
          <w:iCs/>
          <w:color w:val="3A4A5C"/>
          <w:sz w:val="22"/>
          <w:szCs w:val="22"/>
        </w:rPr>
        <w:t xml:space="preserve">Contact : Département Génie Énergétique &amp; Systèmes Intelligents — ENSA Fès, Université Sidi Mohammed Ben Abdellah, Avenue My Abdallah, Km 5, Route d'Imouzzer, Fès.  |  www.ensaf.ac.ma</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5A800" w:sz="6" w:space="1"/>
      </w:pBdr>
      <w:jc w:val="center"/>
    </w:pPr>
    <w:r>
      <w:rPr>
        <w:rFonts w:ascii="Calibri" w:cs="Calibri" w:eastAsia="Calibri" w:hAnsi="Calibri"/>
        <w:color w:val="3A4A5C"/>
        <w:sz w:val="16"/>
        <w:szCs w:val="16"/>
      </w:rPr>
      <w:t xml:space="preserve">Université Sidi Mohammed Ben Abdellah  —  ENSA Fès  —  www.ensaf.ac.ma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5A800" w:sz="6" w:space="1"/>
      </w:pBdr>
    </w:pPr>
    <w:r>
      <w:rPr>
        <w:rFonts w:ascii="Calibri" w:cs="Calibri" w:eastAsia="Calibri" w:hAnsi="Calibri"/>
        <w:color w:val="3A4A5C"/>
        <w:sz w:val="18"/>
        <w:szCs w:val="18"/>
      </w:rPr>
      <w:t xml:space="preserve">ENSA Fès  |  Génie Énergétique &amp; Systèmes Intelligents</w:t>
    </w:r>
    <w:r>
      <w:rPr>
        <w:rFonts w:ascii="Calibri" w:cs="Calibri" w:eastAsia="Calibri" w:hAnsi="Calibri"/>
        <w:color w:val="00A8E8"/>
        <w:sz w:val="18"/>
        <w:szCs w:val="18"/>
      </w:rPr>
      <w:t xml:space="preserve">  |  Guide d'Orientation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Georgia" w:cs="Georgia" w:eastAsia="Georgia" w:hAnsi="Georgia"/>
      <w:b/>
      <w:bCs/>
      <w:color w:val="0D1B2A"/>
      <w:sz w:val="36"/>
      <w:szCs w:val="36"/>
    </w:rPr>
  </w:style>
  <w:style w:type="paragraph" w:styleId="Heading2">
    <w:name w:val="Heading 2"/>
    <w:basedOn w:val="Normal"/>
    <w:next w:val="Normal"/>
    <w:qFormat/>
    <w:pPr>
      <w:spacing w:before="240" w:after="120"/>
      <w:outlineLvl w:val="1"/>
    </w:pPr>
    <w:rPr>
      <w:rFonts w:ascii="Georgia" w:cs="Georgia" w:eastAsia="Georgia" w:hAnsi="Georgia"/>
      <w:b/>
      <w:bCs/>
      <w:color w:val="F5A800"/>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2026-03-09T17:04:55.344Z</dcterms:created>
  <dcterms:modified xsi:type="dcterms:W3CDTF">2026-03-09T17:04:55.345Z</dcterms:modified>
</cp:coreProperties>
</file>

<file path=docProps/custom.xml><?xml version="1.0" encoding="utf-8"?>
<Properties xmlns="http://schemas.openxmlformats.org/officeDocument/2006/custom-properties" xmlns:vt="http://schemas.openxmlformats.org/officeDocument/2006/docPropsVTypes"/>
</file>