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Calibration empirique des valeurs EV — résultats partiels</w:t>
      </w:r>
    </w:p>
    <w:p>
      <w:r>
        <w:t>2026-07-05 · 13 640 parties jouées sur 61 200 prévues (~22 %) · HH vs BW, politique value-greedy des deux côtés, design apparié par seed. ARRÊTÉ pour redémarrage avec le Forgemaster.</w:t>
      </w:r>
    </w:p>
    <w:p>
      <w:pPr>
        <w:pStyle w:val="Heading1"/>
      </w:pPr>
      <w:r>
        <w:t>Méthode</w:t>
      </w:r>
    </w:p>
    <w:p>
      <w:r>
        <w:t>Pour chaque seed, la même partie est rejouée avec UNE différence de départ (ex. +1 Dreadful). Valeur d'un actif en équivalent-dégâts = Δwin(actif) ÷ Δwin(1 PV). Étalon = +4 PV. Moteur : fix majeur '0 dégât = pas de défense' inclus ; fixes mineurs Thundering Hooves postérieurs au lancement non inclus.</w:t>
      </w:r>
    </w:p>
    <w:p>
      <w:pPr>
        <w:pStyle w:val="Heading1"/>
      </w:pPr>
      <w:r>
        <w:t>Étalons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Δwin mesuré</w:t>
            </w:r>
          </w:p>
        </w:tc>
        <w:tc>
          <w:tcPr>
            <w:tcW w:type="dxa" w:w="2880"/>
          </w:tcPr>
          <w:p>
            <w:r>
              <w:t>Valeur d’1 PV</w:t>
            </w:r>
          </w:p>
        </w:tc>
      </w:tr>
      <w:tr>
        <w:tc>
          <w:tcPr>
            <w:tcW w:type="dxa" w:w="2880"/>
          </w:tcPr>
          <w:p>
            <w:r>
              <w:t>HH +4 PV</w:t>
            </w:r>
          </w:p>
        </w:tc>
        <w:tc>
          <w:tcPr>
            <w:tcW w:type="dxa" w:w="2880"/>
          </w:tcPr>
          <w:p>
            <w:r>
              <w:t>14,41 % ± 2,63 (n=340)</w:t>
            </w:r>
          </w:p>
        </w:tc>
        <w:tc>
          <w:tcPr>
            <w:tcW w:type="dxa" w:w="2880"/>
          </w:tcPr>
          <w:p>
            <w:r>
              <w:t>3,60 % de win-rate</w:t>
            </w:r>
          </w:p>
        </w:tc>
      </w:tr>
      <w:tr>
        <w:tc>
          <w:tcPr>
            <w:tcW w:type="dxa" w:w="2880"/>
          </w:tcPr>
          <w:p>
            <w:r>
              <w:t>BW +4 PV</w:t>
            </w:r>
          </w:p>
        </w:tc>
        <w:tc>
          <w:tcPr>
            <w:tcW w:type="dxa" w:w="2880"/>
          </w:tcPr>
          <w:p>
            <w:r>
              <w:t>7,92 % ± 4,06 (n=120)</w:t>
            </w:r>
          </w:p>
        </w:tc>
        <w:tc>
          <w:tcPr>
            <w:tcW w:type="dxa" w:w="2880"/>
          </w:tcPr>
          <w:p>
            <w:r>
              <w:t>1,98 % de win-rate</w:t>
            </w:r>
          </w:p>
        </w:tc>
      </w:tr>
    </w:tbl>
    <w:p>
      <w:r>
        <w:t>Un PV vaut ~2x plus pour HH que pour BW dans ce méta — cohérent avec un HH agro qui gagne les courses aux dégâts serrées.</w:t>
      </w:r>
    </w:p>
    <w:p>
      <w:pPr>
        <w:pStyle w:val="Heading1"/>
      </w:pPr>
      <w:r>
        <w:t>Échelle Dreadful (encodé [3, 3, 3, 5, 0.5])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Jeton</w:t>
            </w:r>
          </w:p>
        </w:tc>
        <w:tc>
          <w:tcPr>
            <w:tcW w:type="dxa" w:w="2160"/>
          </w:tcPr>
          <w:p>
            <w:r>
              <w:t>Δwin</w:t>
            </w:r>
          </w:p>
        </w:tc>
        <w:tc>
          <w:tcPr>
            <w:tcW w:type="dxa" w:w="2160"/>
          </w:tcPr>
          <w:p>
            <w:r>
              <w:t>Mesuré (dmg-equiv)</w:t>
            </w:r>
          </w:p>
        </w:tc>
        <w:tc>
          <w:tcPr>
            <w:tcW w:type="dxa" w:w="2160"/>
          </w:tcPr>
          <w:p>
            <w:r>
              <w:t>Encodé</w:t>
            </w:r>
          </w:p>
        </w:tc>
      </w:tr>
      <w:tr>
        <w:tc>
          <w:tcPr>
            <w:tcW w:type="dxa" w:w="2160"/>
          </w:tcPr>
          <w:p>
            <w:r>
              <w:t>1er (0→1)</w:t>
            </w:r>
          </w:p>
        </w:tc>
        <w:tc>
          <w:tcPr>
            <w:tcW w:type="dxa" w:w="2160"/>
          </w:tcPr>
          <w:p>
            <w:r>
              <w:t>3,75 % ± 4,20</w:t>
            </w:r>
          </w:p>
        </w:tc>
        <w:tc>
          <w:tcPr>
            <w:tcW w:type="dxa" w:w="2160"/>
          </w:tcPr>
          <w:p>
            <w:r>
              <w:t>1,04 ± 1,18</w:t>
            </w:r>
          </w:p>
        </w:tc>
        <w:tc>
          <w:tcPr>
            <w:tcW w:type="dxa" w:w="2160"/>
          </w:tcPr>
          <w:p>
            <w:r>
              <w:t>3,0</w:t>
            </w:r>
          </w:p>
        </w:tc>
      </w:tr>
      <w:tr>
        <w:tc>
          <w:tcPr>
            <w:tcW w:type="dxa" w:w="2160"/>
          </w:tcPr>
          <w:p>
            <w:r>
              <w:t>2e (1→2)</w:t>
            </w:r>
          </w:p>
        </w:tc>
        <w:tc>
          <w:tcPr>
            <w:tcW w:type="dxa" w:w="2160"/>
          </w:tcPr>
          <w:p>
            <w:r>
              <w:t>−8,93 % ± 4,13</w:t>
            </w:r>
          </w:p>
        </w:tc>
        <w:tc>
          <w:tcPr>
            <w:tcW w:type="dxa" w:w="2160"/>
          </w:tcPr>
          <w:p>
            <w:r>
              <w:t>−2,48 ± 1,23</w:t>
            </w:r>
          </w:p>
        </w:tc>
        <w:tc>
          <w:tcPr>
            <w:tcW w:type="dxa" w:w="2160"/>
          </w:tcPr>
          <w:p>
            <w:r>
              <w:t>3,0</w:t>
            </w:r>
          </w:p>
        </w:tc>
      </w:tr>
      <w:tr>
        <w:tc>
          <w:tcPr>
            <w:tcW w:type="dxa" w:w="2160"/>
          </w:tcPr>
          <w:p>
            <w:r>
              <w:t>3e (2→3)</w:t>
            </w:r>
          </w:p>
        </w:tc>
        <w:tc>
          <w:tcPr>
            <w:tcW w:type="dxa" w:w="2160"/>
          </w:tcPr>
          <w:p>
            <w:r>
              <w:t>4,58 % ± 4,39</w:t>
            </w:r>
          </w:p>
        </w:tc>
        <w:tc>
          <w:tcPr>
            <w:tcW w:type="dxa" w:w="2160"/>
          </w:tcPr>
          <w:p>
            <w:r>
              <w:t>1,27 ± 1,24</w:t>
            </w:r>
          </w:p>
        </w:tc>
        <w:tc>
          <w:tcPr>
            <w:tcW w:type="dxa" w:w="2160"/>
          </w:tcPr>
          <w:p>
            <w:r>
              <w:t>3,0</w:t>
            </w:r>
          </w:p>
        </w:tc>
      </w:tr>
      <w:tr>
        <w:tc>
          <w:tcPr>
            <w:tcW w:type="dxa" w:w="2160"/>
          </w:tcPr>
          <w:p>
            <w:r>
              <w:t>4e (3→4)</w:t>
            </w:r>
          </w:p>
        </w:tc>
        <w:tc>
          <w:tcPr>
            <w:tcW w:type="dxa" w:w="2160"/>
          </w:tcPr>
          <w:p>
            <w:r>
              <w:t>3,50 % ± 5,42</w:t>
            </w:r>
          </w:p>
        </w:tc>
        <w:tc>
          <w:tcPr>
            <w:tcW w:type="dxa" w:w="2160"/>
          </w:tcPr>
          <w:p>
            <w:r>
              <w:t>0,97 ± 1,52</w:t>
            </w:r>
          </w:p>
        </w:tc>
        <w:tc>
          <w:tcPr>
            <w:tcW w:type="dxa" w:w="2160"/>
          </w:tcPr>
          <w:p>
            <w:r>
              <w:t>5,0</w:t>
            </w:r>
          </w:p>
        </w:tc>
      </w:tr>
      <w:tr>
        <w:tc>
          <w:tcPr>
            <w:tcW w:type="dxa" w:w="2160"/>
          </w:tcPr>
          <w:p>
            <w:r>
              <w:t>5e (4→5)</w:t>
            </w:r>
          </w:p>
        </w:tc>
        <w:tc>
          <w:tcPr>
            <w:tcW w:type="dxa" w:w="2160"/>
          </w:tcPr>
          <w:p>
            <w:r>
              <w:t>−2,08 % ± 2,00</w:t>
            </w:r>
          </w:p>
        </w:tc>
        <w:tc>
          <w:tcPr>
            <w:tcW w:type="dxa" w:w="2160"/>
          </w:tcPr>
          <w:p>
            <w:r>
              <w:t>−0,58 ± 0,56</w:t>
            </w:r>
          </w:p>
        </w:tc>
        <w:tc>
          <w:tcPr>
            <w:tcW w:type="dxa" w:w="2160"/>
          </w:tcPr>
          <w:p>
            <w:r>
              <w:t>0,5</w:t>
            </w:r>
          </w:p>
        </w:tc>
      </w:tr>
    </w:tbl>
    <w:p>
      <w:r>
        <w:t>Tendance : le Dreadful semble NETTEMENT surévalué (points ~1 vs 3 encodé), et le 4e jeton (Terrorize) ne montre aucun pic à 5. Le 2e jeton négatif est du bruit (marges larges). À confirmer au volume complet — si ça tient, le coach surchasse les Frayeurs.</w:t>
      </w:r>
    </w:p>
    <w:p>
      <w:pPr>
        <w:pStyle w:val="Heading1"/>
      </w:pPr>
      <w:r>
        <w:t>Autres actifs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Actif</w:t>
            </w:r>
          </w:p>
        </w:tc>
        <w:tc>
          <w:tcPr>
            <w:tcW w:type="dxa" w:w="2160"/>
          </w:tcPr>
          <w:p>
            <w:r>
              <w:t>Δwin</w:t>
            </w:r>
          </w:p>
        </w:tc>
        <w:tc>
          <w:tcPr>
            <w:tcW w:type="dxa" w:w="2160"/>
          </w:tcPr>
          <w:p>
            <w:r>
              <w:t>Mesuré</w:t>
            </w:r>
          </w:p>
        </w:tc>
        <w:tc>
          <w:tcPr>
            <w:tcW w:type="dxa" w:w="2160"/>
          </w:tcPr>
          <w:p>
            <w:r>
              <w:t>Encodé</w:t>
            </w:r>
          </w:p>
        </w:tc>
      </w:tr>
      <w:tr>
        <w:tc>
          <w:tcPr>
            <w:tcW w:type="dxa" w:w="2160"/>
          </w:tcPr>
          <w:p>
            <w:r>
              <w:t>Grim Pursuit</w:t>
            </w:r>
          </w:p>
        </w:tc>
        <w:tc>
          <w:tcPr>
            <w:tcW w:type="dxa" w:w="2160"/>
          </w:tcPr>
          <w:p>
            <w:r>
              <w:t>6,03 % ± 2,93 (n=340)</w:t>
            </w:r>
          </w:p>
        </w:tc>
        <w:tc>
          <w:tcPr>
            <w:tcW w:type="dxa" w:w="2160"/>
          </w:tcPr>
          <w:p>
            <w:r>
              <w:t>1,67 ± 0,87</w:t>
            </w:r>
          </w:p>
        </w:tc>
        <w:tc>
          <w:tcPr>
            <w:tcW w:type="dxa" w:w="2160"/>
          </w:tcPr>
          <w:p>
            <w:r>
              <w:t>1,66  ✓ VALIDÉ</w:t>
            </w:r>
          </w:p>
        </w:tc>
      </w:tr>
      <w:tr>
        <w:tc>
          <w:tcPr>
            <w:tcW w:type="dxa" w:w="2160"/>
          </w:tcPr>
          <w:p>
            <w:r>
              <w:t>Time Bomb infligée</w:t>
            </w:r>
          </w:p>
        </w:tc>
        <w:tc>
          <w:tcPr>
            <w:tcW w:type="dxa" w:w="2160"/>
          </w:tcPr>
          <w:p>
            <w:r>
              <w:t>7,08 % ± 5,20</w:t>
            </w:r>
          </w:p>
        </w:tc>
        <w:tc>
          <w:tcPr>
            <w:tcW w:type="dxa" w:w="2160"/>
          </w:tcPr>
          <w:p>
            <w:r>
              <w:t>3,58 ± 3,21</w:t>
            </w:r>
          </w:p>
        </w:tc>
        <w:tc>
          <w:tcPr>
            <w:tcW w:type="dxa" w:w="2160"/>
          </w:tcPr>
          <w:p>
            <w:r>
              <w:t>2,8</w:t>
            </w:r>
          </w:p>
        </w:tc>
      </w:tr>
      <w:tr>
        <w:tc>
          <w:tcPr>
            <w:tcW w:type="dxa" w:w="2160"/>
          </w:tcPr>
          <w:p>
            <w:r>
              <w:t>Agility</w:t>
            </w:r>
          </w:p>
        </w:tc>
        <w:tc>
          <w:tcPr>
            <w:tcW w:type="dxa" w:w="2160"/>
          </w:tcPr>
          <w:p>
            <w:r>
              <w:t>8,75 % ± 5,68</w:t>
            </w:r>
          </w:p>
        </w:tc>
        <w:tc>
          <w:tcPr>
            <w:tcW w:type="dxa" w:w="2160"/>
          </w:tcPr>
          <w:p>
            <w:r>
              <w:t>4,42 ± 3,66</w:t>
            </w:r>
          </w:p>
        </w:tc>
        <w:tc>
          <w:tcPr>
            <w:tcW w:type="dxa" w:w="2160"/>
          </w:tcPr>
          <w:p>
            <w:r>
              <w:t>2,0</w:t>
            </w:r>
          </w:p>
        </w:tc>
      </w:tr>
      <w:tr>
        <w:tc>
          <w:tcPr>
            <w:tcW w:type="dxa" w:w="2160"/>
          </w:tcPr>
          <w:p>
            <w:r>
              <w:t>CP (HH)</w:t>
            </w:r>
          </w:p>
        </w:tc>
        <w:tc>
          <w:tcPr>
            <w:tcW w:type="dxa" w:w="2160"/>
          </w:tcPr>
          <w:p>
            <w:r>
              <w:t>−0,21 % ± 2,48</w:t>
            </w:r>
          </w:p>
        </w:tc>
        <w:tc>
          <w:tcPr>
            <w:tcW w:type="dxa" w:w="2160"/>
          </w:tcPr>
          <w:p>
            <w:r>
              <w:t>−0,06 ± 0,69</w:t>
            </w:r>
          </w:p>
        </w:tc>
        <w:tc>
          <w:tcPr>
            <w:tcW w:type="dxa" w:w="2160"/>
          </w:tcPr>
          <w:p>
            <w:r>
              <w:t>1,5</w:t>
            </w:r>
          </w:p>
        </w:tc>
      </w:tr>
      <w:tr>
        <w:tc>
          <w:tcPr>
            <w:tcW w:type="dxa" w:w="2160"/>
          </w:tcPr>
          <w:p>
            <w:r>
              <w:t>CP (BW)</w:t>
            </w:r>
          </w:p>
        </w:tc>
        <w:tc>
          <w:tcPr>
            <w:tcW w:type="dxa" w:w="2160"/>
          </w:tcPr>
          <w:p>
            <w:r>
              <w:t>−0,91 % ± 2,47</w:t>
            </w:r>
          </w:p>
        </w:tc>
        <w:tc>
          <w:tcPr>
            <w:tcW w:type="dxa" w:w="2160"/>
          </w:tcPr>
          <w:p>
            <w:r>
              <w:t>−0,46 ± 1,27</w:t>
            </w:r>
          </w:p>
        </w:tc>
        <w:tc>
          <w:tcPr>
            <w:tcW w:type="dxa" w:w="2160"/>
          </w:tcPr>
          <w:p>
            <w:r>
              <w:t>1,5</w:t>
            </w:r>
          </w:p>
        </w:tc>
      </w:tr>
      <w:tr>
        <w:tc>
          <w:tcPr>
            <w:tcW w:type="dxa" w:w="2160"/>
          </w:tcPr>
          <w:p>
            <w:r>
              <w:t>Pioche 1 (HH)</w:t>
            </w:r>
          </w:p>
        </w:tc>
        <w:tc>
          <w:tcPr>
            <w:tcW w:type="dxa" w:w="2160"/>
          </w:tcPr>
          <w:p>
            <w:r>
              <w:t>1,67 % ± 4,09</w:t>
            </w:r>
          </w:p>
        </w:tc>
        <w:tc>
          <w:tcPr>
            <w:tcW w:type="dxa" w:w="2160"/>
          </w:tcPr>
          <w:p>
            <w:r>
              <w:t>0,46 ± 1,14</w:t>
            </w:r>
          </w:p>
        </w:tc>
        <w:tc>
          <w:tcPr>
            <w:tcW w:type="dxa" w:w="2160"/>
          </w:tcPr>
          <w:p>
            <w:r>
              <w:t>2,0</w:t>
            </w:r>
          </w:p>
        </w:tc>
      </w:tr>
      <w:tr>
        <w:tc>
          <w:tcPr>
            <w:tcW w:type="dxa" w:w="2160"/>
          </w:tcPr>
          <w:p>
            <w:r>
              <w:t>Pioche 1 (BW)</w:t>
            </w:r>
          </w:p>
        </w:tc>
        <w:tc>
          <w:tcPr>
            <w:tcW w:type="dxa" w:w="2160"/>
          </w:tcPr>
          <w:p>
            <w:r>
              <w:t>−6,25 % ± 3,75</w:t>
            </w:r>
          </w:p>
        </w:tc>
        <w:tc>
          <w:tcPr>
            <w:tcW w:type="dxa" w:w="2160"/>
          </w:tcPr>
          <w:p>
            <w:r>
              <w:t>−3,16 ± 2,49</w:t>
            </w:r>
          </w:p>
        </w:tc>
        <w:tc>
          <w:tcPr>
            <w:tcW w:type="dxa" w:w="2160"/>
          </w:tcPr>
          <w:p>
            <w:r>
              <w:t>2,0</w:t>
            </w:r>
          </w:p>
        </w:tc>
      </w:tr>
      <w:tr>
        <w:tc>
          <w:tcPr>
            <w:tcW w:type="dxa" w:w="2160"/>
          </w:tcPr>
          <w:p>
            <w:r>
              <w:t>Covert Ops</w:t>
            </w:r>
          </w:p>
        </w:tc>
        <w:tc>
          <w:tcPr>
            <w:tcW w:type="dxa" w:w="2160"/>
          </w:tcPr>
          <w:p>
            <w:r>
              <w:t>−0,50 % ± 3,38</w:t>
            </w:r>
          </w:p>
        </w:tc>
        <w:tc>
          <w:tcPr>
            <w:tcW w:type="dxa" w:w="2160"/>
          </w:tcPr>
          <w:p>
            <w:r>
              <w:t>−0,25 ± 1,71</w:t>
            </w:r>
          </w:p>
        </w:tc>
        <w:tc>
          <w:tcPr>
            <w:tcW w:type="dxa" w:w="2160"/>
          </w:tcPr>
          <w:p>
            <w:r>
              <w:t>1,5</w:t>
            </w:r>
          </w:p>
        </w:tc>
      </w:tr>
    </w:tbl>
    <w:p>
      <w:pPr>
        <w:pStyle w:val="Heading1"/>
      </w:pPr>
      <w:r>
        <w:t>Lectures principales (préliminaires)</w:t>
      </w:r>
    </w:p>
    <w:p>
      <w:pPr>
        <w:pStyle w:val="ListBullet"/>
      </w:pPr>
      <w:r>
        <w:t>VALIDÉ : Grim Pursuit à 1,67 mesuré vs 1,66 encodé — la seule valeur dérivée mathématiquement du guide est confirmée par l'expérience. La méthode fonctionne.</w:t>
      </w:r>
    </w:p>
    <w:p>
      <w:pPr>
        <w:pStyle w:val="ListBullet"/>
      </w:pPr>
      <w:r>
        <w:t>SURPRISE : le CP mesure ~0 (vs 1,5 encodé) pour les DEUX héros. Hypothèse : la politique value-greedy dépense mal ses CP, donc un CP marginal ne change rien — à retester avec de meilleures politiques avant de corriger la constante.</w:t>
      </w:r>
    </w:p>
    <w:p>
      <w:pPr>
        <w:pStyle w:val="ListBullet"/>
      </w:pPr>
      <w:r>
        <w:t>Dreadful probablement surévalué (~1 vs 3) ; pas de pic Terrorize au 4e jeton.</w:t>
      </w:r>
    </w:p>
    <w:p>
      <w:pPr>
        <w:pStyle w:val="ListBullet"/>
      </w:pPr>
      <w:r>
        <w:t>Agility sous-évaluée (4,4 mesuré vs 2,0) et Time Bomb un peu au-dessus de l'encodé (3,6 vs 2,8) — les deux dans le sens 'les jetons défensifs/différés de BW valent plus qu'on pensait'.</w:t>
      </w:r>
    </w:p>
    <w:p>
      <w:pPr>
        <w:pStyle w:val="ListBullet"/>
      </w:pPr>
      <w:r>
        <w:t>Équilibre : HH ne gagne que 47,6 % post-fix (l'ancien 69 % venait en partie du bug '0 dégât = défense farmable').</w:t>
      </w:r>
    </w:p>
    <w:p>
      <w:pPr>
        <w:pStyle w:val="Heading1"/>
      </w:pPr>
      <w:r>
        <w:t>Limites</w:t>
      </w:r>
    </w:p>
    <w:p>
      <w:pPr>
        <w:pStyle w:val="ListBullet"/>
      </w:pPr>
      <w:r>
        <w:t>n = 80 à 340 paires par mesure (cible 3 600) : marges ±1 à ±3,7 dmg-equiv — tendances, pas conclusions.</w:t>
      </w:r>
    </w:p>
    <w:p>
      <w:pPr>
        <w:pStyle w:val="ListBullet"/>
      </w:pPr>
      <w:r>
        <w:t>Politique value-greedy des deux côtés : les valeurs reflètent CE joueur-là ; un meilleur joueur exploiterait mieux CP/pioche.</w:t>
      </w:r>
    </w:p>
    <w:p>
      <w:pPr>
        <w:pStyle w:val="ListBullet"/>
      </w:pPr>
      <w:r>
        <w:t>Moteur au lancement du run : sans les fixes Thundering Hooves (impact estimé marginal).</w:t>
      </w:r>
    </w:p>
    <w:p>
      <w:pPr>
        <w:pStyle w:val="ListBullet"/>
      </w:pPr>
      <w:r>
        <w:t>Données brutes conservées : calibration/results/*.jsonl + resultats_partiels_20260705.txt.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