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1F5E"/>
          <w:sz w:val="56"/>
        </w:rPr>
        <w:t>BLACK WIDOW</w:t>
      </w:r>
    </w:p>
    <w:p>
      <w:pPr>
        <w:jc w:val="center"/>
      </w:pPr>
      <w:r>
        <w:rPr>
          <w:i/>
          <w:color w:val="555555"/>
          <w:sz w:val="24"/>
        </w:rPr>
        <w:t>Guide complet &amp; analyse de la session de test — Dice Throne Simulator</w:t>
      </w:r>
    </w:p>
    <w:p/>
    <w:p>
      <w:pPr>
        <w:pStyle w:val="Heading1"/>
      </w:pPr>
      <w:r>
        <w:rPr>
          <w:color w:val="3B1F5E"/>
        </w:rPr>
        <w:t>1. Identité du héros</w:t>
      </w:r>
    </w:p>
    <w:p>
      <w:pPr>
        <w:spacing w:after="120"/>
      </w:pPr>
      <w:r>
        <w:rPr>
          <w:i w:val="0"/>
          <w:sz w:val="21"/>
        </w:rPr>
        <w:t>Anatomie des dés : AABBBC (face 1-2 = A/Espionage, 3-5 = B/Batons, 6 = C/Widow).</w:t>
      </w:r>
    </w:p>
    <w:p>
      <w:pPr>
        <w:spacing w:after="120"/>
      </w:pPr>
      <w:r>
        <w:rPr>
          <w:i w:val="0"/>
          <w:sz w:val="21"/>
        </w:rPr>
        <w:t>Black Widow est une héroïne technique d'attrition et de tempo. Elle ne cherche pas le KO rapide mais l'usure : Time Bomb (dégâts différés indéfendables), Sabotage (défense qui contre fort), Agility (survie en divisant les dégâts) et un moteur d'améliorations via Covert Ops. Ses attaques s'appuient surtout sur les Batons (faces 3-5), les symboles les plus fréquents.</w:t>
      </w:r>
    </w:p>
    <w:p>
      <w:pPr>
        <w:spacing w:after="120"/>
      </w:pPr>
      <w:r>
        <w:rPr>
          <w:i w:val="0"/>
          <w:sz w:val="21"/>
        </w:rPr>
        <w:t>Dans la session, BW s'est montrée plus grinçante : 69% vs HH greedy et 53% en miroir, avec des parties plus longues (~12,6 tours) et un différentiel de dégâts serré — cohérent avec un style d'attrition.</w:t>
      </w:r>
    </w:p>
    <w:p>
      <w:pPr>
        <w:pStyle w:val="Heading1"/>
      </w:pPr>
      <w:r>
        <w:rPr>
          <w:color w:val="3B1F5E"/>
        </w:rPr>
        <w:t>2. Mécaniques centrales</w:t>
      </w:r>
    </w:p>
    <w:p>
      <w:pPr>
        <w:pStyle w:val="Heading2"/>
      </w:pPr>
      <w:r>
        <w:rPr>
          <w:color w:val="3B1F5E"/>
        </w:rPr>
        <w:t>Time Bomb (Bombe à retardement)</w:t>
      </w:r>
    </w:p>
    <w:p>
      <w:pPr>
        <w:pStyle w:val="ListBullet"/>
      </w:pPr>
      <w:r>
        <w:rPr>
          <w:sz w:val="21"/>
        </w:rPr>
        <w:t>Infligée à l'adversaire (cap 2). Démarre à 0:02 (0:01 si l'infligeur a ≥6 upgrades). Chaque Upkeep, l'affligé lance 1 dé : 1-5 avance la bombe (0:02→0:01→détonation = 4 dégâts INDÉFENDABLES), 6 la désamorce.</w:t>
      </w:r>
    </w:p>
    <w:p>
      <w:pPr>
        <w:pStyle w:val="ListBullet"/>
      </w:pPr>
      <w:r>
        <w:rPr>
          <w:sz w:val="21"/>
        </w:rPr>
        <w:t>Mesure : 196 détonations et 99 désamorçages sur 400 parties-BW → ~66% des bombes résolues détonent (4 dégâts sûrs chacune).</w:t>
      </w:r>
    </w:p>
    <w:p>
      <w:pPr>
        <w:pStyle w:val="ListBullet"/>
      </w:pPr>
      <w:r>
        <w:rPr>
          <w:sz w:val="21"/>
        </w:rPr>
        <w:t>C'est une pression lente et fiable, pas un finisher — posez-en tôt et souvent (Hacked, Infiltrate, Undercover Mission!, Covert Mission, riders de Vengeance).</w:t>
      </w:r>
    </w:p>
    <w:p>
      <w:pPr>
        <w:pStyle w:val="Heading2"/>
      </w:pPr>
      <w:r>
        <w:rPr>
          <w:color w:val="3B1F5E"/>
        </w:rPr>
        <w:t>Agility (Agilité)</w:t>
      </w:r>
    </w:p>
    <w:p>
      <w:pPr>
        <w:pStyle w:val="ListBullet"/>
      </w:pPr>
      <w:r>
        <w:rPr>
          <w:sz w:val="21"/>
        </w:rPr>
        <w:t>Cap 2. En recevant des dégâts, dépensez &amp; lancez 1 dé : 1-3 = divise les dégâts par 2 (arrondi sup.), 4-6 = gaspillé — sauf Elude! sur un 5-6, qui ignore TOUS les dégâts.</w:t>
      </w:r>
    </w:p>
    <w:p>
      <w:pPr>
        <w:pStyle w:val="ListBullet"/>
      </w:pPr>
      <w:r>
        <w:rPr>
          <w:sz w:val="21"/>
        </w:rPr>
        <w:t>Mesure : dépensée ~0.93×/partie. Gagnée par Grapple, Vengeance, Infiltrate, Assemble! (+2), Spy Game, Subvert, Recon.</w:t>
      </w:r>
    </w:p>
    <w:p>
      <w:pPr>
        <w:pStyle w:val="Heading2"/>
      </w:pPr>
      <w:r>
        <w:rPr>
          <w:color w:val="3B1F5E"/>
        </w:rPr>
        <w:t>Covert Ops — moteur d'améliorations</w:t>
      </w:r>
    </w:p>
    <w:p>
      <w:pPr>
        <w:pStyle w:val="ListBullet"/>
      </w:pPr>
      <w:r>
        <w:rPr>
          <w:sz w:val="21"/>
        </w:rPr>
        <w:t>Commence à 3 (cap 3, intransférable). Dépense 1×/tour en Main Phase pour : (a) poser une upgrade gratuitement depuis la main, ou (b) creuser le dessus du deck.</w:t>
      </w:r>
    </w:p>
    <w:p>
      <w:pPr>
        <w:pStyle w:val="ListBullet"/>
      </w:pPr>
      <w:r>
        <w:rPr>
          <w:sz w:val="21"/>
        </w:rPr>
        <w:t>Couplé au passif Red Room Training : avec ≥5 upgrades en jeu, +1 dégât à TOUTES les attaques. BW peut aussi poser des upgrades pendant n'importe quelle Phase de Jet.</w:t>
      </w:r>
    </w:p>
    <w:p>
      <w:pPr>
        <w:pStyle w:val="Heading2"/>
      </w:pPr>
      <w:r>
        <w:rPr>
          <w:color w:val="3B1F5E"/>
        </w:rPr>
        <w:t>Sabotage — la défense</w:t>
      </w:r>
    </w:p>
    <w:p>
      <w:pPr>
        <w:spacing w:after="120"/>
      </w:pPr>
      <w:r>
        <w:rPr>
          <w:i w:val="0"/>
          <w:sz w:val="20"/>
        </w:rPr>
        <w:t>Deal 1 dmg per Batons(B) rolled to the attacker. Prevent 1 dmg per Espionage(A) rolled. On a Widow-pair (&gt;=2 C), inflict Time Bomb on the attacker. If you have at least 4 Ability Upgrades in play, you may re-roll any of these dice (same threshold on both versions — Sabotage II only adds a 4th die).</w:t>
      </w:r>
    </w:p>
    <w:p>
      <w:pPr>
        <w:pStyle w:val="ListBullet"/>
      </w:pPr>
      <w:r>
        <w:rPr>
          <w:sz w:val="21"/>
        </w:rPr>
        <w:t>Mesure : 3335 contre-dégâts et 2163 prévenus sur 400 parties-BW → ≈ 8.3 de contre et 5.4 de prévention PAR PARTIE. Aussi punitif que le Hallowed de HH — attaquer BW frontalement fait mal.</w:t>
      </w:r>
    </w:p>
    <w:p>
      <w:pPr>
        <w:pStyle w:val="Heading1"/>
      </w:pPr>
      <w:r>
        <w:rPr>
          <w:color w:val="3B1F5E"/>
        </w:rPr>
        <w:t>3. Capacités — table complète &amp; fréquence d'usage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shd w:val="clear" w:color="auto" w:fill="3B1F5E"/>
          </w:tcPr>
          <w:p>
            <w:pPr>
              <w:spacing w:after="20" w:before="20"/>
            </w:pPr>
            <w:r/>
            <w:r>
              <w:rPr>
                <w:b/>
                <w:color w:val="FFFFFF"/>
                <w:sz w:val="17"/>
              </w:rPr>
              <w:t>Capacité (nom plateau)</w:t>
            </w:r>
          </w:p>
        </w:tc>
        <w:tc>
          <w:tcPr>
            <w:tcW w:type="dxa" w:w="2448"/>
            <w:shd w:val="clear" w:color="auto" w:fill="3B1F5E"/>
          </w:tcPr>
          <w:p>
            <w:pPr>
              <w:spacing w:after="20" w:before="20"/>
            </w:pPr>
            <w:r/>
            <w:r>
              <w:rPr>
                <w:b/>
                <w:color w:val="FFFFFF"/>
                <w:sz w:val="17"/>
              </w:rPr>
              <w:t>Dés requis</w:t>
            </w:r>
          </w:p>
        </w:tc>
        <w:tc>
          <w:tcPr>
            <w:tcW w:type="dxa" w:w="1008"/>
            <w:shd w:val="clear" w:color="auto" w:fill="3B1F5E"/>
          </w:tcPr>
          <w:p>
            <w:pPr>
              <w:spacing w:after="20" w:before="20"/>
            </w:pPr>
            <w:r/>
            <w:r>
              <w:rPr>
                <w:b/>
                <w:color w:val="FFFFFF"/>
                <w:sz w:val="17"/>
              </w:rPr>
              <w:t>Dégâts</w:t>
            </w:r>
          </w:p>
        </w:tc>
        <w:tc>
          <w:tcPr>
            <w:tcW w:type="dxa" w:w="1584"/>
            <w:shd w:val="clear" w:color="auto" w:fill="3B1F5E"/>
          </w:tcPr>
          <w:p>
            <w:pPr>
              <w:spacing w:after="20" w:before="20"/>
            </w:pPr>
            <w:r/>
            <w:r>
              <w:rPr>
                <w:b/>
                <w:color w:val="FFFFFF"/>
                <w:sz w:val="17"/>
              </w:rPr>
              <w:t>Type</w:t>
            </w:r>
          </w:p>
        </w:tc>
        <w:tc>
          <w:tcPr>
            <w:tcW w:type="dxa" w:w="1440"/>
            <w:shd w:val="clear" w:color="auto" w:fill="3B1F5E"/>
          </w:tcPr>
          <w:p>
            <w:pPr>
              <w:spacing w:after="20" w:before="20"/>
            </w:pPr>
            <w:r/>
            <w:r>
              <w:rPr>
                <w:b/>
                <w:color w:val="FFFFFF"/>
                <w:sz w:val="17"/>
              </w:rPr>
              <w:t>Usage session</w:t>
            </w:r>
          </w:p>
        </w:tc>
      </w:tr>
      <w:tr>
        <w:tc>
          <w:tcPr>
            <w:tcW w:type="dxa" w:w="3168"/>
          </w:tcPr>
          <w:p>
            <w:pPr>
              <w:spacing w:after="20" w:before="20"/>
            </w:pPr>
            <w:r/>
            <w:r>
              <w:rPr>
                <w:b w:val="0"/>
                <w:sz w:val="17"/>
              </w:rPr>
              <w:t>Widow's Gauntlets (BBBAA)</w:t>
            </w:r>
          </w:p>
        </w:tc>
        <w:tc>
          <w:tcPr>
            <w:tcW w:type="dxa" w:w="2448"/>
          </w:tcPr>
          <w:p>
            <w:pPr>
              <w:spacing w:after="20" w:before="20"/>
            </w:pPr>
            <w:r/>
            <w:r>
              <w:rPr>
                <w:b w:val="0"/>
                <w:sz w:val="17"/>
              </w:rPr>
              <w:t>BBBAA</w:t>
            </w:r>
          </w:p>
        </w:tc>
        <w:tc>
          <w:tcPr>
            <w:tcW w:type="dxa" w:w="1008"/>
          </w:tcPr>
          <w:p>
            <w:pPr>
              <w:spacing w:after="20" w:before="20"/>
            </w:pPr>
            <w:r/>
            <w:r>
              <w:rPr>
                <w:b w:val="0"/>
                <w:sz w:val="17"/>
              </w:rPr>
              <w:t>6</w:t>
            </w:r>
          </w:p>
        </w:tc>
        <w:tc>
          <w:tcPr>
            <w:tcW w:type="dxa" w:w="1584"/>
          </w:tcPr>
          <w:p>
            <w:pPr>
              <w:spacing w:after="20" w:before="20"/>
            </w:pPr>
            <w:r/>
            <w:r>
              <w:rPr>
                <w:b w:val="0"/>
                <w:sz w:val="17"/>
              </w:rPr>
              <w:t>défendable</w:t>
            </w:r>
          </w:p>
        </w:tc>
        <w:tc>
          <w:tcPr>
            <w:tcW w:type="dxa" w:w="1440"/>
          </w:tcPr>
          <w:p>
            <w:pPr>
              <w:spacing w:after="20" w:before="20"/>
            </w:pPr>
            <w:r/>
            <w:r>
              <w:rPr>
                <w:b w:val="0"/>
                <w:sz w:val="17"/>
              </w:rPr>
              <w:t>32.7%</w:t>
            </w:r>
          </w:p>
        </w:tc>
      </w:tr>
      <w:tr>
        <w:tc>
          <w:tcPr>
            <w:tcW w:type="dxa" w:w="3168"/>
          </w:tcPr>
          <w:p>
            <w:pPr>
              <w:spacing w:after="20" w:before="20"/>
            </w:pPr>
            <w:r/>
            <w:r>
              <w:rPr>
                <w:b w:val="0"/>
                <w:sz w:val="17"/>
              </w:rPr>
              <w:t>Baton Strike 4B (BBBB)</w:t>
            </w:r>
          </w:p>
        </w:tc>
        <w:tc>
          <w:tcPr>
            <w:tcW w:type="dxa" w:w="2448"/>
          </w:tcPr>
          <w:p>
            <w:pPr>
              <w:spacing w:after="20" w:before="20"/>
            </w:pPr>
            <w:r/>
            <w:r>
              <w:rPr>
                <w:b w:val="0"/>
                <w:sz w:val="17"/>
              </w:rPr>
              <w:t>BBBB</w:t>
            </w:r>
          </w:p>
        </w:tc>
        <w:tc>
          <w:tcPr>
            <w:tcW w:type="dxa" w:w="1008"/>
          </w:tcPr>
          <w:p>
            <w:pPr>
              <w:spacing w:after="20" w:before="20"/>
            </w:pPr>
            <w:r/>
            <w:r>
              <w:rPr>
                <w:b w:val="0"/>
                <w:sz w:val="17"/>
              </w:rPr>
              <w:t>6</w:t>
            </w:r>
          </w:p>
        </w:tc>
        <w:tc>
          <w:tcPr>
            <w:tcW w:type="dxa" w:w="1584"/>
          </w:tcPr>
          <w:p>
            <w:pPr>
              <w:spacing w:after="20" w:before="20"/>
            </w:pPr>
            <w:r/>
            <w:r>
              <w:rPr>
                <w:b w:val="0"/>
                <w:sz w:val="17"/>
              </w:rPr>
              <w:t>défendable</w:t>
            </w:r>
          </w:p>
        </w:tc>
        <w:tc>
          <w:tcPr>
            <w:tcW w:type="dxa" w:w="1440"/>
          </w:tcPr>
          <w:p>
            <w:pPr>
              <w:spacing w:after="20" w:before="20"/>
            </w:pPr>
            <w:r/>
            <w:r>
              <w:rPr>
                <w:b w:val="0"/>
                <w:sz w:val="17"/>
              </w:rPr>
              <w:t>22.5%</w:t>
            </w:r>
          </w:p>
        </w:tc>
      </w:tr>
      <w:tr>
        <w:tc>
          <w:tcPr>
            <w:tcW w:type="dxa" w:w="3168"/>
          </w:tcPr>
          <w:p>
            <w:pPr>
              <w:spacing w:after="20" w:before="20"/>
            </w:pPr>
            <w:r/>
            <w:r>
              <w:rPr>
                <w:b w:val="0"/>
                <w:sz w:val="17"/>
              </w:rPr>
              <w:t>Vengeance (5-straight)</w:t>
            </w:r>
          </w:p>
        </w:tc>
        <w:tc>
          <w:tcPr>
            <w:tcW w:type="dxa" w:w="2448"/>
          </w:tcPr>
          <w:p>
            <w:pPr>
              <w:spacing w:after="20" w:before="20"/>
            </w:pPr>
            <w:r/>
            <w:r>
              <w:rPr>
                <w:b w:val="0"/>
                <w:sz w:val="17"/>
              </w:rPr>
              <w:t>Large Straight (5 consecutive)</w:t>
            </w:r>
          </w:p>
        </w:tc>
        <w:tc>
          <w:tcPr>
            <w:tcW w:type="dxa" w:w="1008"/>
          </w:tcPr>
          <w:p>
            <w:pPr>
              <w:spacing w:after="20" w:before="20"/>
            </w:pPr>
            <w:r/>
            <w:r>
              <w:rPr>
                <w:b w:val="0"/>
                <w:sz w:val="17"/>
              </w:rPr>
              <w:t>7</w:t>
            </w:r>
          </w:p>
        </w:tc>
        <w:tc>
          <w:tcPr>
            <w:tcW w:type="dxa" w:w="1584"/>
          </w:tcPr>
          <w:p>
            <w:pPr>
              <w:spacing w:after="20" w:before="20"/>
            </w:pPr>
            <w:r/>
            <w:r>
              <w:rPr>
                <w:b w:val="0"/>
                <w:sz w:val="17"/>
              </w:rPr>
              <w:t>défendable</w:t>
            </w:r>
          </w:p>
        </w:tc>
        <w:tc>
          <w:tcPr>
            <w:tcW w:type="dxa" w:w="1440"/>
          </w:tcPr>
          <w:p>
            <w:pPr>
              <w:spacing w:after="20" w:before="20"/>
            </w:pPr>
            <w:r/>
            <w:r>
              <w:rPr>
                <w:b w:val="0"/>
                <w:sz w:val="17"/>
              </w:rPr>
              <w:t>15.0%</w:t>
            </w:r>
          </w:p>
        </w:tc>
      </w:tr>
      <w:tr>
        <w:tc>
          <w:tcPr>
            <w:tcW w:type="dxa" w:w="3168"/>
          </w:tcPr>
          <w:p>
            <w:pPr>
              <w:spacing w:after="20" w:before="20"/>
            </w:pPr>
            <w:r/>
            <w:r>
              <w:rPr>
                <w:b w:val="0"/>
                <w:sz w:val="17"/>
              </w:rPr>
              <w:t>Hacked (4-straight)</w:t>
            </w:r>
          </w:p>
        </w:tc>
        <w:tc>
          <w:tcPr>
            <w:tcW w:type="dxa" w:w="2448"/>
          </w:tcPr>
          <w:p>
            <w:pPr>
              <w:spacing w:after="20" w:before="20"/>
            </w:pPr>
            <w:r/>
            <w:r>
              <w:rPr>
                <w:b w:val="0"/>
                <w:sz w:val="17"/>
              </w:rPr>
              <w:t>Small Straight (4 consecutive)</w:t>
            </w:r>
          </w:p>
        </w:tc>
        <w:tc>
          <w:tcPr>
            <w:tcW w:type="dxa" w:w="1008"/>
          </w:tcPr>
          <w:p>
            <w:pPr>
              <w:spacing w:after="20" w:before="20"/>
            </w:pPr>
            <w:r/>
            <w:r>
              <w:rPr>
                <w:b w:val="0"/>
                <w:sz w:val="17"/>
              </w:rPr>
              <w:t>5</w:t>
            </w:r>
          </w:p>
        </w:tc>
        <w:tc>
          <w:tcPr>
            <w:tcW w:type="dxa" w:w="1584"/>
          </w:tcPr>
          <w:p>
            <w:pPr>
              <w:spacing w:after="20" w:before="20"/>
            </w:pPr>
            <w:r/>
            <w:r>
              <w:rPr>
                <w:b w:val="0"/>
                <w:sz w:val="17"/>
              </w:rPr>
              <w:t>défendable</w:t>
            </w:r>
          </w:p>
        </w:tc>
        <w:tc>
          <w:tcPr>
            <w:tcW w:type="dxa" w:w="1440"/>
          </w:tcPr>
          <w:p>
            <w:pPr>
              <w:spacing w:after="20" w:before="20"/>
            </w:pPr>
            <w:r/>
            <w:r>
              <w:rPr>
                <w:b w:val="0"/>
                <w:sz w:val="17"/>
              </w:rPr>
              <w:t>11.7%</w:t>
            </w:r>
          </w:p>
        </w:tc>
      </w:tr>
      <w:tr>
        <w:tc>
          <w:tcPr>
            <w:tcW w:type="dxa" w:w="3168"/>
          </w:tcPr>
          <w:p>
            <w:pPr>
              <w:spacing w:after="20" w:before="20"/>
            </w:pPr>
            <w:r/>
            <w:r>
              <w:rPr>
                <w:b w:val="0"/>
                <w:sz w:val="17"/>
              </w:rPr>
              <w:t>Baton Strike 3B (BBB)</w:t>
            </w:r>
          </w:p>
        </w:tc>
        <w:tc>
          <w:tcPr>
            <w:tcW w:type="dxa" w:w="2448"/>
          </w:tcPr>
          <w:p>
            <w:pPr>
              <w:spacing w:after="20" w:before="20"/>
            </w:pPr>
            <w:r/>
            <w:r>
              <w:rPr>
                <w:b w:val="0"/>
                <w:sz w:val="17"/>
              </w:rPr>
              <w:t>BBB</w:t>
            </w:r>
          </w:p>
        </w:tc>
        <w:tc>
          <w:tcPr>
            <w:tcW w:type="dxa" w:w="1008"/>
          </w:tcPr>
          <w:p>
            <w:pPr>
              <w:spacing w:after="20" w:before="20"/>
            </w:pPr>
            <w:r/>
            <w:r>
              <w:rPr>
                <w:b w:val="0"/>
                <w:sz w:val="17"/>
              </w:rPr>
              <w:t>5</w:t>
            </w:r>
          </w:p>
        </w:tc>
        <w:tc>
          <w:tcPr>
            <w:tcW w:type="dxa" w:w="1584"/>
          </w:tcPr>
          <w:p>
            <w:pPr>
              <w:spacing w:after="20" w:before="20"/>
            </w:pPr>
            <w:r/>
            <w:r>
              <w:rPr>
                <w:b w:val="0"/>
                <w:sz w:val="17"/>
              </w:rPr>
              <w:t>défendable</w:t>
            </w:r>
          </w:p>
        </w:tc>
        <w:tc>
          <w:tcPr>
            <w:tcW w:type="dxa" w:w="1440"/>
          </w:tcPr>
          <w:p>
            <w:pPr>
              <w:spacing w:after="20" w:before="20"/>
            </w:pPr>
            <w:r/>
            <w:r>
              <w:rPr>
                <w:b w:val="0"/>
                <w:sz w:val="17"/>
              </w:rPr>
              <w:t>6.1%</w:t>
            </w:r>
          </w:p>
        </w:tc>
      </w:tr>
      <w:tr>
        <w:tc>
          <w:tcPr>
            <w:tcW w:type="dxa" w:w="3168"/>
          </w:tcPr>
          <w:p>
            <w:pPr>
              <w:spacing w:after="20" w:before="20"/>
            </w:pPr>
            <w:r/>
            <w:r>
              <w:rPr>
                <w:b w:val="0"/>
                <w:sz w:val="17"/>
              </w:rPr>
              <w:t>Baton Strike 5B (BBBBB)</w:t>
            </w:r>
          </w:p>
        </w:tc>
        <w:tc>
          <w:tcPr>
            <w:tcW w:type="dxa" w:w="2448"/>
          </w:tcPr>
          <w:p>
            <w:pPr>
              <w:spacing w:after="20" w:before="20"/>
            </w:pPr>
            <w:r/>
            <w:r>
              <w:rPr>
                <w:b w:val="0"/>
                <w:sz w:val="17"/>
              </w:rPr>
              <w:t>BBBBB</w:t>
            </w:r>
          </w:p>
        </w:tc>
        <w:tc>
          <w:tcPr>
            <w:tcW w:type="dxa" w:w="1008"/>
          </w:tcPr>
          <w:p>
            <w:pPr>
              <w:spacing w:after="20" w:before="20"/>
            </w:pPr>
            <w:r/>
            <w:r>
              <w:rPr>
                <w:b w:val="0"/>
                <w:sz w:val="17"/>
              </w:rPr>
              <w:t>7</w:t>
            </w:r>
          </w:p>
        </w:tc>
        <w:tc>
          <w:tcPr>
            <w:tcW w:type="dxa" w:w="1584"/>
          </w:tcPr>
          <w:p>
            <w:pPr>
              <w:spacing w:after="20" w:before="20"/>
            </w:pPr>
            <w:r/>
            <w:r>
              <w:rPr>
                <w:b w:val="0"/>
                <w:sz w:val="17"/>
              </w:rPr>
              <w:t>défendable</w:t>
            </w:r>
          </w:p>
        </w:tc>
        <w:tc>
          <w:tcPr>
            <w:tcW w:type="dxa" w:w="1440"/>
          </w:tcPr>
          <w:p>
            <w:pPr>
              <w:spacing w:after="20" w:before="20"/>
            </w:pPr>
            <w:r/>
            <w:r>
              <w:rPr>
                <w:b w:val="0"/>
                <w:sz w:val="17"/>
              </w:rPr>
              <w:t>4.4%</w:t>
            </w:r>
          </w:p>
        </w:tc>
      </w:tr>
      <w:tr>
        <w:tc>
          <w:tcPr>
            <w:tcW w:type="dxa" w:w="3168"/>
          </w:tcPr>
          <w:p>
            <w:pPr>
              <w:spacing w:after="20" w:before="20"/>
            </w:pPr>
            <w:r/>
            <w:r>
              <w:rPr>
                <w:b w:val="0"/>
                <w:sz w:val="17"/>
              </w:rPr>
              <w:t>Subvert</w:t>
            </w:r>
          </w:p>
        </w:tc>
        <w:tc>
          <w:tcPr>
            <w:tcW w:type="dxa" w:w="2448"/>
          </w:tcPr>
          <w:p>
            <w:pPr>
              <w:spacing w:after="20" w:before="20"/>
            </w:pPr>
            <w:r/>
            <w:r>
              <w:rPr>
                <w:b w:val="0"/>
                <w:sz w:val="17"/>
              </w:rPr>
              <w:t>ABBB</w:t>
            </w:r>
          </w:p>
        </w:tc>
        <w:tc>
          <w:tcPr>
            <w:tcW w:type="dxa" w:w="1008"/>
          </w:tcPr>
          <w:p>
            <w:pPr>
              <w:spacing w:after="20" w:before="20"/>
            </w:pPr>
            <w:r/>
            <w:r>
              <w:rPr>
                <w:b w:val="0"/>
                <w:sz w:val="17"/>
              </w:rPr>
              <w:t>0</w:t>
            </w:r>
          </w:p>
        </w:tc>
        <w:tc>
          <w:tcPr>
            <w:tcW w:type="dxa" w:w="1584"/>
          </w:tcPr>
          <w:p>
            <w:pPr>
              <w:spacing w:after="20" w:before="20"/>
            </w:pPr>
            <w:r/>
            <w:r>
              <w:rPr>
                <w:b w:val="0"/>
                <w:sz w:val="17"/>
              </w:rPr>
              <w:t>défendable</w:t>
            </w:r>
          </w:p>
        </w:tc>
        <w:tc>
          <w:tcPr>
            <w:tcW w:type="dxa" w:w="1440"/>
          </w:tcPr>
          <w:p>
            <w:pPr>
              <w:spacing w:after="20" w:before="20"/>
            </w:pPr>
            <w:r/>
            <w:r>
              <w:rPr>
                <w:b w:val="0"/>
                <w:sz w:val="17"/>
              </w:rPr>
              <w:t>2.2%</w:t>
            </w:r>
          </w:p>
        </w:tc>
      </w:tr>
      <w:tr>
        <w:tc>
          <w:tcPr>
            <w:tcW w:type="dxa" w:w="3168"/>
          </w:tcPr>
          <w:p>
            <w:pPr>
              <w:spacing w:after="20" w:before="20"/>
            </w:pPr>
            <w:r/>
            <w:r>
              <w:rPr>
                <w:b w:val="0"/>
                <w:sz w:val="17"/>
              </w:rPr>
              <w:t>Infiltrate (AABC)</w:t>
            </w:r>
          </w:p>
        </w:tc>
        <w:tc>
          <w:tcPr>
            <w:tcW w:type="dxa" w:w="2448"/>
          </w:tcPr>
          <w:p>
            <w:pPr>
              <w:spacing w:after="20" w:before="20"/>
            </w:pPr>
            <w:r/>
            <w:r>
              <w:rPr>
                <w:b w:val="0"/>
                <w:sz w:val="17"/>
              </w:rPr>
              <w:t>AABC</w:t>
            </w:r>
          </w:p>
        </w:tc>
        <w:tc>
          <w:tcPr>
            <w:tcW w:type="dxa" w:w="1008"/>
          </w:tcPr>
          <w:p>
            <w:pPr>
              <w:spacing w:after="20" w:before="20"/>
            </w:pPr>
            <w:r/>
            <w:r>
              <w:rPr>
                <w:b w:val="0"/>
                <w:sz w:val="17"/>
              </w:rPr>
              <w:t>0</w:t>
            </w:r>
          </w:p>
        </w:tc>
        <w:tc>
          <w:tcPr>
            <w:tcW w:type="dxa" w:w="1584"/>
          </w:tcPr>
          <w:p>
            <w:pPr>
              <w:spacing w:after="20" w:before="20"/>
            </w:pPr>
            <w:r/>
            <w:r>
              <w:rPr>
                <w:b w:val="0"/>
                <w:sz w:val="17"/>
              </w:rPr>
              <w:t>défendable</w:t>
            </w:r>
          </w:p>
        </w:tc>
        <w:tc>
          <w:tcPr>
            <w:tcW w:type="dxa" w:w="1440"/>
          </w:tcPr>
          <w:p>
            <w:pPr>
              <w:spacing w:after="20" w:before="20"/>
            </w:pPr>
            <w:r/>
            <w:r>
              <w:rPr>
                <w:b w:val="0"/>
                <w:sz w:val="17"/>
              </w:rPr>
              <w:t>2.1%</w:t>
            </w:r>
          </w:p>
        </w:tc>
      </w:tr>
      <w:tr>
        <w:tc>
          <w:tcPr>
            <w:tcW w:type="dxa" w:w="3168"/>
          </w:tcPr>
          <w:p>
            <w:pPr>
              <w:spacing w:after="20" w:before="20"/>
            </w:pPr>
            <w:r/>
            <w:r>
              <w:rPr>
                <w:b w:val="0"/>
                <w:sz w:val="17"/>
              </w:rPr>
              <w:t>Covert Mission</w:t>
            </w:r>
          </w:p>
        </w:tc>
        <w:tc>
          <w:tcPr>
            <w:tcW w:type="dxa" w:w="2448"/>
          </w:tcPr>
          <w:p>
            <w:pPr>
              <w:spacing w:after="20" w:before="20"/>
            </w:pPr>
            <w:r/>
            <w:r>
              <w:rPr>
                <w:b w:val="0"/>
                <w:sz w:val="17"/>
              </w:rPr>
              <w:t>AABB</w:t>
            </w:r>
          </w:p>
        </w:tc>
        <w:tc>
          <w:tcPr>
            <w:tcW w:type="dxa" w:w="1008"/>
          </w:tcPr>
          <w:p>
            <w:pPr>
              <w:spacing w:after="20" w:before="20"/>
            </w:pPr>
            <w:r/>
            <w:r>
              <w:rPr>
                <w:b w:val="0"/>
                <w:sz w:val="17"/>
              </w:rPr>
              <w:t>0</w:t>
            </w:r>
          </w:p>
        </w:tc>
        <w:tc>
          <w:tcPr>
            <w:tcW w:type="dxa" w:w="1584"/>
          </w:tcPr>
          <w:p>
            <w:pPr>
              <w:spacing w:after="20" w:before="20"/>
            </w:pPr>
            <w:r/>
            <w:r>
              <w:rPr>
                <w:b w:val="0"/>
                <w:sz w:val="17"/>
              </w:rPr>
              <w:t>défendable</w:t>
            </w:r>
          </w:p>
        </w:tc>
        <w:tc>
          <w:tcPr>
            <w:tcW w:type="dxa" w:w="1440"/>
          </w:tcPr>
          <w:p>
            <w:pPr>
              <w:spacing w:after="20" w:before="20"/>
            </w:pPr>
            <w:r/>
            <w:r>
              <w:rPr>
                <w:b w:val="0"/>
                <w:sz w:val="17"/>
              </w:rPr>
              <w:t>1.8%</w:t>
            </w:r>
          </w:p>
        </w:tc>
      </w:tr>
      <w:tr>
        <w:tc>
          <w:tcPr>
            <w:tcW w:type="dxa" w:w="3168"/>
          </w:tcPr>
          <w:p>
            <w:pPr>
              <w:spacing w:after="20" w:before="20"/>
            </w:pPr>
            <w:r/>
            <w:r>
              <w:rPr>
                <w:b w:val="0"/>
                <w:sz w:val="17"/>
              </w:rPr>
              <w:t>Spy Game</w:t>
            </w:r>
          </w:p>
        </w:tc>
        <w:tc>
          <w:tcPr>
            <w:tcW w:type="dxa" w:w="2448"/>
          </w:tcPr>
          <w:p>
            <w:pPr>
              <w:spacing w:after="20" w:before="20"/>
            </w:pPr>
            <w:r/>
            <w:r>
              <w:rPr>
                <w:b w:val="0"/>
                <w:sz w:val="17"/>
              </w:rPr>
              <w:t>AABCC</w:t>
            </w:r>
          </w:p>
        </w:tc>
        <w:tc>
          <w:tcPr>
            <w:tcW w:type="dxa" w:w="1008"/>
          </w:tcPr>
          <w:p>
            <w:pPr>
              <w:spacing w:after="20" w:before="20"/>
            </w:pPr>
            <w:r/>
            <w:r>
              <w:rPr>
                <w:b w:val="0"/>
                <w:sz w:val="17"/>
              </w:rPr>
              <w:t>6</w:t>
            </w:r>
          </w:p>
        </w:tc>
        <w:tc>
          <w:tcPr>
            <w:tcW w:type="dxa" w:w="1584"/>
          </w:tcPr>
          <w:p>
            <w:pPr>
              <w:spacing w:after="20" w:before="20"/>
            </w:pPr>
            <w:r/>
            <w:r>
              <w:rPr>
                <w:b w:val="0"/>
                <w:sz w:val="17"/>
              </w:rPr>
              <w:t>indéfendable</w:t>
            </w:r>
          </w:p>
        </w:tc>
        <w:tc>
          <w:tcPr>
            <w:tcW w:type="dxa" w:w="1440"/>
          </w:tcPr>
          <w:p>
            <w:pPr>
              <w:spacing w:after="20" w:before="20"/>
            </w:pPr>
            <w:r/>
            <w:r>
              <w:rPr>
                <w:b w:val="0"/>
                <w:sz w:val="17"/>
              </w:rPr>
              <w:t>0.8%</w:t>
            </w:r>
          </w:p>
        </w:tc>
      </w:tr>
      <w:tr>
        <w:tc>
          <w:tcPr>
            <w:tcW w:type="dxa" w:w="3168"/>
          </w:tcPr>
          <w:p>
            <w:pPr>
              <w:spacing w:after="20" w:before="20"/>
            </w:pPr>
            <w:r/>
            <w:r>
              <w:rPr>
                <w:b w:val="0"/>
                <w:sz w:val="17"/>
              </w:rPr>
              <w:t>Grapple (CCCC)</w:t>
            </w:r>
          </w:p>
        </w:tc>
        <w:tc>
          <w:tcPr>
            <w:tcW w:type="dxa" w:w="2448"/>
          </w:tcPr>
          <w:p>
            <w:pPr>
              <w:spacing w:after="20" w:before="20"/>
            </w:pPr>
            <w:r/>
            <w:r>
              <w:rPr>
                <w:b w:val="0"/>
                <w:sz w:val="17"/>
              </w:rPr>
              <w:t>CCCC</w:t>
            </w:r>
          </w:p>
        </w:tc>
        <w:tc>
          <w:tcPr>
            <w:tcW w:type="dxa" w:w="1008"/>
          </w:tcPr>
          <w:p>
            <w:pPr>
              <w:spacing w:after="20" w:before="20"/>
            </w:pPr>
            <w:r/>
            <w:r>
              <w:rPr>
                <w:b w:val="0"/>
                <w:sz w:val="17"/>
              </w:rPr>
              <w:t>6</w:t>
            </w:r>
          </w:p>
        </w:tc>
        <w:tc>
          <w:tcPr>
            <w:tcW w:type="dxa" w:w="1584"/>
          </w:tcPr>
          <w:p>
            <w:pPr>
              <w:spacing w:after="20" w:before="20"/>
            </w:pPr>
            <w:r/>
            <w:r>
              <w:rPr>
                <w:b w:val="0"/>
                <w:sz w:val="17"/>
              </w:rPr>
              <w:t>indéfendable</w:t>
            </w:r>
          </w:p>
        </w:tc>
        <w:tc>
          <w:tcPr>
            <w:tcW w:type="dxa" w:w="1440"/>
          </w:tcPr>
          <w:p>
            <w:pPr>
              <w:spacing w:after="20" w:before="20"/>
            </w:pPr>
            <w:r/>
            <w:r>
              <w:rPr>
                <w:b w:val="0"/>
                <w:sz w:val="17"/>
              </w:rPr>
              <w:t>0.3%</w:t>
            </w:r>
          </w:p>
        </w:tc>
      </w:tr>
      <w:tr>
        <w:tc>
          <w:tcPr>
            <w:tcW w:type="dxa" w:w="3168"/>
          </w:tcPr>
          <w:p>
            <w:pPr>
              <w:spacing w:after="20" w:before="20"/>
            </w:pPr>
            <w:r/>
            <w:r>
              <w:rPr>
                <w:b w:val="0"/>
                <w:sz w:val="17"/>
              </w:rPr>
              <w:t>Recon</w:t>
            </w:r>
          </w:p>
        </w:tc>
        <w:tc>
          <w:tcPr>
            <w:tcW w:type="dxa" w:w="2448"/>
          </w:tcPr>
          <w:p>
            <w:pPr>
              <w:spacing w:after="20" w:before="20"/>
            </w:pPr>
            <w:r/>
            <w:r>
              <w:rPr>
                <w:b w:val="0"/>
                <w:sz w:val="17"/>
              </w:rPr>
              <w:t>CCC</w:t>
            </w:r>
          </w:p>
        </w:tc>
        <w:tc>
          <w:tcPr>
            <w:tcW w:type="dxa" w:w="1008"/>
          </w:tcPr>
          <w:p>
            <w:pPr>
              <w:spacing w:after="20" w:before="20"/>
            </w:pPr>
            <w:r/>
            <w:r>
              <w:rPr>
                <w:b w:val="0"/>
                <w:sz w:val="17"/>
              </w:rPr>
              <w:t>0</w:t>
            </w:r>
          </w:p>
        </w:tc>
        <w:tc>
          <w:tcPr>
            <w:tcW w:type="dxa" w:w="1584"/>
          </w:tcPr>
          <w:p>
            <w:pPr>
              <w:spacing w:after="20" w:before="20"/>
            </w:pPr>
            <w:r/>
            <w:r>
              <w:rPr>
                <w:b w:val="0"/>
                <w:sz w:val="17"/>
              </w:rPr>
              <w:t>défendable</w:t>
            </w:r>
          </w:p>
        </w:tc>
        <w:tc>
          <w:tcPr>
            <w:tcW w:type="dxa" w:w="1440"/>
          </w:tcPr>
          <w:p>
            <w:pPr>
              <w:spacing w:after="20" w:before="20"/>
            </w:pPr>
            <w:r/>
            <w:r>
              <w:rPr>
                <w:b w:val="0"/>
                <w:sz w:val="17"/>
              </w:rPr>
              <w:t>0.3%</w:t>
            </w:r>
          </w:p>
        </w:tc>
      </w:tr>
      <w:tr>
        <w:tc>
          <w:tcPr>
            <w:tcW w:type="dxa" w:w="3168"/>
          </w:tcPr>
          <w:p>
            <w:pPr>
              <w:spacing w:after="20" w:before="20"/>
            </w:pPr>
            <w:r/>
            <w:r>
              <w:rPr>
                <w:b w:val="0"/>
                <w:sz w:val="17"/>
              </w:rPr>
              <w:t>Widow's Bite (CCCCC)</w:t>
            </w:r>
          </w:p>
        </w:tc>
        <w:tc>
          <w:tcPr>
            <w:tcW w:type="dxa" w:w="2448"/>
          </w:tcPr>
          <w:p>
            <w:pPr>
              <w:spacing w:after="20" w:before="20"/>
            </w:pPr>
            <w:r/>
            <w:r>
              <w:rPr>
                <w:b w:val="0"/>
                <w:sz w:val="17"/>
              </w:rPr>
              <w:t>CCCCC</w:t>
            </w:r>
          </w:p>
        </w:tc>
        <w:tc>
          <w:tcPr>
            <w:tcW w:type="dxa" w:w="1008"/>
          </w:tcPr>
          <w:p>
            <w:pPr>
              <w:spacing w:after="20" w:before="20"/>
            </w:pPr>
            <w:r/>
            <w:r>
              <w:rPr>
                <w:b w:val="0"/>
                <w:sz w:val="17"/>
              </w:rPr>
              <w:t>10</w:t>
            </w:r>
          </w:p>
        </w:tc>
        <w:tc>
          <w:tcPr>
            <w:tcW w:type="dxa" w:w="1584"/>
          </w:tcPr>
          <w:p>
            <w:pPr>
              <w:spacing w:after="20" w:before="20"/>
            </w:pPr>
            <w:r/>
            <w:r>
              <w:rPr>
                <w:b w:val="0"/>
                <w:sz w:val="17"/>
              </w:rPr>
              <w:t>indéfendable</w:t>
            </w:r>
          </w:p>
        </w:tc>
        <w:tc>
          <w:tcPr>
            <w:tcW w:type="dxa" w:w="1440"/>
          </w:tcPr>
          <w:p>
            <w:pPr>
              <w:spacing w:after="20" w:before="20"/>
            </w:pPr>
            <w:r/>
            <w:r>
              <w:rPr>
                <w:b w:val="0"/>
                <w:sz w:val="17"/>
              </w:rPr>
              <w:t>0.1%</w:t>
            </w:r>
          </w:p>
        </w:tc>
      </w:tr>
    </w:tbl>
    <w:p>
      <w:pPr>
        <w:spacing w:after="200"/>
      </w:pPr>
      <w:r>
        <w:rPr>
          <w:i w:val="0"/>
          <w:sz w:val="19"/>
        </w:rPr>
        <w:t>Total : 2292 activations observées (parties-BW). Lecture : l'offense repose massivement sur les Batons — Widow's Gauntlets (33%) et les trois Baton Strike (~33% cumulés) —, complétée par les suites Vengeance et Hacked (qui pose une Time Bomb). À l'inverse Grapple (CCCC) et l'Ultimate Widow's Bite (CCCCC) sont quasi absents (0,3% / 0,1%) : ils exigent des 6 (Widow), rares — ne comptez pas dessus.</w:t>
      </w:r>
    </w:p>
    <w:p>
      <w:pPr>
        <w:pStyle w:val="Heading1"/>
      </w:pPr>
      <w:r>
        <w:rPr>
          <w:color w:val="3B1F5E"/>
        </w:rPr>
        <w:t>4. Cartes clés</w:t>
      </w:r>
    </w:p>
    <w:p>
      <w:pPr>
        <w:pStyle w:val="ListBullet"/>
      </w:pPr>
      <w:r>
        <w:rPr>
          <w:sz w:val="21"/>
        </w:rPr>
        <w:t>Upgrades : Baton Strike II, Widow's Gauntlets II (+ Covert Mission), Red Room Training II (pioche), Grapple II (+ Recon), Hacked II, Sabotage II (défense +1 dé), Infiltrate II (+ Spy Game), Vengeance II (+ Subvert).</w:t>
      </w:r>
    </w:p>
    <w:p>
      <w:pPr>
        <w:pStyle w:val="ListBullet"/>
      </w:pPr>
      <w:r>
        <w:rPr>
          <w:sz w:val="21"/>
        </w:rPr>
        <w:t>Actions : Recoil! (défense, 0 CP), Subversion! (+2 dmg, +1/upgrade posée ce tour), Assemble! (+2 Agility, instant), Elude! (ignore tous les dégâts sur Agility 5-6), Undercover Mission! &amp; Cunning! (Main Phase), Covert Mission (alt de Widow's Gauntlets II).</w:t>
      </w:r>
    </w:p>
    <w:p>
      <w:pPr>
        <w:pStyle w:val="Heading1"/>
      </w:pPr>
      <w:r>
        <w:rPr>
          <w:color w:val="3B1F5E"/>
        </w:rPr>
        <w:t>5. Plan de jeu recommandé (fondé sur les données)</w:t>
      </w:r>
    </w:p>
    <w:p>
      <w:pPr>
        <w:pStyle w:val="ListBullet"/>
      </w:pPr>
      <w:r>
        <w:rPr>
          <w:sz w:val="21"/>
        </w:rPr>
        <w:t>Jouez l'attrition : posez des Time Bomb tôt et empilez-les (cap 2) pour une pression d'Upkeep constante.</w:t>
      </w:r>
    </w:p>
    <w:p>
      <w:pPr>
        <w:pStyle w:val="ListBullet"/>
      </w:pPr>
      <w:r>
        <w:rPr>
          <w:sz w:val="21"/>
        </w:rPr>
        <w:t>Montez le moteur d'upgrades via Covert Ops : visez 5 upgrades en jeu pour le +1 dégât global (Red Room), et posez-les gratuitement / pendant les Phases de Jet.</w:t>
      </w:r>
    </w:p>
    <w:p>
      <w:pPr>
        <w:pStyle w:val="ListBullet"/>
      </w:pPr>
      <w:r>
        <w:rPr>
          <w:sz w:val="21"/>
        </w:rPr>
        <w:t>Défendez avec Sabotage sans crainte (~8 contre/partie) ; gardez Agility + Elude! pour absorber les gros coups.</w:t>
      </w:r>
    </w:p>
    <w:p>
      <w:pPr>
        <w:pStyle w:val="ListBullet"/>
      </w:pPr>
      <w:r>
        <w:rPr>
          <w:sz w:val="21"/>
        </w:rPr>
        <w:t>Comptez sur les Batons : Widow's Gauntlets et Baton Strike sont vos coups les plus fiables (symboles fréquents). Traitez Grapple/Widow's Bite comme des bonus opportunistes, jamais comme un plan.</w:t>
      </w:r>
    </w:p>
    <w:p>
      <w:pPr>
        <w:pStyle w:val="ListBullet"/>
      </w:pPr>
      <w:r>
        <w:rPr>
          <w:sz w:val="21"/>
        </w:rPr>
        <w:t>Vengeance et Hacked (suites) cumulent dégâts + Agility/Time Bomb : excellents quand les dés s'y prêtent.</w:t>
      </w:r>
    </w:p>
    <w:p>
      <w:pPr>
        <w:pStyle w:val="Heading2"/>
      </w:pPr>
      <w:r>
        <w:rPr>
          <w:color w:val="3B1F5E"/>
        </w:rPr>
        <w:t>La session de test — ce qui a été mesuré</w:t>
      </w:r>
    </w:p>
    <w:p>
      <w:pPr>
        <w:spacing w:after="120"/>
      </w:pPr>
      <w:r>
        <w:rPr>
          <w:i w:val="0"/>
          <w:sz w:val="21"/>
        </w:rPr>
        <w:t>Ce guide s'appuie sur la première session d'entraînement par auto-jeu (self-play) du moteur, PUIS sur 400 parties d'analyse (100 par matchup) rejouées avec le réseau obtenu, où le réseau entraîné (« learned ») affronte la politique de référence « greedy » (qui joue toujours l'attaque de dégâts brute maximale).</w:t>
      </w:r>
    </w:p>
    <w:p>
      <w:pPr>
        <w:spacing w:after="120"/>
      </w:pPr>
      <w:r>
        <w:rPr>
          <w:i/>
          <w:color w:val="555555"/>
          <w:sz w:val="19"/>
        </w:rPr>
        <w:t>Deux précisions honnêtes sur la portée : (1) le réseau est FRAIS — entraîné depuis zéro sur le moteur actuel (les anciens poids d'avant la refonte ont été sauvegardés à part), donc les tendances reflètent bien ce que l'IA apprend du jeu ; en revanche l'entraînement est encore COURT (runs de test, pas au plateau) : les chiffres de force sont indicatifs, pas définitifs. (2) Les « nuls » sont des doubles KO simultanés (Golden Rule #4 : dégâts appliqués en même temps), pas des parties bloquées. Les pourcentages d'utilisation des capacités agrègent le jeu des deux camps (learned + greedy) et décrivent donc comment le héros se joue en général, pas seulement l'IA.</w:t>
      </w:r>
    </w:p>
    <w:p>
      <w:pPr>
        <w:pStyle w:val="Heading2"/>
      </w:pPr>
      <w:r>
        <w:rPr>
          <w:color w:val="3B1F5E"/>
        </w:rPr>
        <w:t>Résultats de la session (100 parties par matchup)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312"/>
            <w:shd w:val="clear" w:color="auto" w:fill="3B1F5E"/>
          </w:tcPr>
          <w:p>
            <w:pPr>
              <w:spacing w:after="20" w:before="20"/>
            </w:pPr>
            <w:r/>
            <w:r>
              <w:rPr>
                <w:b/>
                <w:color w:val="FFFFFF"/>
                <w:sz w:val="18"/>
              </w:rPr>
              <w:t>Matchup (learned vs greedy)</w:t>
            </w:r>
          </w:p>
        </w:tc>
        <w:tc>
          <w:tcPr>
            <w:tcW w:type="dxa" w:w="1440"/>
            <w:shd w:val="clear" w:color="auto" w:fill="3B1F5E"/>
          </w:tcPr>
          <w:p>
            <w:pPr>
              <w:spacing w:after="20" w:before="20"/>
            </w:pPr>
            <w:r/>
            <w:r>
              <w:rPr>
                <w:b/>
                <w:color w:val="FFFFFF"/>
                <w:sz w:val="18"/>
              </w:rPr>
              <w:t>V–D–Nul</w:t>
            </w:r>
          </w:p>
        </w:tc>
        <w:tc>
          <w:tcPr>
            <w:tcW w:type="dxa" w:w="1296"/>
            <w:shd w:val="clear" w:color="auto" w:fill="3B1F5E"/>
          </w:tcPr>
          <w:p>
            <w:pPr>
              <w:spacing w:after="20" w:before="20"/>
            </w:pPr>
            <w:r/>
            <w:r>
              <w:rPr>
                <w:b/>
                <w:color w:val="FFFFFF"/>
                <w:sz w:val="18"/>
              </w:rPr>
              <w:t>Winrate*</w:t>
            </w:r>
          </w:p>
        </w:tc>
        <w:tc>
          <w:tcPr>
            <w:tcW w:type="dxa" w:w="1296"/>
            <w:shd w:val="clear" w:color="auto" w:fill="3B1F5E"/>
          </w:tcPr>
          <w:p>
            <w:pPr>
              <w:spacing w:after="20" w:before="20"/>
            </w:pPr>
            <w:r/>
            <w:r>
              <w:rPr>
                <w:b/>
                <w:color w:val="FFFFFF"/>
                <w:sz w:val="18"/>
              </w:rPr>
              <w:t>Tours moy.</w:t>
            </w:r>
          </w:p>
        </w:tc>
        <w:tc>
          <w:tcPr>
            <w:tcW w:type="dxa" w:w="1440"/>
            <w:shd w:val="clear" w:color="auto" w:fill="3B1F5E"/>
          </w:tcPr>
          <w:p>
            <w:pPr>
              <w:spacing w:after="20" w:before="20"/>
            </w:pPr>
            <w:r/>
            <w:r>
              <w:rPr>
                <w:b/>
                <w:color w:val="FFFFFF"/>
                <w:sz w:val="18"/>
              </w:rPr>
              <w:t>Dég. infligés</w:t>
            </w:r>
          </w:p>
        </w:tc>
        <w:tc>
          <w:tcPr>
            <w:tcW w:type="dxa" w:w="1296"/>
            <w:shd w:val="clear" w:color="auto" w:fill="3B1F5E"/>
          </w:tcPr>
          <w:p>
            <w:pPr>
              <w:spacing w:after="20" w:before="20"/>
            </w:pPr>
            <w:r/>
            <w:r>
              <w:rPr>
                <w:b/>
                <w:color w:val="FFFFFF"/>
                <w:sz w:val="18"/>
              </w:rPr>
              <w:t>Dég. subis</w:t>
            </w:r>
          </w:p>
        </w:tc>
      </w:tr>
      <w:tr>
        <w:tc>
          <w:tcPr>
            <w:tcW w:type="dxa" w:w="3312"/>
          </w:tcPr>
          <w:p>
            <w:pPr>
              <w:spacing w:after="20" w:before="20"/>
            </w:pPr>
            <w:r/>
            <w:r>
              <w:rPr>
                <w:b w:val="0"/>
                <w:sz w:val="18"/>
              </w:rPr>
              <w:t>BW (learned) vs HH (greedy)</w:t>
            </w:r>
          </w:p>
        </w:tc>
        <w:tc>
          <w:tcPr>
            <w:tcW w:type="dxa" w:w="1440"/>
          </w:tcPr>
          <w:p>
            <w:pPr>
              <w:spacing w:after="20" w:before="20"/>
            </w:pPr>
            <w:r/>
            <w:r>
              <w:rPr>
                <w:b w:val="0"/>
                <w:sz w:val="18"/>
              </w:rPr>
              <w:t>63–28–9</w:t>
            </w:r>
          </w:p>
        </w:tc>
        <w:tc>
          <w:tcPr>
            <w:tcW w:type="dxa" w:w="1296"/>
          </w:tcPr>
          <w:p>
            <w:pPr>
              <w:spacing w:after="20" w:before="20"/>
            </w:pPr>
            <w:r/>
            <w:r>
              <w:rPr>
                <w:b w:val="0"/>
                <w:sz w:val="18"/>
              </w:rPr>
              <w:t>69.2%</w:t>
            </w:r>
          </w:p>
        </w:tc>
        <w:tc>
          <w:tcPr>
            <w:tcW w:type="dxa" w:w="1296"/>
          </w:tcPr>
          <w:p>
            <w:pPr>
              <w:spacing w:after="20" w:before="20"/>
            </w:pPr>
            <w:r/>
            <w:r>
              <w:rPr>
                <w:b w:val="0"/>
                <w:sz w:val="18"/>
              </w:rPr>
              <w:t>12.7</w:t>
            </w:r>
          </w:p>
        </w:tc>
        <w:tc>
          <w:tcPr>
            <w:tcW w:type="dxa" w:w="1440"/>
          </w:tcPr>
          <w:p>
            <w:pPr>
              <w:spacing w:after="20" w:before="20"/>
            </w:pPr>
            <w:r/>
            <w:r>
              <w:rPr>
                <w:b w:val="0"/>
                <w:sz w:val="18"/>
              </w:rPr>
              <w:t>48.6</w:t>
            </w:r>
          </w:p>
        </w:tc>
        <w:tc>
          <w:tcPr>
            <w:tcW w:type="dxa" w:w="1296"/>
          </w:tcPr>
          <w:p>
            <w:pPr>
              <w:spacing w:after="20" w:before="20"/>
            </w:pPr>
            <w:r/>
            <w:r>
              <w:rPr>
                <w:b w:val="0"/>
                <w:sz w:val="18"/>
              </w:rPr>
              <w:t>43.4</w:t>
            </w:r>
          </w:p>
        </w:tc>
      </w:tr>
      <w:tr>
        <w:tc>
          <w:tcPr>
            <w:tcW w:type="dxa" w:w="3312"/>
          </w:tcPr>
          <w:p>
            <w:pPr>
              <w:spacing w:after="20" w:before="20"/>
            </w:pPr>
            <w:r/>
            <w:r>
              <w:rPr>
                <w:b w:val="0"/>
                <w:sz w:val="18"/>
              </w:rPr>
              <w:t>Miroir BW vs BW</w:t>
            </w:r>
          </w:p>
        </w:tc>
        <w:tc>
          <w:tcPr>
            <w:tcW w:type="dxa" w:w="1440"/>
          </w:tcPr>
          <w:p>
            <w:pPr>
              <w:spacing w:after="20" w:before="20"/>
            </w:pPr>
            <w:r/>
            <w:r>
              <w:rPr>
                <w:b w:val="0"/>
                <w:sz w:val="18"/>
              </w:rPr>
              <w:t>49–44–7</w:t>
            </w:r>
          </w:p>
        </w:tc>
        <w:tc>
          <w:tcPr>
            <w:tcW w:type="dxa" w:w="1296"/>
          </w:tcPr>
          <w:p>
            <w:pPr>
              <w:spacing w:after="20" w:before="20"/>
            </w:pPr>
            <w:r/>
            <w:r>
              <w:rPr>
                <w:b w:val="0"/>
                <w:sz w:val="18"/>
              </w:rPr>
              <w:t>52.7%</w:t>
            </w:r>
          </w:p>
        </w:tc>
        <w:tc>
          <w:tcPr>
            <w:tcW w:type="dxa" w:w="1296"/>
          </w:tcPr>
          <w:p>
            <w:pPr>
              <w:spacing w:after="20" w:before="20"/>
            </w:pPr>
            <w:r/>
            <w:r>
              <w:rPr>
                <w:b w:val="0"/>
                <w:sz w:val="18"/>
              </w:rPr>
              <w:t>12.6</w:t>
            </w:r>
          </w:p>
        </w:tc>
        <w:tc>
          <w:tcPr>
            <w:tcW w:type="dxa" w:w="1440"/>
          </w:tcPr>
          <w:p>
            <w:pPr>
              <w:spacing w:after="20" w:before="20"/>
            </w:pPr>
            <w:r/>
            <w:r>
              <w:rPr>
                <w:b w:val="0"/>
                <w:sz w:val="18"/>
              </w:rPr>
              <w:t>47.6</w:t>
            </w:r>
          </w:p>
        </w:tc>
        <w:tc>
          <w:tcPr>
            <w:tcW w:type="dxa" w:w="1296"/>
          </w:tcPr>
          <w:p>
            <w:pPr>
              <w:spacing w:after="20" w:before="20"/>
            </w:pPr>
            <w:r/>
            <w:r>
              <w:rPr>
                <w:b w:val="0"/>
                <w:sz w:val="18"/>
              </w:rPr>
              <w:t>46.7</w:t>
            </w:r>
          </w:p>
        </w:tc>
      </w:tr>
      <w:tr>
        <w:tc>
          <w:tcPr>
            <w:tcW w:type="dxa" w:w="3312"/>
          </w:tcPr>
          <w:p>
            <w:pPr>
              <w:spacing w:after="20" w:before="20"/>
            </w:pPr>
            <w:r/>
            <w:r>
              <w:rPr>
                <w:b w:val="0"/>
                <w:sz w:val="18"/>
              </w:rPr>
              <w:t>HH (learned) vs BW (greedy)</w:t>
            </w:r>
          </w:p>
        </w:tc>
        <w:tc>
          <w:tcPr>
            <w:tcW w:type="dxa" w:w="1440"/>
          </w:tcPr>
          <w:p>
            <w:pPr>
              <w:spacing w:after="20" w:before="20"/>
            </w:pPr>
            <w:r/>
            <w:r>
              <w:rPr>
                <w:b w:val="0"/>
                <w:sz w:val="18"/>
              </w:rPr>
              <w:t>82–11–7</w:t>
            </w:r>
          </w:p>
        </w:tc>
        <w:tc>
          <w:tcPr>
            <w:tcW w:type="dxa" w:w="1296"/>
          </w:tcPr>
          <w:p>
            <w:pPr>
              <w:spacing w:after="20" w:before="20"/>
            </w:pPr>
            <w:r/>
            <w:r>
              <w:rPr>
                <w:b w:val="0"/>
                <w:sz w:val="18"/>
              </w:rPr>
              <w:t>88.2%</w:t>
            </w:r>
          </w:p>
        </w:tc>
        <w:tc>
          <w:tcPr>
            <w:tcW w:type="dxa" w:w="1296"/>
          </w:tcPr>
          <w:p>
            <w:pPr>
              <w:spacing w:after="20" w:before="20"/>
            </w:pPr>
            <w:r/>
            <w:r>
              <w:rPr>
                <w:b w:val="0"/>
                <w:sz w:val="18"/>
              </w:rPr>
              <w:t>10.2</w:t>
            </w:r>
          </w:p>
        </w:tc>
        <w:tc>
          <w:tcPr>
            <w:tcW w:type="dxa" w:w="1440"/>
          </w:tcPr>
          <w:p>
            <w:pPr>
              <w:spacing w:after="20" w:before="20"/>
            </w:pPr>
            <w:r/>
            <w:r>
              <w:rPr>
                <w:b w:val="0"/>
                <w:sz w:val="18"/>
              </w:rPr>
              <w:t>52.5</w:t>
            </w:r>
          </w:p>
        </w:tc>
        <w:tc>
          <w:tcPr>
            <w:tcW w:type="dxa" w:w="1296"/>
          </w:tcPr>
          <w:p>
            <w:pPr>
              <w:spacing w:after="20" w:before="20"/>
            </w:pPr>
            <w:r/>
            <w:r>
              <w:rPr>
                <w:b w:val="0"/>
                <w:sz w:val="18"/>
              </w:rPr>
              <w:t>39.7</w:t>
            </w:r>
          </w:p>
        </w:tc>
      </w:tr>
    </w:tbl>
    <w:p>
      <w:pPr>
        <w:spacing w:after="200"/>
      </w:pPr>
      <w:r>
        <w:rPr>
          <w:i/>
          <w:color w:val="555555"/>
          <w:sz w:val="17"/>
        </w:rPr>
        <w:t>*Winrate calculé sur les parties décisives (nuls exclus). « Dég. infligés/subis » = dégâts moyens par partie au camp adverse / à soi (base 50 PV).</w:t>
      </w:r>
    </w:p>
    <w:p>
      <w:pPr>
        <w:spacing w:after="120"/>
      </w:pPr>
      <w:r>
        <w:rPr>
          <w:i w:val="0"/>
          <w:sz w:val="19"/>
        </w:rPr>
        <w:t>Lecture : BW gagne mais plus laborieusement (69% vs HH greedy, 53% en miroir) et sur des parties plus longues — son plan d'usure prend du temps. Le miroir à ~53% montre un matchup très serré. Face au snowball de HH, BW doit survivre (Agility/Sabotage) le temps que Time Bomb + attrition fassent effet.</w:t>
      </w:r>
    </w:p>
    <w:p>
      <w:pPr>
        <w:pStyle w:val="Heading1"/>
      </w:pPr>
      <w:r>
        <w:rPr>
          <w:color w:val="3B1F5E"/>
        </w:rPr>
        <w:t>6. Limites connues du modèle (pour l'entraînement à venir)</w:t>
      </w:r>
    </w:p>
    <w:p>
      <w:pPr>
        <w:pStyle w:val="ListBullet"/>
      </w:pPr>
      <w:r>
        <w:rPr>
          <w:sz w:val="21"/>
        </w:rPr>
        <w:t>Cartes de manipulation de dés en milieu de jet (Six-It!, etc.) et certaines subtilités Time Bomb (advance-all) partiellement hors du champ du scoring RL actuel — voir notes moteur.</w:t>
      </w:r>
    </w:p>
    <w:p>
      <w:pPr>
        <w:pStyle w:val="ListBullet"/>
      </w:pPr>
      <w:r>
        <w:rPr>
          <w:sz w:val="21"/>
        </w:rPr>
        <w:t>Réseau frais mais entraînement encore court : BW ressort sous-jouée par rapport à HH ; une run longue (au plateau) dira si c'est un vrai déséquilibre ou un défaut d'apprentissage encore présent.</w:t>
      </w:r>
    </w:p>
    <w:p>
      <w:pPr>
        <w:spacing w:after="120"/>
      </w:pPr>
      <w:r>
        <w:rPr>
          <w:i/>
          <w:color w:val="555555"/>
          <w:sz w:val="17"/>
        </w:rPr>
        <w:t>Généré automatiquement à partir des données vérifiées du jeu (hero.json) et de 400 parties de la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