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9A00D">
      <w:pPr>
        <w:spacing w:before="480" w:after="480" w:line="288" w:lineRule="auto"/>
        <w:ind w:left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中医治未病卫生经济学综合评价指标体系</w:t>
      </w:r>
    </w:p>
    <w:p w14:paraId="691BE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权重说明：</w:t>
      </w:r>
      <w:r>
        <w:rPr>
          <w:rFonts w:hint="eastAsia" w:ascii="仿宋_GB2312" w:hAnsi="仿宋_GB2312" w:eastAsia="仿宋_GB2312" w:cs="仿宋_GB2312"/>
          <w:sz w:val="32"/>
          <w:szCs w:val="32"/>
        </w:rPr>
        <w:t>整体指标总权重100%，一级指标按卫生经济评价核心优先级分配权重，二级、三级指标逐层均分对应上级权重，可直接用于综合得分计算；权重数值适配中医“治未病”预防效益、成本效益、临床疗效核心评价逻辑。</w:t>
      </w:r>
    </w:p>
    <w:tbl>
      <w:tblPr>
        <w:tblStyle w:val="2"/>
        <w:tblW w:w="9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9"/>
        <w:gridCol w:w="1656"/>
        <w:gridCol w:w="1484"/>
        <w:gridCol w:w="2866"/>
        <w:gridCol w:w="1225"/>
      </w:tblGrid>
      <w:tr w14:paraId="1EAD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C2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一级</w:t>
            </w:r>
          </w:p>
          <w:p w14:paraId="1AC6A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2D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二级</w:t>
            </w:r>
          </w:p>
          <w:p w14:paraId="22E4B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AF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三级</w:t>
            </w:r>
          </w:p>
          <w:p w14:paraId="7A97D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A7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指标</w:t>
            </w:r>
          </w:p>
          <w:p w14:paraId="1276F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描述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20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单项</w:t>
            </w:r>
          </w:p>
          <w:p w14:paraId="7A917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权重</w:t>
            </w:r>
          </w:p>
        </w:tc>
      </w:tr>
      <w:tr w14:paraId="3636C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46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一、人群基线与中医体质基线指标（15%）</w:t>
            </w: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01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（一）通用人口学基线（10%）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0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年龄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1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入组时实际年龄（岁）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0D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1594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0E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7B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92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性别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D0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□男  □女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D0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080C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5A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F1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16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职业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70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□公职人员  □企业职工  □自由职业  □退休  □学生  □其他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97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0955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9D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F2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60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婚姻状况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34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□未婚  □已婚  </w:t>
            </w:r>
          </w:p>
          <w:p w14:paraId="3ECC7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□离异  □丧偶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05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1575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AE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64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75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文化水平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D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□小学及以下  □中学/中专  □大专  □本科及以上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FB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7953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EB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15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D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家庭年收入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AB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□＜3万  □3-5万  </w:t>
            </w:r>
          </w:p>
          <w:p w14:paraId="0F298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□5-10万  □10-20万  □＞20万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23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0F62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5C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B2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9C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民族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C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□汉族  □少数民族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73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0.4%</w:t>
            </w:r>
          </w:p>
        </w:tc>
      </w:tr>
      <w:tr w14:paraId="283E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1A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4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98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医保类型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D4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□职工医保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居民医保  □新农合  □商业保险  □无医保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85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3086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CD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84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88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既往慢病史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17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□高血压  □糖尿病  □冠心病  □脑梗  □高血脂  □其他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03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7268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11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BF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AD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身高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59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单位：cm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73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0.4%</w:t>
            </w:r>
          </w:p>
        </w:tc>
      </w:tr>
      <w:tr w14:paraId="3F9C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6C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CD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BB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体重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17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单位：kg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F3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0.4%</w:t>
            </w:r>
          </w:p>
        </w:tc>
      </w:tr>
      <w:tr w14:paraId="5238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FF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BE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18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BMI指数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AC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体重(kg)/身高²(m²)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47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0.6%</w:t>
            </w:r>
          </w:p>
        </w:tc>
      </w:tr>
      <w:tr w14:paraId="6635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D5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F2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03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血压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4C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收缩压/舒张压（mmHg）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C6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4C53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B8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0C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FC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空腹血糖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97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单位：mmol/L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B4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62F9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BE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29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57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糖化血红</w:t>
            </w:r>
          </w:p>
          <w:p w14:paraId="0F84D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蛋白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13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单位：%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FC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6224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E6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23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21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血脂四项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CF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总胆固醇、低密度脂蛋白、高密度脂蛋白、甘油三酯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83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0729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07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5E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D4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入组前1年直接医疗</w:t>
            </w:r>
          </w:p>
          <w:p w14:paraId="43C11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总支出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3F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药品、检查、住院、诊疗等费用总和（元）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D6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4B6B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A5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23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（二）中医特色体质基线（5%）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93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中医九种</w:t>
            </w:r>
          </w:p>
          <w:p w14:paraId="25C69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体质判定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970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平和质、气虚质、阳虚质、阴虚质、痰湿质、湿热质、血瘀质、气郁质、特禀质（中医体质量表判定）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01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1.2%</w:t>
            </w:r>
          </w:p>
        </w:tc>
      </w:tr>
      <w:tr w14:paraId="38E0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57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A6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50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中医证候</w:t>
            </w:r>
          </w:p>
          <w:p w14:paraId="701CA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总积分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1F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疲乏、失眠、畏寒、胸闷、腹胀、肢体困重等单项证候评分总和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A2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1.2%</w:t>
            </w:r>
          </w:p>
        </w:tc>
      </w:tr>
      <w:tr w14:paraId="570B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E1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1E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D5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单项中医</w:t>
            </w:r>
          </w:p>
          <w:p w14:paraId="2230A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证候积分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0B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各单项证候具体评分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F6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4660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B2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6E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10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中医健康</w:t>
            </w:r>
          </w:p>
          <w:p w14:paraId="7DF8E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素养水平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45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中医养生知识掌握程度问卷得分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58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747F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D1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EE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16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治未病</w:t>
            </w:r>
          </w:p>
          <w:p w14:paraId="66C13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认知程度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A0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□完全不了解  □了解较少  □一般了解  □比较了解  □非常了解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E8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657E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FC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二、治未病干预直接成本指标（20%）</w:t>
            </w: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E8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（一）中医综合调理干预成本（12%）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E3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中药膏方/汤药费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8F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总费用____元；</w:t>
            </w:r>
          </w:p>
          <w:p w14:paraId="4CB11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医保报销____元；</w:t>
            </w:r>
          </w:p>
          <w:p w14:paraId="70937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个人自付____元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FF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2.2%</w:t>
            </w:r>
          </w:p>
        </w:tc>
      </w:tr>
      <w:tr w14:paraId="6326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A8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43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B3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中医外治</w:t>
            </w:r>
          </w:p>
          <w:p w14:paraId="53F34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服务费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08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艾灸、拔罐、刮痧、穴位贴敷、推拿、针灸、耳穴压豆总费用（元）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88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2.2%</w:t>
            </w:r>
          </w:p>
        </w:tc>
      </w:tr>
      <w:tr w14:paraId="098E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EB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AB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14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中医养生功法指导费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79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八段锦、太极拳、五禽戏、导引等教学服务费（元）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31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1.8%</w:t>
            </w:r>
          </w:p>
        </w:tc>
      </w:tr>
      <w:tr w14:paraId="020A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18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12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45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中医体质</w:t>
            </w:r>
          </w:p>
          <w:p w14:paraId="78DD8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辨识费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EC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体质辨识评估、建档费用（元）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E0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1.8%</w:t>
            </w:r>
          </w:p>
        </w:tc>
      </w:tr>
      <w:tr w14:paraId="7583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17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7B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EF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健康随访</w:t>
            </w:r>
          </w:p>
          <w:p w14:paraId="1412F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管理费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BB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季度随访、体质复评、健康咨询服务费（元）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70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7C29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0F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3E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75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食疗养生</w:t>
            </w:r>
          </w:p>
          <w:p w14:paraId="74243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指导费用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EB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药食同源食材、药膳调理配套支出（元）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BC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0F75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D5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25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（二）西医配套及其他成本（8%）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8A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常规药品</w:t>
            </w:r>
          </w:p>
          <w:p w14:paraId="7AC1A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费用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44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降压、降糖、调脂等慢病西药（总费用/医保报销/个人自付）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C1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1.8%</w:t>
            </w:r>
          </w:p>
        </w:tc>
      </w:tr>
      <w:tr w14:paraId="0432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3B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AE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7F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检查检验</w:t>
            </w:r>
          </w:p>
          <w:p w14:paraId="05762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费用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9F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血压、血糖、血脂、影像学等年度筛查费用（元）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FD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1.6%</w:t>
            </w:r>
          </w:p>
        </w:tc>
      </w:tr>
      <w:tr w14:paraId="37B3B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56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CF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63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住院诊疗</w:t>
            </w:r>
          </w:p>
          <w:p w14:paraId="6581F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费用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50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慢病急性发作住院、并发症住院（护理费、床位费、手术费）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44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1.8%</w:t>
            </w:r>
          </w:p>
        </w:tc>
      </w:tr>
      <w:tr w14:paraId="1DC8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D7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85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B1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不良事件</w:t>
            </w:r>
          </w:p>
          <w:p w14:paraId="2F00A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处置费用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A7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中医干预相关不适、慢病急性加重急诊/住院费用（元）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AF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1.4%</w:t>
            </w:r>
          </w:p>
        </w:tc>
      </w:tr>
      <w:tr w14:paraId="422F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A4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41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D2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其他</w:t>
            </w:r>
          </w:p>
          <w:p w14:paraId="3F831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直接成本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C8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门诊费、注射费、耗材费等（总费用/医保报销/个人自付）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6B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1.4%</w:t>
            </w:r>
          </w:p>
        </w:tc>
      </w:tr>
      <w:tr w14:paraId="3975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A1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三、中西医临床产出与中医特色疗效指标（25%）</w:t>
            </w: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48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（一）西医客观生理结局（8%）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D2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体重变化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23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干预前后体重差值（kg）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FD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04B4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62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C9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33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BMI变化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BC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干预前后BMI差值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54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0.8%</w:t>
            </w:r>
          </w:p>
        </w:tc>
      </w:tr>
      <w:tr w14:paraId="7B72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75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34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B2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血压达标率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62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收缩压＜140mmHg且舒张压＜90mmHg人数及占比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2E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1.2%</w:t>
            </w:r>
          </w:p>
        </w:tc>
      </w:tr>
      <w:tr w14:paraId="00EB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D8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A2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9C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糖代谢</w:t>
            </w:r>
          </w:p>
          <w:p w14:paraId="25C32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指标变化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34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空腹血糖、糖化血红蛋白干预前后差值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CD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1.2%</w:t>
            </w:r>
          </w:p>
        </w:tc>
      </w:tr>
      <w:tr w14:paraId="2685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E1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64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19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血脂达标率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39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血脂四项达标人数及占比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F7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1.2%</w:t>
            </w:r>
          </w:p>
        </w:tc>
      </w:tr>
      <w:tr w14:paraId="5037A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86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FB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49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慢病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新发病例情况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B7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高血压、糖尿病、血脂异常新发人数、相对风险降低率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4C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1.6%</w:t>
            </w:r>
          </w:p>
        </w:tc>
      </w:tr>
      <w:tr w14:paraId="27613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91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6F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DB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心脑血管</w:t>
            </w:r>
          </w:p>
          <w:p w14:paraId="07E8E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不良事件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7D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心肌梗死、脑卒中、严重并发症发生频次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86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1.2%</w:t>
            </w:r>
          </w:p>
        </w:tc>
      </w:tr>
      <w:tr w14:paraId="4467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DF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EA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（二）通用生命质量产出（4%）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57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健康效用值（QALY）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A3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EQ-5D-5L量表测算质量调整生命年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ED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1.6%</w:t>
            </w:r>
          </w:p>
        </w:tc>
      </w:tr>
      <w:tr w14:paraId="2585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7C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08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F3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SF-36生存质量总分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7F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生理功能、躯体疼痛、社会功能、精神健康维度得分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70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1.4%</w:t>
            </w:r>
          </w:p>
        </w:tc>
      </w:tr>
      <w:tr w14:paraId="6DF4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22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28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39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EQ-5D各维度受损水平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AA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行动、自理、日常活动、疼痛不适、焦虑抑郁分级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EE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5459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E9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CA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（三）中医特色治未病疗效产出（13%）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BB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中医体质</w:t>
            </w:r>
          </w:p>
          <w:p w14:paraId="5E1D6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改善转归率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74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偏颇质转为平和质、偏颇质积分下降人群占比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2D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2.2%</w:t>
            </w:r>
          </w:p>
        </w:tc>
      </w:tr>
      <w:tr w14:paraId="3A672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2E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FC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79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中医证候</w:t>
            </w:r>
          </w:p>
          <w:p w14:paraId="42225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总积分</w:t>
            </w:r>
          </w:p>
          <w:p w14:paraId="069FF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下降值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0C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干预前后证候积分差值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AE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70BC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F0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C4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47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单项中医症状缓解率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CC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失眠、乏力、畏寒、腹胀、肩颈酸痛等症状改善人数占比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A9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1.8%</w:t>
            </w:r>
          </w:p>
        </w:tc>
      </w:tr>
      <w:tr w14:paraId="332E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3D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B6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08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既病防变</w:t>
            </w:r>
          </w:p>
          <w:p w14:paraId="17BCA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进展延缓率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59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慢病高危人群进展为确诊慢病比例下降幅度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AF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2D89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87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52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06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瘥后防复</w:t>
            </w:r>
          </w:p>
          <w:p w14:paraId="05B77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复发率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08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慢病康复人群年度急性复发频次、复发下降比例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1C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1.8%</w:t>
            </w:r>
          </w:p>
        </w:tc>
      </w:tr>
      <w:tr w14:paraId="24E1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38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3A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95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中医养生</w:t>
            </w:r>
          </w:p>
          <w:p w14:paraId="3F2E8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依从性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E9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规律坚持功法、食疗、外治干预人群占比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EB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1.6%</w:t>
            </w:r>
          </w:p>
        </w:tc>
      </w:tr>
      <w:tr w14:paraId="3D68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B7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D3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82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治未病三级预防阶段</w:t>
            </w:r>
          </w:p>
          <w:p w14:paraId="3A3BF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适配度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67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□未病先防 □既病防变  □瘥后防复（匹配干预场景精准度）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DC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1.6%</w:t>
            </w:r>
          </w:p>
        </w:tc>
      </w:tr>
      <w:tr w14:paraId="573C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EC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四、间接疾病经济负担指标（15%）</w:t>
            </w: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81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（一）个人间接成本（6%）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98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误工损失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2C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因病误工工作日×日均薪资（元）</w:t>
            </w:r>
          </w:p>
        </w:tc>
        <w:tc>
          <w:tcPr>
            <w:tcW w:w="122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EC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1.5%</w:t>
            </w:r>
          </w:p>
        </w:tc>
      </w:tr>
      <w:tr w14:paraId="3C77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CA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18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91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交通</w:t>
            </w:r>
          </w:p>
          <w:p w14:paraId="32985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往返成本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44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就医/干预往返交通费用总和（元）</w:t>
            </w:r>
          </w:p>
        </w:tc>
        <w:tc>
          <w:tcPr>
            <w:tcW w:w="122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33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7463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10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ED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31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陪护家属</w:t>
            </w:r>
          </w:p>
          <w:p w14:paraId="086F3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误工成本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0D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家属陪护误工折算费用（元）</w:t>
            </w:r>
          </w:p>
        </w:tc>
        <w:tc>
          <w:tcPr>
            <w:tcW w:w="122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D6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1.5%</w:t>
            </w:r>
          </w:p>
        </w:tc>
      </w:tr>
      <w:tr w14:paraId="18AD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97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26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3C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养生时间</w:t>
            </w:r>
          </w:p>
          <w:p w14:paraId="53195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机会成本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D3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每日治未病干预投入时间折算经济成本（元）</w:t>
            </w:r>
          </w:p>
        </w:tc>
        <w:tc>
          <w:tcPr>
            <w:tcW w:w="122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82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41E9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12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86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（二）社会公共成本（5%）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7B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医保基金</w:t>
            </w:r>
          </w:p>
          <w:p w14:paraId="3CF06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支出节约额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53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慢病医保年度支出减少额（元）</w:t>
            </w:r>
          </w:p>
        </w:tc>
        <w:tc>
          <w:tcPr>
            <w:tcW w:w="122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BA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3DC9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A1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12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F0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住院人次</w:t>
            </w:r>
          </w:p>
          <w:p w14:paraId="0E0B6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节约费用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8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住院减少带来的医保预算结余（元）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21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1.5%</w:t>
            </w:r>
          </w:p>
        </w:tc>
      </w:tr>
      <w:tr w14:paraId="17153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15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3E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B1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早死生产力损失改善</w:t>
            </w:r>
          </w:p>
        </w:tc>
        <w:tc>
          <w:tcPr>
            <w:tcW w:w="0" w:type="auto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47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干预后慢病早死导致的社会生产力损失减少额度（元）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E1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1.5%</w:t>
            </w:r>
          </w:p>
        </w:tc>
      </w:tr>
      <w:tr w14:paraId="5338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57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FA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（三）远期成本效益（4%）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98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5年并发症治疗费用减少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FB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预测5年内慢病并发症治疗费用减少总额（元）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F3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1F9E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79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EB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B0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急诊就诊频次下降节约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2A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急诊次数减少带来的费用节约（元）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74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02E23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55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五、卫生经济学综合评价核心指标（18%）</w:t>
            </w: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E3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（一）成本-效果分析（6%）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5A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单位慢病新发减少成本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7A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每减少1例慢病新发所需投入成本（元/例）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23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33FE8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A7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DB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BF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单位证候积分下降成本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AE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每下降1分中医证候积分所需成本（元/分）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71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7FB8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7D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F5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A4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住院人次减少单位成本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4E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每减少1次住院所需投入成本（元/次）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BB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6A8A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D3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69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（二）成本-效用分析（4%）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10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增量成本效用比（ICUR）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90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每多获得1个QALY所需增量成本（元/QALY）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A8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19294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70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42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42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成本效用比（CUR）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76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总成本/总QALYs（元/QALY）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89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2610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82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B3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（三）成本-效益分析（4%）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A8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净效益（NB）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24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干预节约总支出 - </w:t>
            </w:r>
          </w:p>
          <w:p w14:paraId="38254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治未病干预投入总成本（元）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CB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2DED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15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40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20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效益成本比（BCR）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87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总效益/总成本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B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2C22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21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31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（四）最小成本分析（2%）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7A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同等产出成本差值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07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同等健康产出下，中医方案与常规方案总成本差值（元）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DF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2.0%</w:t>
            </w:r>
          </w:p>
        </w:tc>
      </w:tr>
      <w:tr w14:paraId="09B4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0B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DB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（五）预算影响分析（2%）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5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医保年度支出变化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C5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区域人群普及治未病干预后医保年度总支出变化幅度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43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7568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8E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4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F4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人均年度成本变化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D8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干预后人均年度医疗费用变化（元）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63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63004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6D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六、安全性、满意度与资源消耗辅助指标（7%）</w:t>
            </w: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B6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（一）安全性评价（2%）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C8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不良事件发生率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B4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中医外治、中药调理轻度不适、严重不良反应人数占比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E6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7FBE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5E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40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67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不良事件严重程度分级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D9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□轻度  □中度  □重度  □危及生命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DB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1A67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7B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5B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（二）服务满意度评价（2%）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9B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治未病服务总体满意度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B4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□非常不满意 □不满意  □一般  □满意  </w:t>
            </w:r>
          </w:p>
          <w:p w14:paraId="503B8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□非常满意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6C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6AC4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80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5B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CB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各项服务满意度评分</w:t>
            </w:r>
          </w:p>
          <w:p w14:paraId="219A3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AA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体质调理、随访、功法指导、医师服务等分项评分（1-10分）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F1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5EF6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71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15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（三）卫生资源消耗（3%）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7A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人均年度门诊次数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00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干预期间人均门诊就诊次数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DA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6CC2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CC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DF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C9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人均年度住院频次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60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干预期间人均住院次数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A4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2DAC2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E8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E2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AF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人均急诊</w:t>
            </w:r>
          </w:p>
          <w:p w14:paraId="2693F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就诊人次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22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干预期间人均急诊次数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21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1.0%</w:t>
            </w:r>
          </w:p>
        </w:tc>
      </w:tr>
      <w:tr w14:paraId="3204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7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0F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center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合计总权重</w:t>
            </w:r>
          </w:p>
        </w:tc>
        <w:tc>
          <w:tcPr>
            <w:tcW w:w="557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1B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/>
              <w:jc w:val="right"/>
              <w:textAlignment w:val="auto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1117C4A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0CCE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77EB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643CE"/>
    <w:rsid w:val="199450E1"/>
    <w:rsid w:val="26D703BB"/>
    <w:rsid w:val="29E17ECF"/>
    <w:rsid w:val="5F8709B4"/>
    <w:rsid w:val="65115B22"/>
    <w:rsid w:val="6C44105C"/>
    <w:rsid w:val="6C766D49"/>
    <w:rsid w:val="74A5194A"/>
    <w:rsid w:val="7AEC67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3320</Words>
  <Characters>3763</Characters>
  <TotalTime>42</TotalTime>
  <ScaleCrop>false</ScaleCrop>
  <LinksUpToDate>false</LinksUpToDate>
  <CharactersWithSpaces>3878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2026-08-07T07:50:00Z</dcterms:created>
  <dc:creator>Apache POI</dc:creator>
  <cp:lastModifiedBy>张博</cp:lastModifiedBy>
  <dcterms:modified xsi:type="dcterms:W3CDTF">2026-08-07T08:59:33Z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{"Label":"1","ContentProducer":"001191110102MACQD9K64010000","ProduceID":"7671193830348344294","ReservedCode1":"","ContentPropagator":"","PropagateID":"","ReservedCode2":""}</vt:lpwstr>
  </property>
  <property fmtid="{D5CDD505-2E9C-101B-9397-08002B2CF9AE}" pid="3" name="KSOTemplateDocerSaveRecord">
    <vt:lpwstr>eyJoZGlkIjoiNTRlZDBhOWIyMzgwY2ZiMjU1MThkNjNmNjVhMzc0YWUiLCJ1c2VySWQiOiI0OTAxMjQ0MTUifQ==</vt:lpwstr>
  </property>
  <property fmtid="{D5CDD505-2E9C-101B-9397-08002B2CF9AE}" pid="4" name="KSOProductBuildVer">
    <vt:lpwstr>2052-12.1.0.28043</vt:lpwstr>
  </property>
  <property fmtid="{D5CDD505-2E9C-101B-9397-08002B2CF9AE}" pid="5" name="ICV">
    <vt:lpwstr>3C52C5149E4549DB98A45FD8D07736DD_13</vt:lpwstr>
  </property>
</Properties>
</file>