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spacing w:after="680"/>
      </w:pPr>
      <w:r>
        <w:rPr>
          <w:rFonts w:ascii="Arial" w:hAnsi="Arial"/>
          <w:b/>
          <w:color w:val="000000"/>
          <w:sz w:val="22"/>
          <w:u w:val="none"/>
        </w:rPr>
        <w:t>POZHARNIK.KZ</w:t>
      </w:r>
    </w:p>
    <w:p>
      <w:pPr>
        <w:pageBreakBefore w:val="0"/>
        <w:widowControl/>
      </w:pPr>
      <w:r>
        <w:t>Редакция от 8 октября 2026 года по медиаплану 4.5. Этап 1. Технические основания: аналитика 1.7, Bitrix24 1.28, Google Ads 1.5, контракт данных 1.7. Данный документ задаёт требования; внедрение принимается отдельно.</w:t>
      </w:r>
    </w:p>
    <w:p>
      <w:pPr>
        <w:pStyle w:val="Title"/>
        <w:pageBreakBefore w:val="0"/>
        <w:widowControl/>
      </w:pPr>
      <w:r>
        <w:rPr>
          <w:rFonts w:ascii="Arial" w:hAnsi="Arial"/>
          <w:b/>
          <w:color w:val="000000"/>
          <w:sz w:val="54"/>
        </w:rPr>
        <w:t>Техническое задание на главную страницу</w:t>
      </w:r>
    </w:p>
    <w:p>
      <w:pPr>
        <w:pStyle w:val="Subtitle"/>
        <w:pageBreakBefore w:val="0"/>
        <w:widowControl/>
      </w:pPr>
      <w:r>
        <w:rPr>
          <w:rFonts w:ascii="Arial" w:hAnsi="Arial"/>
          <w:b w:val="0"/>
          <w:color w:val="697984"/>
          <w:sz w:val="26"/>
        </w:rPr>
        <w:t>Сайт услуг пожарной безопасности для бизнеса</w:t>
      </w:r>
    </w:p>
    <w:p>
      <w:pPr>
        <w:pageBreakBefore w:val="0"/>
        <w:widowControl/>
        <w:spacing w:after="100"/>
      </w:pPr>
      <w:r>
        <w:rPr>
          <w:rFonts w:ascii="Arial" w:hAnsi="Arial"/>
        </w:rPr>
        <w:t>Версия: 08.10.2026 · медиаплан 4.5</w:t>
      </w:r>
    </w:p>
    <w:p>
      <w:pPr>
        <w:pageBreakBefore w:val="0"/>
        <w:widowControl/>
        <w:spacing w:after="100"/>
      </w:pPr>
      <w:r>
        <w:rPr>
          <w:rFonts w:ascii="Arial" w:hAnsi="Arial"/>
        </w:rPr>
        <w:t>Целевой URL: https://pozharnik.kz/</w:t>
      </w:r>
    </w:p>
    <w:p>
      <w:pPr>
        <w:pageBreakBefore w:val="0"/>
        <w:widowControl/>
        <w:spacing w:after="100"/>
      </w:pPr>
      <w:r>
        <w:rPr>
          <w:rFonts w:ascii="Arial" w:hAnsi="Arial"/>
        </w:rPr>
        <w:t>География: Алматы и Алматинская область</w:t>
      </w:r>
    </w:p>
    <w:p>
      <w:pPr>
        <w:pageBreakBefore w:val="0"/>
        <w:widowControl/>
        <w:spacing w:after="100"/>
      </w:pPr>
      <w:r>
        <w:rPr>
          <w:rFonts w:ascii="Arial" w:hAnsi="Arial"/>
        </w:rPr>
        <w:t>Платформа: Tilda с изолированным HTML CSS и JavaScript в блоке T123</w:t>
      </w:r>
    </w:p>
    <w:p>
      <w:pPr>
        <w:pageBreakBefore w:val="0"/>
        <w:widowControl/>
      </w:pPr>
      <w:r>
        <w:br w:type="page"/>
      </w:r>
    </w:p>
    <w:p>
      <w:pPr>
        <w:pStyle w:val="Heading1"/>
        <w:keepNext/>
        <w:pageBreakBefore w:val="0"/>
        <w:widowControl/>
      </w:pPr>
      <w:r>
        <w:rPr>
          <w:color w:val="000000"/>
        </w:rPr>
        <w:t>1 Цель и роль страницы</w:t>
      </w:r>
    </w:p>
    <w:p>
      <w:pPr>
        <w:pageBreakBefore w:val="0"/>
        <w:widowControl/>
        <w:spacing w:after="100"/>
      </w:pPr>
      <w:r>
        <w:rPr>
          <w:rFonts w:ascii="Arial" w:hAnsi="Arial"/>
        </w:rPr>
        <w:t>Главная страница должна увеличивать количество состоявшихся выездов инженера и персональных расчетов стоимости. Она не заменяет посадочные отдельных услуг. Ее задача — быстро определить ситуацию посетителя, показать доказательства компетентности и направить в подходящий сценарий.</w:t>
      </w:r>
    </w:p>
    <w:p>
      <w:pPr>
        <w:pStyle w:val="Heading2"/>
        <w:keepNext/>
        <w:pageBreakBefore w:val="0"/>
        <w:widowControl/>
      </w:pPr>
      <w:r>
        <w:rPr>
          <w:color w:val="000000"/>
        </w:rPr>
        <w:t>1.1 Диагностические действия посетителя</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1247"/>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Приоритет</w:t>
            </w:r>
          </w:p>
        </w:tc>
        <w:tc>
          <w:tcPr>
            <w:tcW w:type="dxa" w:w="300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Конверсия</w:t>
            </w:r>
          </w:p>
        </w:tc>
        <w:tc>
          <w:tcPr>
            <w:tcW w:type="dxa" w:w="5669"/>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Определение</w:t>
            </w:r>
          </w:p>
        </w:tc>
      </w:tr>
      <w:tr>
        <w:trPr>
          <w:cantSplit/>
        </w:trPr>
        <w:tc>
          <w:tcPr>
            <w:tcW w:type="dxa" w:w="1247"/>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6"/>
              </w:rPr>
              <w:t>1</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Запрос персонального расчета</w:t>
            </w:r>
          </w:p>
        </w:tc>
        <w:tc>
          <w:tcPr>
            <w:tcW w:type="dxa" w:w="56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Клиент передал параметры объекта и получил расчет или коммерческое предложение</w:t>
            </w:r>
          </w:p>
        </w:tc>
      </w:tr>
      <w:tr>
        <w:trPr>
          <w:cantSplit/>
        </w:trPr>
        <w:tc>
          <w:tcPr>
            <w:tcW w:type="dxa" w:w="1247"/>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6"/>
              </w:rPr>
              <w:t>2</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Запись на выезд инженера</w:t>
            </w:r>
          </w:p>
        </w:tc>
        <w:tc>
          <w:tcPr>
            <w:tcW w:type="dxa" w:w="5669"/>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Клиент передал данные объекта, согласованы дата и следующий шаг</w:t>
            </w:r>
          </w:p>
        </w:tc>
      </w:tr>
      <w:tr>
        <w:trPr>
          <w:cantSplit/>
        </w:trPr>
        <w:tc>
          <w:tcPr>
            <w:tcW w:type="dxa" w:w="1247"/>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6"/>
              </w:rPr>
              <w:t>3</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Звонок или WhatsApp</w:t>
            </w:r>
          </w:p>
        </w:tc>
        <w:tc>
          <w:tcPr>
            <w:tcW w:type="dxa" w:w="56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Контакт считается промежуточным до квалификации менеджером</w:t>
            </w:r>
          </w:p>
        </w:tc>
      </w:tr>
    </w:tbl>
    <w:p>
      <w:pPr>
        <w:pageBreakBefore w:val="0"/>
        <w:widowControl/>
        <w:spacing w:after="40"/>
      </w:pPr>
    </w:p>
    <w:p>
      <w:pPr>
        <w:pStyle w:val="Heading2"/>
        <w:keepNext/>
        <w:pageBreakBefore w:val="0"/>
        <w:widowControl/>
      </w:pPr>
      <w:r>
        <w:rPr>
          <w:color w:val="000000"/>
        </w:rPr>
        <w:t>1.2 Целевые показатели</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4082"/>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Показатель</w:t>
            </w:r>
          </w:p>
        </w:tc>
        <w:tc>
          <w:tcPr>
            <w:tcW w:type="dxa" w:w="283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Базовая цель после запуска</w:t>
            </w:r>
          </w:p>
        </w:tc>
        <w:tc>
          <w:tcPr>
            <w:tcW w:type="dxa" w:w="2948"/>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Учет</w:t>
            </w:r>
          </w:p>
        </w:tc>
      </w:tr>
      <w:tr>
        <w:trPr>
          <w:cantSplit/>
        </w:trPr>
        <w:tc>
          <w:tcPr>
            <w:tcW w:type="dxa" w:w="4082"/>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6"/>
              </w:rPr>
              <w:t>Квалифицированные обращения</w:t>
            </w:r>
          </w:p>
        </w:tc>
        <w:tc>
          <w:tcPr>
            <w:tcW w:type="dxa" w:w="2835"/>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12–18 в месяц</w:t>
            </w:r>
          </w:p>
        </w:tc>
        <w:tc>
          <w:tcPr>
            <w:tcW w:type="dxa" w:w="2948"/>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Bitrix24</w:t>
            </w:r>
          </w:p>
        </w:tc>
      </w:tr>
      <w:tr>
        <w:trPr>
          <w:cantSplit/>
        </w:trPr>
        <w:tc>
          <w:tcPr>
            <w:tcW w:type="dxa" w:w="4082"/>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6"/>
              </w:rPr>
              <w:t>Назначенные выезды</w:t>
            </w:r>
          </w:p>
        </w:tc>
        <w:tc>
          <w:tcPr>
            <w:tcW w:type="dxa" w:w="283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7–10 в месяц</w:t>
            </w:r>
          </w:p>
        </w:tc>
        <w:tc>
          <w:tcPr>
            <w:tcW w:type="dxa" w:w="294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Bitrix24</w:t>
            </w:r>
          </w:p>
        </w:tc>
      </w:tr>
      <w:tr>
        <w:trPr>
          <w:cantSplit/>
        </w:trPr>
        <w:tc>
          <w:tcPr>
            <w:tcW w:type="dxa" w:w="4082"/>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6"/>
              </w:rPr>
              <w:t>Состоявшиеся выезды</w:t>
            </w:r>
          </w:p>
        </w:tc>
        <w:tc>
          <w:tcPr>
            <w:tcW w:type="dxa" w:w="2835"/>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5–8 в месяц</w:t>
            </w:r>
          </w:p>
        </w:tc>
        <w:tc>
          <w:tcPr>
            <w:tcW w:type="dxa" w:w="2948"/>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Bitrix24</w:t>
            </w:r>
          </w:p>
        </w:tc>
      </w:tr>
      <w:tr>
        <w:trPr>
          <w:cantSplit/>
        </w:trPr>
        <w:tc>
          <w:tcPr>
            <w:tcW w:type="dxa" w:w="4082"/>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6"/>
              </w:rPr>
              <w:t>Персональные расчеты</w:t>
            </w:r>
          </w:p>
        </w:tc>
        <w:tc>
          <w:tcPr>
            <w:tcW w:type="dxa" w:w="283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8–12 в месяц</w:t>
            </w:r>
          </w:p>
        </w:tc>
        <w:tc>
          <w:tcPr>
            <w:tcW w:type="dxa" w:w="294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Bitrix24</w:t>
            </w:r>
          </w:p>
        </w:tc>
      </w:tr>
      <w:tr>
        <w:trPr>
          <w:cantSplit/>
        </w:trPr>
        <w:tc>
          <w:tcPr>
            <w:tcW w:type="dxa" w:w="4082"/>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6"/>
              </w:rPr>
              <w:t>Конверсия обращения в следующий шаг</w:t>
            </w:r>
          </w:p>
        </w:tc>
        <w:tc>
          <w:tcPr>
            <w:tcW w:type="dxa" w:w="2835"/>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Измеряется после первых 4–6 недель</w:t>
            </w:r>
          </w:p>
        </w:tc>
        <w:tc>
          <w:tcPr>
            <w:tcW w:type="dxa" w:w="2948"/>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Сквозной отчет</w:t>
            </w:r>
          </w:p>
        </w:tc>
      </w:tr>
    </w:tbl>
    <w:p>
      <w:pPr>
        <w:pageBreakBefore w:val="0"/>
        <w:widowControl/>
        <w:spacing w:after="40"/>
      </w:pPr>
    </w:p>
    <w:p>
      <w:pPr>
        <w:pageBreakBefore w:val="0"/>
        <w:widowControl/>
        <w:spacing w:after="100"/>
      </w:pPr>
      <w:r>
        <w:rPr>
          <w:rFonts w:ascii="Arial" w:hAnsi="Arial"/>
        </w:rPr>
        <w:t>Плановые значения являются начальными ориентирами. Через 4–6 недель их необходимо заменить фактическими показателями по источникам, типам объектов и услугам.</w:t>
      </w:r>
    </w:p>
    <w:p>
      <w:pPr>
        <w:pStyle w:val="Heading2"/>
        <w:keepNext/>
        <w:pageBreakBefore w:val="0"/>
        <w:widowControl/>
      </w:pPr>
      <w:r>
        <w:rPr>
          <w:color w:val="000000"/>
        </w:rPr>
        <w:t>1.3 Позиционирование</w:t>
      </w:r>
    </w:p>
    <w:p>
      <w:pPr>
        <w:pageBreakBefore w:val="0"/>
        <w:widowControl/>
        <w:spacing w:after="100"/>
      </w:pPr>
      <w:r>
        <w:rPr>
          <w:rFonts w:ascii="Arial" w:hAnsi="Arial"/>
        </w:rPr>
        <w:t>Pozharnik.kz — инженерная компания, которая обследует, проектирует, монтирует, ремонтирует и обслуживает системы пожарной безопасности на коммерческих и промышленных объектах. Клиент получает понятный состав работ, сроки, документы и следующий шаг по объекту.</w:t>
      </w:r>
    </w:p>
    <w:p>
      <w:pPr>
        <w:pageBreakBefore w:val="0"/>
        <w:widowControl/>
        <w:spacing w:after="100"/>
      </w:pPr>
      <w:r>
        <w:rPr>
          <w:rFonts w:ascii="Arial" w:hAnsi="Arial"/>
        </w:rPr>
        <w:t>Тон: деловой, конкретный и спокойный. Не использовать неподтвержденные цифры, стоковые фотографии, обещания отсутствия штрафов, абсолютной безопасности или гарантированного результата без договорного основания.</w:t>
      </w:r>
    </w:p>
    <w:p>
      <w:pPr>
        <w:pStyle w:val="Heading1"/>
        <w:keepNext/>
        <w:pageBreakBefore w:val="0"/>
        <w:widowControl/>
      </w:pPr>
      <w:r>
        <w:rPr>
          <w:color w:val="000000"/>
        </w:rPr>
        <w:t>2 Целевые аудитории и маршруты</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blHeader/>
          <w:tblHeader/>
        </w:trPr>
        <w:tc>
          <w:tcPr>
            <w:tcW w:type="dxa" w:w="2324"/>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Сегмент</w:t>
            </w:r>
          </w:p>
        </w:tc>
        <w:tc>
          <w:tcPr>
            <w:tcW w:type="dxa" w:w="317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Ситуация</w:t>
            </w:r>
          </w:p>
        </w:tc>
        <w:tc>
          <w:tcPr>
            <w:tcW w:type="dxa" w:w="2268"/>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Основное действие</w:t>
            </w:r>
          </w:p>
        </w:tc>
        <w:tc>
          <w:tcPr>
            <w:tcW w:type="dxa" w:w="2098"/>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Целевая страница</w:t>
            </w:r>
          </w:p>
        </w:tc>
      </w:tr>
      <w:tr>
        <w:trPr>
          <w:cantSplit/>
        </w:trPr>
        <w:tc>
          <w:tcPr>
            <w:tcW w:type="dxa" w:w="232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Собственник нового объекта</w:t>
            </w:r>
          </w:p>
        </w:tc>
        <w:tc>
          <w:tcPr>
            <w:tcW w:type="dxa" w:w="317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Открытие, реконструкция, новый проект</w:t>
            </w:r>
          </w:p>
        </w:tc>
        <w:tc>
          <w:tcPr>
            <w:tcW w:type="dxa" w:w="226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Рассчитать монтаж</w:t>
            </w:r>
          </w:p>
        </w:tc>
        <w:tc>
          <w:tcPr>
            <w:tcW w:type="dxa" w:w="209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/montazh/</w:t>
            </w:r>
          </w:p>
        </w:tc>
      </w:tr>
      <w:tr>
        <w:trPr>
          <w:cantSplit/>
        </w:trPr>
        <w:tc>
          <w:tcPr>
            <w:tcW w:type="dxa" w:w="232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Директор или управляющий</w:t>
            </w:r>
          </w:p>
        </w:tc>
        <w:tc>
          <w:tcPr>
            <w:tcW w:type="dxa" w:w="317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Нужен подрядчик и контроль системы</w:t>
            </w:r>
          </w:p>
        </w:tc>
        <w:tc>
          <w:tcPr>
            <w:tcW w:type="dxa" w:w="226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Рассчитать обслуживание</w:t>
            </w:r>
          </w:p>
        </w:tc>
        <w:tc>
          <w:tcPr>
            <w:tcW w:type="dxa" w:w="209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/obsluzhivanie/</w:t>
            </w:r>
          </w:p>
        </w:tc>
      </w:tr>
      <w:tr>
        <w:trPr>
          <w:cantSplit/>
        </w:trPr>
        <w:tc>
          <w:tcPr>
            <w:tcW w:type="dxa" w:w="232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Ответственный по ПБ</w:t>
            </w:r>
          </w:p>
        </w:tc>
        <w:tc>
          <w:tcPr>
            <w:tcW w:type="dxa" w:w="317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Скоро проверка ДЧС</w:t>
            </w:r>
          </w:p>
        </w:tc>
        <w:tc>
          <w:tcPr>
            <w:tcW w:type="dxa" w:w="226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Записаться на аудит</w:t>
            </w:r>
          </w:p>
        </w:tc>
        <w:tc>
          <w:tcPr>
            <w:tcW w:type="dxa" w:w="209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/audit/</w:t>
            </w:r>
          </w:p>
        </w:tc>
      </w:tr>
      <w:tr>
        <w:trPr>
          <w:cantSplit/>
        </w:trPr>
        <w:tc>
          <w:tcPr>
            <w:tcW w:type="dxa" w:w="232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Эксплуатирующая организация</w:t>
            </w:r>
          </w:p>
        </w:tc>
        <w:tc>
          <w:tcPr>
            <w:tcW w:type="dxa" w:w="317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Сработка или неисправность</w:t>
            </w:r>
          </w:p>
        </w:tc>
        <w:tc>
          <w:tcPr>
            <w:tcW w:type="dxa" w:w="226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Вызвать инженера</w:t>
            </w:r>
          </w:p>
        </w:tc>
        <w:tc>
          <w:tcPr>
            <w:tcW w:type="dxa" w:w="209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/srabotka/</w:t>
            </w:r>
          </w:p>
        </w:tc>
      </w:tr>
      <w:tr>
        <w:trPr>
          <w:cantSplit/>
        </w:trPr>
        <w:tc>
          <w:tcPr>
            <w:tcW w:type="dxa" w:w="232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Клиент другого подрядчика</w:t>
            </w:r>
          </w:p>
        </w:tc>
        <w:tc>
          <w:tcPr>
            <w:tcW w:type="dxa" w:w="317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Нет реакции, отчетов или доступа</w:t>
            </w:r>
          </w:p>
        </w:tc>
        <w:tc>
          <w:tcPr>
            <w:tcW w:type="dxa" w:w="226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Заказать обследование</w:t>
            </w:r>
          </w:p>
        </w:tc>
        <w:tc>
          <w:tcPr>
            <w:tcW w:type="dxa" w:w="209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/smena-podryadchika/</w:t>
            </w:r>
          </w:p>
        </w:tc>
      </w:tr>
      <w:tr>
        <w:trPr>
          <w:cantSplit/>
        </w:trPr>
        <w:tc>
          <w:tcPr>
            <w:tcW w:type="dxa" w:w="232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Покупатель отдельной услуги</w:t>
            </w:r>
          </w:p>
        </w:tc>
        <w:tc>
          <w:tcPr>
            <w:tcW w:type="dxa" w:w="317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Огнетушители, планы, испытания</w:t>
            </w:r>
          </w:p>
        </w:tc>
        <w:tc>
          <w:tcPr>
            <w:tcW w:type="dxa" w:w="226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Получить расчет</w:t>
            </w:r>
          </w:p>
        </w:tc>
        <w:tc>
          <w:tcPr>
            <w:tcW w:type="dxa" w:w="209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Профильная страница</w:t>
            </w:r>
          </w:p>
        </w:tc>
      </w:tr>
    </w:tbl>
    <w:p>
      <w:pPr>
        <w:pageBreakBefore w:val="0"/>
        <w:widowControl/>
        <w:spacing w:after="40"/>
      </w:pPr>
    </w:p>
    <w:p>
      <w:pPr>
        <w:pStyle w:val="Heading2"/>
        <w:keepNext/>
        <w:pageBreakBefore w:val="0"/>
        <w:widowControl/>
      </w:pPr>
      <w:r>
        <w:rPr>
          <w:color w:val="000000"/>
        </w:rPr>
        <w:t>2.1 Правило маршрутизации</w:t>
      </w:r>
    </w:p>
    <w:p>
      <w:pPr>
        <w:pageBreakBefore w:val="0"/>
        <w:widowControl/>
        <w:spacing w:after="100"/>
      </w:pPr>
      <w:r>
        <w:rPr>
          <w:rFonts w:ascii="Arial" w:hAnsi="Arial"/>
        </w:rPr>
        <w:t>Каждый CTA должен вести в один из двух конечных сценариев: расчет или выезд. Универсальная кнопка «Оставить заявку» допустима только в финальном блоке и должна открывать форму с выбором цели обращения.</w:t>
      </w:r>
    </w:p>
    <w:p>
      <w:pPr>
        <w:pageBreakBefore w:val="0"/>
        <w:widowControl/>
      </w:pPr>
      <w:r>
        <w:br w:type="page"/>
      </w:r>
    </w:p>
    <w:p>
      <w:pPr>
        <w:pStyle w:val="Heading1"/>
        <w:keepNext/>
        <w:pageBreakBefore w:val="0"/>
        <w:widowControl/>
      </w:pPr>
      <w:r>
        <w:rPr>
          <w:color w:val="000000"/>
        </w:rPr>
        <w:t>3 Визуальная система</w:t>
      </w:r>
    </w:p>
    <w:p>
      <w:pPr>
        <w:pageBreakBefore w:val="0"/>
        <w:widowControl/>
        <w:spacing w:after="100"/>
      </w:pPr>
      <w:r>
        <w:rPr>
          <w:rFonts w:ascii="Arial" w:hAnsi="Arial"/>
        </w:rPr>
        <w:t>Стиль: Industrial B2B и Engineering. Интерфейс должен выглядеть технологично, спокойно и надежно. Красный используется только для CTA, активных состояний и небольших акцентов.</w:t>
      </w:r>
    </w:p>
    <w:tbl>
      <w:tblPr>
        <w:tblStyle w:val="TableGrid"/>
        <w:tblW w:type="auto" w:w="0"/>
        <w:jc w:val="center"/>
        <w:tblLook w:firstColumn="1" w:firstRow="1" w:lastColumn="0" w:lastRow="0" w:noHBand="0" w:noVBand="1" w:val="04A0"/>
      </w:tblPr>
      <w:tblGrid>
        <w:gridCol w:w="5099"/>
        <w:gridCol w:w="5099"/>
      </w:tblGrid>
      <w:tr>
        <w:trPr>
          <w:tblHeader w:val="true"/>
          <w:tblHeader/>
          <w:tblHeader/>
        </w:trPr>
        <w:tc>
          <w:tcPr>
            <w:tcW w:type="dxa" w:w="3969"/>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Элемент</w:t>
            </w:r>
          </w:p>
        </w:tc>
        <w:tc>
          <w:tcPr>
            <w:tcW w:type="dxa" w:w="5896"/>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Значение</w:t>
            </w:r>
          </w:p>
        </w:tc>
      </w:tr>
      <w:tr>
        <w:trPr>
          <w:cantSplit/>
        </w:trPr>
        <w:tc>
          <w:tcPr>
            <w:tcW w:type="dxa" w:w="39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Основной текст</w:t>
            </w:r>
          </w:p>
        </w:tc>
        <w:tc>
          <w:tcPr>
            <w:tcW w:type="dxa" w:w="5896"/>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#15212b</w:t>
            </w:r>
          </w:p>
        </w:tc>
      </w:tr>
      <w:tr>
        <w:trPr>
          <w:cantSplit/>
        </w:trPr>
        <w:tc>
          <w:tcPr>
            <w:tcW w:type="dxa" w:w="3969"/>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Вторичный текст</w:t>
            </w:r>
          </w:p>
        </w:tc>
        <w:tc>
          <w:tcPr>
            <w:tcW w:type="dxa" w:w="5896"/>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#697984</w:t>
            </w:r>
          </w:p>
        </w:tc>
      </w:tr>
      <w:tr>
        <w:trPr>
          <w:cantSplit/>
        </w:trPr>
        <w:tc>
          <w:tcPr>
            <w:tcW w:type="dxa" w:w="39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Основная кнопка</w:t>
            </w:r>
          </w:p>
        </w:tc>
        <w:tc>
          <w:tcPr>
            <w:tcW w:type="dxa" w:w="5896"/>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#e54132</w:t>
            </w:r>
          </w:p>
        </w:tc>
      </w:tr>
      <w:tr>
        <w:trPr>
          <w:cantSplit/>
        </w:trPr>
        <w:tc>
          <w:tcPr>
            <w:tcW w:type="dxa" w:w="3969"/>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Hover кнопки</w:t>
            </w:r>
          </w:p>
        </w:tc>
        <w:tc>
          <w:tcPr>
            <w:tcW w:type="dxa" w:w="5896"/>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#bd2f25</w:t>
            </w:r>
          </w:p>
        </w:tc>
      </w:tr>
      <w:tr>
        <w:trPr>
          <w:cantSplit/>
        </w:trPr>
        <w:tc>
          <w:tcPr>
            <w:tcW w:type="dxa" w:w="39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Инженерный синий</w:t>
            </w:r>
          </w:p>
        </w:tc>
        <w:tc>
          <w:tcPr>
            <w:tcW w:type="dxa" w:w="5896"/>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#14364b</w:t>
            </w:r>
          </w:p>
        </w:tc>
      </w:tr>
      <w:tr>
        <w:trPr>
          <w:cantSplit/>
        </w:trPr>
        <w:tc>
          <w:tcPr>
            <w:tcW w:type="dxa" w:w="3969"/>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Фон секций</w:t>
            </w:r>
          </w:p>
        </w:tc>
        <w:tc>
          <w:tcPr>
            <w:tcW w:type="dxa" w:w="5896"/>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#f5f7f6</w:t>
            </w:r>
          </w:p>
        </w:tc>
      </w:tr>
      <w:tr>
        <w:trPr>
          <w:cantSplit/>
        </w:trPr>
        <w:tc>
          <w:tcPr>
            <w:tcW w:type="dxa" w:w="39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Белый</w:t>
            </w:r>
          </w:p>
        </w:tc>
        <w:tc>
          <w:tcPr>
            <w:tcW w:type="dxa" w:w="5896"/>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#ffffff</w:t>
            </w:r>
          </w:p>
        </w:tc>
      </w:tr>
      <w:tr>
        <w:trPr>
          <w:cantSplit/>
        </w:trPr>
        <w:tc>
          <w:tcPr>
            <w:tcW w:type="dxa" w:w="3969"/>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Границы</w:t>
            </w:r>
          </w:p>
        </w:tc>
        <w:tc>
          <w:tcPr>
            <w:tcW w:type="dxa" w:w="5896"/>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6"/>
              </w:rPr>
              <w:t>#dfe6e8</w:t>
            </w:r>
          </w:p>
        </w:tc>
      </w:tr>
      <w:tr>
        <w:trPr>
          <w:cantSplit/>
        </w:trPr>
        <w:tc>
          <w:tcPr>
            <w:tcW w:type="dxa" w:w="3969"/>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Светлый акцент</w:t>
            </w:r>
          </w:p>
        </w:tc>
        <w:tc>
          <w:tcPr>
            <w:tcW w:type="dxa" w:w="5896"/>
            <w:vAlign w:val="center"/>
            <w:tcMar>
              <w:top w:w="100" w:type="dxa"/>
              <w:start w:w="110" w:type="dxa"/>
              <w:bottom w:w="100" w:type="dxa"/>
              <w:end w:w="110" w:type="dxa"/>
            </w:tcMar>
          </w:tcPr>
          <w:p>
            <w:pPr>
              <w:keepNext w:val="0"/>
              <w:pageBreakBefore w:val="0"/>
              <w:spacing w:after="0"/>
            </w:pPr>
            <w:r/>
            <w:r>
              <w:rPr>
                <w:rFonts w:ascii="Arial" w:hAnsi="Arial"/>
                <w:b w:val="0"/>
                <w:color w:val="15212B"/>
                <w:sz w:val="16"/>
              </w:rPr>
              <w:t>#ffc7bd</w:t>
            </w:r>
          </w:p>
        </w:tc>
      </w:tr>
    </w:tbl>
    <w:p>
      <w:pPr>
        <w:pageBreakBefore w:val="0"/>
        <w:widowControl/>
        <w:spacing w:after="40"/>
      </w:pPr>
    </w:p>
    <w:p>
      <w:pPr>
        <w:pStyle w:val="ListBullet"/>
        <w:pageBreakBefore w:val="0"/>
        <w:widowControl/>
        <w:spacing w:after="40"/>
      </w:pPr>
      <w:r>
        <w:rPr>
          <w:rFonts w:ascii="Arial" w:hAnsi="Arial"/>
        </w:rPr>
        <w:t>Контейнер: около 1160px; шрифт Arial, Helvetica, sans-serif.</w:t>
      </w:r>
    </w:p>
    <w:p>
      <w:pPr>
        <w:pStyle w:val="ListBullet"/>
        <w:pageBreakBefore w:val="0"/>
        <w:widowControl/>
        <w:spacing w:after="40"/>
      </w:pPr>
      <w:r>
        <w:rPr>
          <w:rFonts w:ascii="Arial" w:hAnsi="Arial"/>
        </w:rPr>
        <w:t>Карточки: радиус 13px; ключевые панели: 18px; кнопки: 8px.</w:t>
      </w:r>
    </w:p>
    <w:p>
      <w:pPr>
        <w:pStyle w:val="ListBullet"/>
        <w:pageBreakBefore w:val="0"/>
        <w:widowControl/>
        <w:spacing w:after="40"/>
      </w:pPr>
      <w:r>
        <w:rPr>
          <w:rFonts w:ascii="Arial" w:hAnsi="Arial"/>
        </w:rPr>
        <w:t>Hero: linear-gradient(115deg, #112d3d 0%, #184b5d 55%, #1e596b 100%).</w:t>
      </w:r>
    </w:p>
    <w:p>
      <w:pPr>
        <w:pStyle w:val="ListBullet"/>
        <w:pageBreakBefore w:val="0"/>
        <w:widowControl/>
        <w:spacing w:after="40"/>
      </w:pPr>
      <w:r>
        <w:rPr>
          <w:rFonts w:ascii="Arial" w:hAnsi="Arial"/>
        </w:rPr>
        <w:t>H1: 47px desktop и 32px mobile; H2: 34px desktop и 28px mobile.</w:t>
      </w:r>
    </w:p>
    <w:p>
      <w:pPr>
        <w:pStyle w:val="ListBullet"/>
        <w:pageBreakBefore w:val="0"/>
        <w:widowControl/>
        <w:spacing w:after="40"/>
      </w:pPr>
      <w:r>
        <w:rPr>
          <w:rFonts w:ascii="Arial" w:hAnsi="Arial"/>
        </w:rPr>
        <w:t>Desktop-сетки: 3 карточки; до 820px: 2; до 500px: 1.</w:t>
      </w:r>
    </w:p>
    <w:p>
      <w:pPr>
        <w:pStyle w:val="ListBullet"/>
        <w:pageBreakBefore w:val="0"/>
        <w:widowControl/>
        <w:spacing w:after="40"/>
      </w:pPr>
      <w:r>
        <w:rPr>
          <w:rFonts w:ascii="Arial" w:hAnsi="Arial"/>
        </w:rPr>
        <w:t>Светлые секции чередуются с белыми; не допускать горизонтальной прокрутки.</w:t>
      </w:r>
    </w:p>
    <w:p>
      <w:pPr>
        <w:pStyle w:val="ListBullet"/>
        <w:pageBreakBefore w:val="0"/>
        <w:widowControl/>
        <w:spacing w:after="40"/>
      </w:pPr>
      <w:r>
        <w:rPr>
          <w:rFonts w:ascii="Arial" w:hAnsi="Arial"/>
        </w:rPr>
        <w:t>Все стили изолировать корневым контейнером #pz-home-page.</w:t>
      </w:r>
    </w:p>
    <w:p>
      <w:pPr>
        <w:pStyle w:val="ListBullet"/>
        <w:pageBreakBefore w:val="0"/>
        <w:widowControl/>
        <w:spacing w:after="40"/>
      </w:pPr>
      <w:r>
        <w:rPr>
          <w:rFonts w:ascii="Arial" w:hAnsi="Arial"/>
        </w:rPr>
        <w:t>Не использовать jQuery, Bootstrap, внешние шрифты, тяжелые анимации и автозвук.</w:t>
      </w:r>
    </w:p>
    <w:p>
      <w:pPr>
        <w:pStyle w:val="Heading2"/>
        <w:keepNext/>
        <w:pageBreakBefore w:val="0"/>
        <w:widowControl/>
      </w:pPr>
      <w:r>
        <w:rPr>
          <w:color w:val="000000"/>
        </w:rPr>
        <w:t>3.1 Мобильная версия</w:t>
      </w:r>
    </w:p>
    <w:p>
      <w:pPr>
        <w:pStyle w:val="ListBullet"/>
        <w:pageBreakBefore w:val="0"/>
        <w:widowControl/>
        <w:spacing w:after="40"/>
      </w:pPr>
      <w:r>
        <w:rPr>
          <w:rFonts w:ascii="Arial" w:hAnsi="Arial"/>
        </w:rPr>
        <w:t>Одна колонка и боковые отступы 14px.</w:t>
      </w:r>
    </w:p>
    <w:p>
      <w:pPr>
        <w:pStyle w:val="ListBullet"/>
        <w:pageBreakBefore w:val="0"/>
        <w:widowControl/>
        <w:spacing w:after="40"/>
      </w:pPr>
      <w:r>
        <w:rPr>
          <w:rFonts w:ascii="Arial" w:hAnsi="Arial"/>
        </w:rPr>
        <w:t>Технический отступ под шапку: 64px; desktop: 88px.</w:t>
      </w:r>
    </w:p>
    <w:p>
      <w:pPr>
        <w:pStyle w:val="ListBullet"/>
        <w:pageBreakBefore w:val="0"/>
        <w:widowControl/>
        <w:spacing w:after="40"/>
      </w:pPr>
      <w:r>
        <w:rPr>
          <w:rFonts w:ascii="Arial" w:hAnsi="Arial"/>
        </w:rPr>
        <w:t>Фиксированная нижняя панель «Позвонить / WhatsApp» учитывает env(safe-area-inset-bottom).</w:t>
      </w:r>
    </w:p>
    <w:p>
      <w:pPr>
        <w:pStyle w:val="ListBullet"/>
        <w:pageBreakBefore w:val="0"/>
        <w:widowControl/>
        <w:spacing w:after="40"/>
      </w:pPr>
      <w:r>
        <w:rPr>
          <w:rFonts w:ascii="Arial" w:hAnsi="Arial"/>
        </w:rPr>
        <w:t>Панель не перекрывает форму, футер, системные элементы и контент.</w:t>
      </w:r>
    </w:p>
    <w:p>
      <w:pPr>
        <w:pStyle w:val="ListBullet"/>
        <w:pageBreakBefore w:val="0"/>
        <w:widowControl/>
        <w:spacing w:after="40"/>
      </w:pPr>
      <w:r>
        <w:rPr>
          <w:rFonts w:ascii="Arial" w:hAnsi="Arial"/>
        </w:rPr>
        <w:t>Кнопки и интерактивные элементы имеют область нажатия не менее 44×44px.</w:t>
      </w:r>
    </w:p>
    <w:p>
      <w:pPr>
        <w:pStyle w:val="Heading1"/>
        <w:keepNext/>
        <w:pageBreakBefore w:val="0"/>
        <w:widowControl/>
      </w:pPr>
      <w:r>
        <w:rPr>
          <w:color w:val="000000"/>
        </w:rPr>
        <w:t>4 Обязательная структура главной страницы</w:t>
      </w:r>
    </w:p>
    <w:p>
      <w:pPr>
        <w:pageBreakBefore w:val="0"/>
        <w:widowControl/>
      </w:pPr>
      <w:r>
        <w:t>На странице один доминирующий CTA; телефон и WhatsApp визуально вторичны. Калькулятор или короткая форма доступны не позднее третьего–четвёртого мобильного экрана. Пересекающиеся блоки ситуаций и услуг объединяются; доказательства компактны, кейс содержит до трёх согласованных фотографий, повторные галереи удаляются, FAQ в аккордеоне. Для существующей переработанной страницы сохраняется контрольный снимок и ориентир сокращения высоты 20–25%; для новой страницы применяется ранний доступ к форме, без сокращения от несуществующей базы. Основной CTA — «Получить расчёт», requested_action=calculate.</w:t>
      </w:r>
    </w:p>
    <w:p>
      <w:pPr>
        <w:pStyle w:val="Heading2"/>
        <w:keepNext/>
        <w:pageBreakBefore w:val="0"/>
        <w:widowControl/>
      </w:pPr>
      <w:r>
        <w:rPr>
          <w:color w:val="000000"/>
        </w:rPr>
        <w:t>4.1 Технический отступ и навигация</w:t>
      </w:r>
    </w:p>
    <w:p>
      <w:pPr>
        <w:pageBreakBefore w:val="0"/>
        <w:widowControl/>
        <w:spacing w:after="100"/>
      </w:pPr>
      <w:r>
        <w:rPr>
          <w:rFonts w:ascii="Arial" w:hAnsi="Arial"/>
        </w:rPr>
        <w:t>Корневой контейнер #pz-home-page. Первая секция учитывает --site-header-space: 88px desktop и 64px mobile. Глобальную шапку Tilda не переопределять.</w:t>
      </w:r>
    </w:p>
    <w:p>
      <w:pPr>
        <w:pageBreakBefore w:val="0"/>
        <w:widowControl/>
        <w:spacing w:after="100"/>
      </w:pPr>
      <w:r>
        <w:rPr>
          <w:rFonts w:ascii="Arial" w:hAnsi="Arial"/>
        </w:rPr>
        <w:t>Верхнее меню: Услуги, Срочная помощь, Калькуляторы, База знаний, Кейсы, О компании, Контакты. Справа — телефон и основная кнопка «Вызвать инженера».</w:t>
      </w:r>
    </w:p>
    <w:p>
      <w:pPr>
        <w:pStyle w:val="Heading2"/>
        <w:keepNext/>
        <w:pageBreakBefore w:val="0"/>
        <w:widowControl/>
      </w:pPr>
      <w:r>
        <w:rPr>
          <w:color w:val="000000"/>
        </w:rPr>
        <w:t>4.2 Первый экран Hero</w:t>
      </w:r>
    </w:p>
    <w:tbl>
      <w:tblPr>
        <w:tblStyle w:val="TableGrid"/>
        <w:tblW w:type="auto" w:w="0"/>
        <w:jc w:val="center"/>
        <w:tblLook w:firstColumn="1" w:firstRow="1" w:lastColumn="0" w:lastRow="0" w:noHBand="0" w:noVBand="1" w:val="04A0"/>
      </w:tblPr>
      <w:tblGrid>
        <w:gridCol w:w="5099"/>
        <w:gridCol w:w="5099"/>
      </w:tblGrid>
      <w:tr>
        <w:trPr>
          <w:tblHeader w:val="true"/>
          <w:tblHeader/>
          <w:tblHeader/>
        </w:trPr>
        <w:tc>
          <w:tcPr>
            <w:tcW w:type="dxa" w:w="2438"/>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Элемент</w:t>
            </w:r>
          </w:p>
        </w:tc>
        <w:tc>
          <w:tcPr>
            <w:tcW w:type="dxa" w:w="7427"/>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Требование</w:t>
            </w:r>
          </w:p>
        </w:tc>
      </w:tr>
      <w:tr>
        <w:trPr>
          <w:cantSplit/>
        </w:trPr>
        <w:tc>
          <w:tcPr>
            <w:tcW w:type="dxa" w:w="243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География</w:t>
            </w:r>
          </w:p>
        </w:tc>
        <w:tc>
          <w:tcPr>
            <w:tcW w:type="dxa" w:w="7427"/>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Алматы и Алматинская область</w:t>
            </w:r>
          </w:p>
        </w:tc>
      </w:tr>
      <w:tr>
        <w:trPr>
          <w:cantSplit/>
        </w:trPr>
        <w:tc>
          <w:tcPr>
            <w:tcW w:type="dxa" w:w="243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H1</w:t>
            </w:r>
          </w:p>
        </w:tc>
        <w:tc>
          <w:tcPr>
            <w:tcW w:type="dxa" w:w="7427"/>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Пожарная безопасность для бизнеса в Алматы</w:t>
            </w:r>
          </w:p>
        </w:tc>
      </w:tr>
      <w:tr>
        <w:trPr>
          <w:cantSplit/>
        </w:trPr>
        <w:tc>
          <w:tcPr>
            <w:tcW w:type="dxa" w:w="243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Подзаголовок</w:t>
            </w:r>
          </w:p>
        </w:tc>
        <w:tc>
          <w:tcPr>
            <w:tcW w:type="dxa" w:w="7427"/>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Обследуем объект, рассчитаем стоимость и предложим решение по монтажу, обслуживанию или устранению неисправностей</w:t>
            </w:r>
          </w:p>
        </w:tc>
      </w:tr>
      <w:tr>
        <w:trPr>
          <w:cantSplit/>
        </w:trPr>
        <w:tc>
          <w:tcPr>
            <w:tcW w:type="dxa" w:w="243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Основной CTA</w:t>
            </w:r>
          </w:p>
        </w:tc>
        <w:tc>
          <w:tcPr>
            <w:tcW w:type="dxa" w:w="7427"/>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Рассчитать стоимость</w:t>
            </w:r>
          </w:p>
        </w:tc>
      </w:tr>
      <w:tr>
        <w:trPr>
          <w:cantSplit/>
        </w:trPr>
        <w:tc>
          <w:tcPr>
            <w:tcW w:type="dxa" w:w="243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Второй CTA</w:t>
            </w:r>
          </w:p>
        </w:tc>
        <w:tc>
          <w:tcPr>
            <w:tcW w:type="dxa" w:w="7427"/>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Вызвать инженера</w:t>
            </w:r>
          </w:p>
        </w:tc>
      </w:tr>
      <w:tr>
        <w:trPr>
          <w:cantSplit/>
        </w:trPr>
        <w:tc>
          <w:tcPr>
            <w:tcW w:type="dxa" w:w="243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Дополнительный контакт</w:t>
            </w:r>
          </w:p>
        </w:tc>
        <w:tc>
          <w:tcPr>
            <w:tcW w:type="dxa" w:w="7427"/>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WhatsApp и кликабельный телефон</w:t>
            </w:r>
          </w:p>
        </w:tc>
      </w:tr>
      <w:tr>
        <w:trPr>
          <w:cantSplit/>
        </w:trPr>
        <w:tc>
          <w:tcPr>
            <w:tcW w:type="dxa" w:w="243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Чипсы</w:t>
            </w:r>
          </w:p>
        </w:tc>
        <w:tc>
          <w:tcPr>
            <w:tcW w:type="dxa" w:w="7427"/>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Лицензия №23028116; более 10 лет работы; коммерческие и промышленные объекты — только после подтверждения формулировок</w:t>
            </w:r>
          </w:p>
        </w:tc>
      </w:tr>
      <w:tr>
        <w:trPr>
          <w:cantSplit/>
        </w:trPr>
        <w:tc>
          <w:tcPr>
            <w:tcW w:type="dxa" w:w="243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Hero-форма</w:t>
            </w:r>
          </w:p>
        </w:tc>
        <w:tc>
          <w:tcPr>
            <w:tcW w:type="dxa" w:w="7427"/>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Тип объекта, площадь, задача, телефон, согласие</w:t>
            </w:r>
          </w:p>
        </w:tc>
      </w:tr>
    </w:tbl>
    <w:p>
      <w:pPr>
        <w:pageBreakBefore w:val="0"/>
        <w:widowControl/>
        <w:spacing w:after="40"/>
      </w:pPr>
    </w:p>
    <w:p>
      <w:pPr>
        <w:pageBreakBefore w:val="0"/>
        <w:widowControl/>
        <w:spacing w:after="100"/>
      </w:pPr>
      <w:r>
        <w:rPr>
          <w:rFonts w:ascii="Arial" w:hAnsi="Arial"/>
        </w:rPr>
        <w:t>Hero не должен начинаться с длинного перечня услуг. Пользователь должен понять результат и выбрать действие за первые несколько секунд.</w:t>
      </w:r>
    </w:p>
    <w:p>
      <w:pPr>
        <w:pStyle w:val="Heading2"/>
        <w:keepNext/>
        <w:pageBreakBefore w:val="0"/>
        <w:widowControl/>
      </w:pPr>
      <w:r>
        <w:rPr>
          <w:color w:val="000000"/>
        </w:rPr>
        <w:t>4.3 Панель доказательств</w:t>
      </w:r>
    </w:p>
    <w:p>
      <w:pPr>
        <w:pageBreakBefore w:val="0"/>
        <w:widowControl/>
        <w:spacing w:after="100"/>
      </w:pPr>
      <w:r>
        <w:rPr>
          <w:rFonts w:ascii="Arial" w:hAnsi="Arial"/>
        </w:rPr>
        <w:t>Четыре проверяемых показателя с разделителями. Предварительный набор: срок работы компании, количество выполненных объектов, номер лицензии, территория обслуживания. Каждая цифра подтверждается внутренним документом до публикации.</w:t>
      </w:r>
    </w:p>
    <w:p>
      <w:pPr>
        <w:pStyle w:val="Heading2"/>
        <w:keepNext/>
        <w:pageBreakBefore w:val="0"/>
        <w:widowControl/>
      </w:pPr>
      <w:r>
        <w:rPr>
          <w:color w:val="000000"/>
        </w:rPr>
        <w:t>4.4 Калькулятор быстрого выбора</w:t>
      </w:r>
    </w:p>
    <w:p>
      <w:pPr>
        <w:pageBreakBefore w:val="0"/>
        <w:widowControl/>
        <w:spacing w:after="100"/>
      </w:pPr>
      <w:r>
        <w:t>Калькулятор на главной реализуется как MVP-квиз из 3–4 шагов без сложного многофакторного сценария и десятка полей. Он собирает базовые параметры объекта, показывает предварительную смету и при необходимости переводит пользователя в профильный калькулятор.</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680"/>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Шаг</w:t>
            </w:r>
          </w:p>
        </w:tc>
        <w:tc>
          <w:tcPr>
            <w:tcW w:type="dxa" w:w="2324"/>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Поле</w:t>
            </w:r>
          </w:p>
        </w:tc>
        <w:tc>
          <w:tcPr>
            <w:tcW w:type="dxa" w:w="6917"/>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Варианты</w:t>
            </w:r>
          </w:p>
        </w:tc>
      </w:tr>
      <w:tr>
        <w:trPr>
          <w:cantSplit/>
        </w:trPr>
        <w:tc>
          <w:tcPr>
            <w:tcW w:type="dxa" w:w="680"/>
            <w:vAlign w:val="center"/>
            <w:tcMar>
              <w:top w:w="100" w:type="dxa"/>
              <w:start w:w="110" w:type="dxa"/>
              <w:bottom w:w="100" w:type="dxa"/>
              <w:end w:w="110" w:type="dxa"/>
            </w:tcMar>
          </w:tcPr>
          <w:p>
            <w:pPr>
              <w:keepNext w:val="0"/>
              <w:pageBreakBefore w:val="0"/>
              <w:spacing w:after="0"/>
              <w:jc w:val="center"/>
            </w:pPr>
            <w:r>
              <w:t>1</w:t>
            </w:r>
          </w:p>
        </w:tc>
        <w:tc>
          <w:tcPr>
            <w:tcW w:type="dxa" w:w="2324"/>
            <w:vAlign w:val="center"/>
            <w:tcMar>
              <w:top w:w="100" w:type="dxa"/>
              <w:start w:w="110" w:type="dxa"/>
              <w:bottom w:w="100" w:type="dxa"/>
              <w:end w:w="110" w:type="dxa"/>
            </w:tcMar>
          </w:tcPr>
          <w:p>
            <w:pPr>
              <w:keepNext w:val="0"/>
              <w:pageBreakBefore w:val="0"/>
              <w:spacing w:after="0"/>
            </w:pPr>
            <w:r>
              <w:t>Тип объекта</w:t>
            </w:r>
          </w:p>
        </w:tc>
        <w:tc>
          <w:tcPr>
            <w:tcW w:type="dxa" w:w="6917"/>
            <w:vAlign w:val="center"/>
            <w:tcMar>
              <w:top w:w="100" w:type="dxa"/>
              <w:start w:w="110" w:type="dxa"/>
              <w:bottom w:w="100" w:type="dxa"/>
              <w:end w:w="110" w:type="dxa"/>
            </w:tcMar>
          </w:tcPr>
          <w:p>
            <w:pPr>
              <w:keepNext w:val="0"/>
              <w:pageBreakBefore w:val="0"/>
              <w:spacing w:after="0"/>
            </w:pPr>
            <w:r>
              <w:t>Склад; офис; общепит</w:t>
            </w:r>
          </w:p>
        </w:tc>
      </w:tr>
      <w:tr>
        <w:trPr>
          <w:cantSplit/>
        </w:trPr>
        <w:tc>
          <w:tcPr>
            <w:tcW w:type="dxa" w:w="680"/>
            <w:vAlign w:val="center"/>
            <w:tcMar>
              <w:top w:w="100" w:type="dxa"/>
              <w:start w:w="110" w:type="dxa"/>
              <w:bottom w:w="100" w:type="dxa"/>
              <w:end w:w="110" w:type="dxa"/>
            </w:tcMar>
            <w:shd w:fill="F5F7F6"/>
          </w:tcPr>
          <w:p>
            <w:pPr>
              <w:keepNext w:val="0"/>
              <w:pageBreakBefore w:val="0"/>
              <w:spacing w:after="0"/>
              <w:jc w:val="center"/>
            </w:pPr>
            <w:r>
              <w:t>2</w:t>
            </w:r>
          </w:p>
        </w:tc>
        <w:tc>
          <w:tcPr>
            <w:tcW w:type="dxa" w:w="2324"/>
            <w:vAlign w:val="center"/>
            <w:tcMar>
              <w:top w:w="100" w:type="dxa"/>
              <w:start w:w="110" w:type="dxa"/>
              <w:bottom w:w="100" w:type="dxa"/>
              <w:end w:w="110" w:type="dxa"/>
            </w:tcMar>
            <w:shd w:fill="F5F7F6"/>
          </w:tcPr>
          <w:p>
            <w:pPr>
              <w:keepNext w:val="0"/>
              <w:pageBreakBefore w:val="0"/>
              <w:spacing w:after="0"/>
            </w:pPr>
            <w:r>
              <w:t>Площадь</w:t>
            </w:r>
          </w:p>
        </w:tc>
        <w:tc>
          <w:tcPr>
            <w:tcW w:type="dxa" w:w="6917"/>
            <w:vAlign w:val="center"/>
            <w:tcMar>
              <w:top w:w="100" w:type="dxa"/>
              <w:start w:w="110" w:type="dxa"/>
              <w:bottom w:w="100" w:type="dxa"/>
              <w:end w:w="110" w:type="dxa"/>
            </w:tcMar>
            <w:shd w:fill="F5F7F6"/>
          </w:tcPr>
          <w:p>
            <w:pPr>
              <w:keepNext w:val="0"/>
              <w:pageBreakBefore w:val="0"/>
              <w:spacing w:after="0"/>
            </w:pPr>
            <w:r>
              <w:t>До 200; 200–500; 500–1500; 1500+ м²</w:t>
            </w:r>
          </w:p>
        </w:tc>
      </w:tr>
      <w:tr>
        <w:trPr>
          <w:cantSplit/>
        </w:trPr>
        <w:tc>
          <w:tcPr>
            <w:tcW w:type="dxa" w:w="680"/>
            <w:vAlign w:val="center"/>
            <w:tcMar>
              <w:top w:w="100" w:type="dxa"/>
              <w:start w:w="110" w:type="dxa"/>
              <w:bottom w:w="100" w:type="dxa"/>
              <w:end w:w="110" w:type="dxa"/>
            </w:tcMar>
          </w:tcPr>
          <w:p>
            <w:pPr>
              <w:keepNext w:val="0"/>
              <w:pageBreakBefore w:val="0"/>
              <w:spacing w:after="0"/>
              <w:jc w:val="center"/>
            </w:pPr>
            <w:r>
              <w:t>3</w:t>
            </w:r>
          </w:p>
        </w:tc>
        <w:tc>
          <w:tcPr>
            <w:tcW w:type="dxa" w:w="2324"/>
            <w:vAlign w:val="center"/>
            <w:tcMar>
              <w:top w:w="100" w:type="dxa"/>
              <w:start w:w="110" w:type="dxa"/>
              <w:bottom w:w="100" w:type="dxa"/>
              <w:end w:w="110" w:type="dxa"/>
            </w:tcMar>
          </w:tcPr>
          <w:p>
            <w:pPr>
              <w:keepNext w:val="0"/>
              <w:pageBreakBefore w:val="0"/>
              <w:spacing w:after="0"/>
            </w:pPr>
            <w:r>
              <w:t>Состояние</w:t>
            </w:r>
          </w:p>
        </w:tc>
        <w:tc>
          <w:tcPr>
            <w:tcW w:type="dxa" w:w="6917"/>
            <w:vAlign w:val="center"/>
            <w:tcMar>
              <w:top w:w="100" w:type="dxa"/>
              <w:start w:w="110" w:type="dxa"/>
              <w:bottom w:w="100" w:type="dxa"/>
              <w:end w:w="110" w:type="dxa"/>
            </w:tcMar>
          </w:tcPr>
          <w:p>
            <w:pPr>
              <w:keepNext w:val="0"/>
              <w:pageBreakBefore w:val="0"/>
              <w:spacing w:after="0"/>
            </w:pPr>
            <w:r>
              <w:t>С нуля; замена; есть проект</w:t>
            </w:r>
          </w:p>
        </w:tc>
      </w:tr>
      <w:tr>
        <w:trPr>
          <w:cantSplit/>
        </w:trPr>
        <w:tc>
          <w:tcPr>
            <w:tcW w:type="dxa" w:w="680"/>
            <w:vAlign w:val="center"/>
            <w:tcMar>
              <w:top w:w="100" w:type="dxa"/>
              <w:start w:w="110" w:type="dxa"/>
              <w:bottom w:w="100" w:type="dxa"/>
              <w:end w:w="110" w:type="dxa"/>
            </w:tcMar>
            <w:shd w:fill="F5F7F6"/>
          </w:tcPr>
          <w:p>
            <w:pPr>
              <w:keepNext w:val="0"/>
              <w:pageBreakBefore w:val="0"/>
              <w:spacing w:after="0"/>
              <w:jc w:val="center"/>
            </w:pPr>
            <w:r>
              <w:t>4</w:t>
            </w:r>
          </w:p>
        </w:tc>
        <w:tc>
          <w:tcPr>
            <w:tcW w:type="dxa" w:w="2324"/>
            <w:vAlign w:val="center"/>
            <w:tcMar>
              <w:top w:w="100" w:type="dxa"/>
              <w:start w:w="110" w:type="dxa"/>
              <w:bottom w:w="100" w:type="dxa"/>
              <w:end w:w="110" w:type="dxa"/>
            </w:tcMar>
            <w:shd w:fill="F5F7F6"/>
          </w:tcPr>
          <w:p>
            <w:pPr>
              <w:keepNext w:val="0"/>
              <w:pageBreakBefore w:val="0"/>
              <w:spacing w:after="0"/>
            </w:pPr>
            <w:r>
              <w:t>Предварительная смета</w:t>
            </w:r>
          </w:p>
        </w:tc>
        <w:tc>
          <w:tcPr>
            <w:tcW w:type="dxa" w:w="6917"/>
            <w:vAlign w:val="center"/>
            <w:tcMar>
              <w:top w:w="100" w:type="dxa"/>
              <w:start w:w="110" w:type="dxa"/>
              <w:bottom w:w="100" w:type="dxa"/>
              <w:end w:w="110" w:type="dxa"/>
            </w:tcMar>
            <w:shd w:fill="F5F7F6"/>
          </w:tcPr>
          <w:p>
            <w:pPr>
              <w:keepNext w:val="0"/>
              <w:pageBreakBefore w:val="0"/>
              <w:spacing w:after="0"/>
            </w:pPr>
            <w:r>
              <w:t>Показать ориентировочную вилку; для точного расчета запросить имя, телефон, организацию и согласие</w:t>
            </w:r>
          </w:p>
        </w:tc>
      </w:tr>
    </w:tbl>
    <w:p>
      <w:pPr>
        <w:pageBreakBefore w:val="0"/>
        <w:widowControl/>
        <w:spacing w:after="40"/>
      </w:pPr>
    </w:p>
    <w:p>
      <w:pPr>
        <w:pageBreakBefore w:val="0"/>
        <w:widowControl/>
        <w:spacing w:after="100"/>
      </w:pPr>
      <w:r>
        <w:rPr>
          <w:rFonts w:ascii="Arial" w:hAnsi="Arial"/>
        </w:rPr>
        <w:t>Результат: понятная ориентировочная вилка или сообщение о необходимости обследования. Точная сумма формируется после квалификации. Нельзя скрывать весь результат за телефоном без объяснения ценности.</w:t>
      </w:r>
    </w:p>
    <w:p>
      <w:pPr>
        <w:pStyle w:val="Heading2"/>
        <w:keepNext/>
        <w:pageBreakBefore w:val="0"/>
        <w:widowControl/>
      </w:pPr>
      <w:r>
        <w:rPr>
          <w:color w:val="000000"/>
        </w:rPr>
        <w:t>4.5 С чем обращаются клиенты</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1984"/>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Карточка</w:t>
            </w:r>
          </w:p>
        </w:tc>
        <w:tc>
          <w:tcPr>
            <w:tcW w:type="dxa" w:w="436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Вопрос посетителю</w:t>
            </w:r>
          </w:p>
        </w:tc>
        <w:tc>
          <w:tcPr>
            <w:tcW w:type="dxa" w:w="351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CTA и маршрут</w:t>
            </w:r>
          </w:p>
        </w:tc>
      </w:tr>
      <w:tr>
        <w:trPr>
          <w:cantSplit/>
        </w:trPr>
        <w:tc>
          <w:tcPr>
            <w:tcW w:type="dxa" w:w="198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Новый объект</w:t>
            </w:r>
          </w:p>
        </w:tc>
        <w:tc>
          <w:tcPr>
            <w:tcW w:type="dxa" w:w="436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Нужно спроектировать и смонтировать систему?</w:t>
            </w:r>
          </w:p>
        </w:tc>
        <w:tc>
          <w:tcPr>
            <w:tcW w:type="dxa" w:w="351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Рассчитать монтаж → /montazh/</w:t>
            </w:r>
          </w:p>
        </w:tc>
      </w:tr>
      <w:tr>
        <w:trPr>
          <w:cantSplit/>
        </w:trPr>
        <w:tc>
          <w:tcPr>
            <w:tcW w:type="dxa" w:w="198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Действующий объект</w:t>
            </w:r>
          </w:p>
        </w:tc>
        <w:tc>
          <w:tcPr>
            <w:tcW w:type="dxa" w:w="436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Нужно регулярное обслуживание?</w:t>
            </w:r>
          </w:p>
        </w:tc>
        <w:tc>
          <w:tcPr>
            <w:tcW w:type="dxa" w:w="351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Рассчитать тариф → /obsluzhivanie/</w:t>
            </w:r>
          </w:p>
        </w:tc>
      </w:tr>
      <w:tr>
        <w:trPr>
          <w:cantSplit/>
        </w:trPr>
        <w:tc>
          <w:tcPr>
            <w:tcW w:type="dxa" w:w="198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Неисправность</w:t>
            </w:r>
          </w:p>
        </w:tc>
        <w:tc>
          <w:tcPr>
            <w:tcW w:type="dxa" w:w="436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Система срабатывает, пищит или показывает ошибку?</w:t>
            </w:r>
          </w:p>
        </w:tc>
        <w:tc>
          <w:tcPr>
            <w:tcW w:type="dxa" w:w="351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Срочный выезд → /srabotka/</w:t>
            </w:r>
          </w:p>
        </w:tc>
      </w:tr>
      <w:tr>
        <w:trPr>
          <w:cantSplit/>
        </w:trPr>
        <w:tc>
          <w:tcPr>
            <w:tcW w:type="dxa" w:w="198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Проверка</w:t>
            </w:r>
          </w:p>
        </w:tc>
        <w:tc>
          <w:tcPr>
            <w:tcW w:type="dxa" w:w="436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Нужно подготовить объект к проверке?</w:t>
            </w:r>
          </w:p>
        </w:tc>
        <w:tc>
          <w:tcPr>
            <w:tcW w:type="dxa" w:w="351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Записаться на аудит → /audit/</w:t>
            </w:r>
          </w:p>
        </w:tc>
      </w:tr>
      <w:tr>
        <w:trPr>
          <w:cantSplit/>
        </w:trPr>
        <w:tc>
          <w:tcPr>
            <w:tcW w:type="dxa" w:w="198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Смена подрядчика</w:t>
            </w:r>
          </w:p>
        </w:tc>
        <w:tc>
          <w:tcPr>
            <w:tcW w:type="dxa" w:w="436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Не устраивает текущая организация?</w:t>
            </w:r>
          </w:p>
        </w:tc>
        <w:tc>
          <w:tcPr>
            <w:tcW w:type="dxa" w:w="351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Обследовать систему → /smena-podryadchika/</w:t>
            </w:r>
          </w:p>
        </w:tc>
      </w:tr>
      <w:tr>
        <w:trPr>
          <w:cantSplit/>
        </w:trPr>
        <w:tc>
          <w:tcPr>
            <w:tcW w:type="dxa" w:w="198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Отдельная услуга</w:t>
            </w:r>
          </w:p>
        </w:tc>
        <w:tc>
          <w:tcPr>
            <w:tcW w:type="dxa" w:w="436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Нужны огнетушители, планы или испытания?</w:t>
            </w:r>
          </w:p>
        </w:tc>
        <w:tc>
          <w:tcPr>
            <w:tcW w:type="dxa" w:w="351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Выбрать услугу → /uslugi/</w:t>
            </w:r>
          </w:p>
        </w:tc>
      </w:tr>
    </w:tbl>
    <w:p>
      <w:pPr>
        <w:pageBreakBefore w:val="0"/>
        <w:widowControl/>
        <w:spacing w:after="40"/>
      </w:pPr>
    </w:p>
    <w:p>
      <w:pPr>
        <w:pageBreakBefore w:val="0"/>
        <w:widowControl/>
      </w:pPr>
      <w:r>
        <w:br w:type="page"/>
      </w:r>
    </w:p>
    <w:p>
      <w:pPr>
        <w:pStyle w:val="Heading2"/>
        <w:keepNext/>
        <w:pageBreakBefore w:val="0"/>
        <w:widowControl/>
      </w:pPr>
      <w:r>
        <w:rPr>
          <w:color w:val="000000"/>
        </w:rPr>
        <w:t>4.6 Основные услуги</w:t>
      </w:r>
    </w:p>
    <w:p>
      <w:pPr>
        <w:pageBreakBefore w:val="0"/>
        <w:widowControl/>
        <w:spacing w:after="100"/>
      </w:pPr>
      <w:r>
        <w:rPr>
          <w:rFonts w:ascii="Arial" w:hAnsi="Arial"/>
        </w:rPr>
        <w:t>Показать 6–8 карточек, не весь каталог. Каждая карточка содержит конкретный результат, ссылку и один CTA.</w:t>
      </w:r>
    </w:p>
    <w:p>
      <w:pPr>
        <w:pStyle w:val="ListBullet"/>
        <w:pageBreakBefore w:val="0"/>
        <w:widowControl/>
        <w:spacing w:after="40"/>
      </w:pPr>
      <w:r>
        <w:rPr>
          <w:rFonts w:ascii="Arial" w:hAnsi="Arial"/>
        </w:rPr>
        <w:t>Обслуживание АПС</w:t>
      </w:r>
    </w:p>
    <w:p>
      <w:pPr>
        <w:pStyle w:val="ListBullet"/>
        <w:pageBreakBefore w:val="0"/>
        <w:widowControl/>
        <w:spacing w:after="40"/>
      </w:pPr>
      <w:r>
        <w:rPr>
          <w:rFonts w:ascii="Arial" w:hAnsi="Arial"/>
        </w:rPr>
        <w:t>Монтаж АПС</w:t>
      </w:r>
    </w:p>
    <w:p>
      <w:pPr>
        <w:pStyle w:val="ListBullet"/>
        <w:pageBreakBefore w:val="0"/>
        <w:widowControl/>
        <w:spacing w:after="40"/>
      </w:pPr>
      <w:r>
        <w:rPr>
          <w:rFonts w:ascii="Arial" w:hAnsi="Arial"/>
        </w:rPr>
        <w:t>Пожарный аудит</w:t>
      </w:r>
    </w:p>
    <w:p>
      <w:pPr>
        <w:pStyle w:val="ListBullet"/>
        <w:pageBreakBefore w:val="0"/>
        <w:widowControl/>
        <w:spacing w:after="40"/>
      </w:pPr>
      <w:r>
        <w:rPr>
          <w:rFonts w:ascii="Arial" w:hAnsi="Arial"/>
        </w:rPr>
        <w:t>Срочная диагностика и ремонт</w:t>
      </w:r>
    </w:p>
    <w:p>
      <w:pPr>
        <w:pStyle w:val="ListBullet"/>
        <w:pageBreakBefore w:val="0"/>
        <w:widowControl/>
        <w:spacing w:after="40"/>
      </w:pPr>
      <w:r>
        <w:rPr>
          <w:rFonts w:ascii="Arial" w:hAnsi="Arial"/>
        </w:rPr>
        <w:t>Перезарядка огнетушителей</w:t>
      </w:r>
    </w:p>
    <w:p>
      <w:pPr>
        <w:pStyle w:val="ListBullet"/>
        <w:pageBreakBefore w:val="0"/>
        <w:widowControl/>
        <w:spacing w:after="40"/>
      </w:pPr>
      <w:r>
        <w:rPr>
          <w:rFonts w:ascii="Arial" w:hAnsi="Arial"/>
        </w:rPr>
        <w:t>Планы эвакуации</w:t>
      </w:r>
    </w:p>
    <w:p>
      <w:pPr>
        <w:pStyle w:val="ListBullet"/>
        <w:pageBreakBefore w:val="0"/>
        <w:widowControl/>
        <w:spacing w:after="40"/>
      </w:pPr>
      <w:r>
        <w:rPr>
          <w:rFonts w:ascii="Arial" w:hAnsi="Arial"/>
        </w:rPr>
        <w:t>Испытание пожарных кранов</w:t>
      </w:r>
    </w:p>
    <w:p>
      <w:pPr>
        <w:pStyle w:val="ListBullet"/>
        <w:pageBreakBefore w:val="0"/>
        <w:widowControl/>
        <w:spacing w:after="40"/>
      </w:pPr>
      <w:r>
        <w:rPr>
          <w:rFonts w:ascii="Arial" w:hAnsi="Arial"/>
        </w:rPr>
        <w:t>Модернизация АПС</w:t>
      </w:r>
    </w:p>
    <w:p>
      <w:pPr>
        <w:pStyle w:val="Heading2"/>
        <w:keepNext/>
        <w:pageBreakBefore w:val="0"/>
        <w:widowControl/>
      </w:pPr>
      <w:r>
        <w:rPr>
          <w:color w:val="000000"/>
        </w:rPr>
        <w:t>4.7 Пакеты обслуживания</w:t>
      </w:r>
    </w:p>
    <w:p>
      <w:pPr>
        <w:pageBreakBefore w:val="0"/>
        <w:widowControl/>
      </w:pPr>
      <w:r>
        <w:t>Коммерческий состав обычного ТО: проверка помещений по чек-листу, два капитальных ТО с тестированием и два отдельных тестирования в год; отчёт на следующий рабочий день с приоритетами и динамикой устранения замечаний. Применимость и технические операции определяются по назначению объекта, системе, эксплуатационной документации, действующим нормам и договору. Этот цикл не включён в Базовый Кузет.</w:t>
      </w:r>
    </w:p>
    <w:p>
      <w:pPr>
        <w:pageBreakBefore w:val="0"/>
        <w:widowControl/>
        <w:spacing w:after="100"/>
      </w:pPr>
      <w:r>
        <w:rPr>
          <w:rFonts w:ascii="Arial" w:hAnsi="Arial"/>
        </w:rPr>
        <w:t>Контроль — техническое обслуживание, эксплуатационный журнал и ежегодное обследование. Защита — дополнительно согласованная документация, обучение и бесплатные консультации; тренировки и сопровождение являются платными опциями. Премиум — пожарный аутсорсинг, документация и журналы, тренировки и сопровождение проверок, один предварительный аудит в год вместо базового ежегодного обследования. Стоимость рассчитывается индивидуально; при численности более 50 сотрудников учитывать дополнительного инженера. Кузет — отдельное предложение, не нижний пакет обычного ТО.</w:t>
      </w:r>
    </w:p>
    <w:p>
      <w:pPr>
        <w:pStyle w:val="Heading2"/>
        <w:keepNext/>
        <w:pageBreakBefore w:val="0"/>
        <w:widowControl/>
      </w:pPr>
      <w:r>
        <w:rPr>
          <w:color w:val="000000"/>
        </w:rPr>
        <w:t>4.8 Почему выбирают компанию</w:t>
      </w:r>
    </w:p>
    <w:p>
      <w:pPr>
        <w:pageBreakBefore w:val="0"/>
        <w:widowControl/>
        <w:spacing w:after="100"/>
      </w:pPr>
      <w:r>
        <w:rPr>
          <w:rFonts w:ascii="Arial" w:hAnsi="Arial"/>
        </w:rPr>
        <w:t>Не более шести доказательств: лицензия, опыт, архив отчетности, собственные инженеры, регламент обработки заявок, работа с промышленными объектами. Общие слова без подтверждения не использовать.</w:t>
      </w:r>
    </w:p>
    <w:p>
      <w:pPr>
        <w:pStyle w:val="Heading2"/>
        <w:keepNext/>
        <w:pageBreakBefore w:val="0"/>
        <w:widowControl/>
      </w:pPr>
      <w:r>
        <w:rPr>
          <w:color w:val="000000"/>
        </w:rPr>
        <w:t>4.9 Этапы работы</w:t>
      </w:r>
    </w:p>
    <w:p>
      <w:pPr>
        <w:pStyle w:val="ListNumber"/>
        <w:pageBreakBefore w:val="0"/>
        <w:widowControl/>
        <w:spacing w:after="60"/>
      </w:pPr>
      <w:r>
        <w:rPr>
          <w:rFonts w:ascii="Arial" w:hAnsi="Arial"/>
        </w:rPr>
        <w:t>Получаем данные об объекте</w:t>
      </w:r>
    </w:p>
    <w:p>
      <w:pPr>
        <w:pStyle w:val="ListNumber"/>
        <w:pageBreakBefore w:val="0"/>
        <w:widowControl/>
        <w:spacing w:after="60"/>
      </w:pPr>
      <w:r>
        <w:rPr>
          <w:rFonts w:ascii="Arial" w:hAnsi="Arial"/>
        </w:rPr>
        <w:t>Проводим первичную квалификацию</w:t>
      </w:r>
    </w:p>
    <w:p>
      <w:pPr>
        <w:pStyle w:val="ListNumber"/>
        <w:pageBreakBefore w:val="0"/>
        <w:widowControl/>
        <w:spacing w:after="60"/>
      </w:pPr>
      <w:r>
        <w:rPr>
          <w:rFonts w:ascii="Arial" w:hAnsi="Arial"/>
        </w:rPr>
        <w:t>Назначаем выезд при необходимости</w:t>
      </w:r>
    </w:p>
    <w:p>
      <w:pPr>
        <w:pStyle w:val="ListNumber"/>
        <w:pageBreakBefore w:val="0"/>
        <w:widowControl/>
        <w:spacing w:after="60"/>
      </w:pPr>
      <w:r>
        <w:rPr>
          <w:rFonts w:ascii="Arial" w:hAnsi="Arial"/>
        </w:rPr>
        <w:t>Фиксируем состояние и требования</w:t>
      </w:r>
    </w:p>
    <w:p>
      <w:pPr>
        <w:pStyle w:val="ListNumber"/>
        <w:pageBreakBefore w:val="0"/>
        <w:widowControl/>
        <w:spacing w:after="60"/>
      </w:pPr>
      <w:r>
        <w:rPr>
          <w:rFonts w:ascii="Arial" w:hAnsi="Arial"/>
        </w:rPr>
        <w:t>Готовим расчет или коммерческое предложение</w:t>
      </w:r>
    </w:p>
    <w:p>
      <w:pPr>
        <w:pStyle w:val="ListNumber"/>
        <w:pageBreakBefore w:val="0"/>
        <w:widowControl/>
        <w:spacing w:after="60"/>
      </w:pPr>
      <w:r>
        <w:rPr>
          <w:rFonts w:ascii="Arial" w:hAnsi="Arial"/>
        </w:rPr>
        <w:t>Заключаем договор и выполняем работы</w:t>
      </w:r>
    </w:p>
    <w:p>
      <w:pPr>
        <w:pStyle w:val="Heading2"/>
        <w:keepNext/>
        <w:pageBreakBefore w:val="0"/>
        <w:widowControl/>
      </w:pPr>
      <w:r>
        <w:rPr>
          <w:color w:val="000000"/>
        </w:rPr>
        <w:t>4.10 Кейсы</w:t>
      </w:r>
    </w:p>
    <w:p>
      <w:pPr>
        <w:pageBreakBefore w:val="0"/>
        <w:widowControl/>
        <w:spacing w:after="100"/>
      </w:pPr>
      <w:r>
        <w:rPr>
          <w:rFonts w:ascii="Arial" w:hAnsi="Arial"/>
        </w:rPr>
        <w:t>Показать 3–5 кейсов. Карточка: тип и площадь объекта, исходная проблема, выполненные работы, срок, измеримый результат, до трёх фотографий и ссылка на полный кейс. Не раскрывать персональные или режимные сведения.</w:t>
      </w:r>
    </w:p>
    <w:p>
      <w:pPr>
        <w:pStyle w:val="Heading2"/>
        <w:keepNext/>
        <w:pageBreakBefore w:val="0"/>
        <w:widowControl/>
      </w:pPr>
      <w:r>
        <w:rPr>
          <w:color w:val="000000"/>
        </w:rPr>
        <w:t>4.11 Реальные работы</w:t>
      </w:r>
    </w:p>
    <w:p>
      <w:pPr>
        <w:pageBreakBefore w:val="0"/>
        <w:widowControl/>
        <w:spacing w:after="100"/>
      </w:pPr>
      <w:r>
        <w:rPr>
          <w:rFonts w:ascii="Arial" w:hAnsi="Arial"/>
        </w:rPr>
        <w:t>До трёх согласованных фотографий JPG/WebP с техническими подписями, loading="lazy", decoding="async" и заданными width/height. Оригинал открывается в доступном модальном окне с закрытием кнопкой, фоном и Esc.</w:t>
      </w:r>
    </w:p>
    <w:p>
      <w:pPr>
        <w:pStyle w:val="Heading2"/>
        <w:keepNext/>
        <w:pageBreakBefore w:val="0"/>
        <w:widowControl/>
      </w:pPr>
      <w:r>
        <w:rPr>
          <w:color w:val="000000"/>
        </w:rPr>
        <w:t>4.12 Лицензии и документы</w:t>
      </w:r>
    </w:p>
    <w:p>
      <w:pPr>
        <w:pageBreakBefore w:val="0"/>
        <w:widowControl/>
        <w:spacing w:after="100"/>
      </w:pPr>
      <w:r>
        <w:rPr>
          <w:rFonts w:ascii="Arial" w:hAnsi="Arial"/>
        </w:rPr>
        <w:t>Показать небольшие превью лицензии и образцов отчетных документов. Персональные сведения скрыть. PDF не встраивать: использовать JPG/WebP и безопасную ссылку на согласованный оригинал.</w:t>
      </w:r>
    </w:p>
    <w:p>
      <w:pPr>
        <w:pStyle w:val="Heading2"/>
        <w:keepNext/>
        <w:pageBreakBefore w:val="0"/>
        <w:widowControl/>
      </w:pPr>
      <w:r>
        <w:rPr>
          <w:color w:val="000000"/>
        </w:rPr>
        <w:t>4.13 Отрасли клиентов</w:t>
      </w:r>
    </w:p>
    <w:p>
      <w:pPr>
        <w:pageBreakBefore w:val="0"/>
        <w:widowControl/>
        <w:spacing w:after="100"/>
      </w:pPr>
      <w:r>
        <w:rPr>
          <w:rFonts w:ascii="Arial" w:hAnsi="Arial"/>
        </w:rPr>
        <w:t>Склады и логистика, производство, офисы и бизнес-центры, торговля, HoReCa, медицинские объекты. Ссылки ведут на существующие отраслевые страницы; не публиковать ссылки на 404.</w:t>
      </w:r>
    </w:p>
    <w:p>
      <w:pPr>
        <w:pStyle w:val="Heading2"/>
        <w:keepNext/>
        <w:pageBreakBefore w:val="0"/>
        <w:widowControl/>
      </w:pPr>
      <w:r>
        <w:rPr>
          <w:color w:val="000000"/>
        </w:rPr>
        <w:t>4.14 FAQ</w:t>
      </w:r>
    </w:p>
    <w:p>
      <w:pPr>
        <w:pageBreakBefore w:val="0"/>
        <w:widowControl/>
        <w:spacing w:after="100"/>
      </w:pPr>
      <w:r>
        <w:rPr>
          <w:rFonts w:ascii="Arial" w:hAnsi="Arial"/>
        </w:rPr>
        <w:t>Использовать нативные &lt;details&gt;/&lt;summary&gt;. Минимальный набор вопросов:</w:t>
      </w:r>
    </w:p>
    <w:p>
      <w:pPr>
        <w:pStyle w:val="ListBullet"/>
        <w:pageBreakBefore w:val="0"/>
        <w:widowControl/>
        <w:spacing w:after="40"/>
      </w:pPr>
      <w:r>
        <w:rPr>
          <w:rFonts w:ascii="Arial" w:hAnsi="Arial"/>
        </w:rPr>
        <w:t>Когда нужен выезд инженера, а когда достаточно данных для расчета?</w:t>
      </w:r>
    </w:p>
    <w:p>
      <w:pPr>
        <w:pStyle w:val="ListBullet"/>
        <w:pageBreakBefore w:val="0"/>
        <w:widowControl/>
        <w:spacing w:after="40"/>
      </w:pPr>
      <w:r>
        <w:rPr>
          <w:rFonts w:ascii="Arial" w:hAnsi="Arial"/>
        </w:rPr>
        <w:t>Какие исходные данные нужны для предварительной стоимости?</w:t>
      </w:r>
    </w:p>
    <w:p>
      <w:pPr>
        <w:pStyle w:val="ListBullet"/>
        <w:pageBreakBefore w:val="0"/>
        <w:widowControl/>
        <w:spacing w:after="40"/>
      </w:pPr>
      <w:r>
        <w:rPr>
          <w:rFonts w:ascii="Arial" w:hAnsi="Arial"/>
        </w:rPr>
        <w:t>Сколько времени занимает подготовка расчета?</w:t>
      </w:r>
    </w:p>
    <w:p>
      <w:pPr>
        <w:pStyle w:val="ListBullet"/>
        <w:pageBreakBefore w:val="0"/>
        <w:widowControl/>
        <w:spacing w:after="40"/>
      </w:pPr>
      <w:r>
        <w:rPr>
          <w:rFonts w:ascii="Arial" w:hAnsi="Arial"/>
        </w:rPr>
        <w:t>Какие документы получает клиент?</w:t>
      </w:r>
    </w:p>
    <w:p>
      <w:pPr>
        <w:pStyle w:val="ListBullet"/>
        <w:pageBreakBefore w:val="0"/>
        <w:widowControl/>
        <w:spacing w:after="40"/>
      </w:pPr>
      <w:r>
        <w:rPr>
          <w:rFonts w:ascii="Arial" w:hAnsi="Arial"/>
        </w:rPr>
        <w:t>От чего зависит стоимость обслуживания и монтажа?</w:t>
      </w:r>
    </w:p>
    <w:p>
      <w:pPr>
        <w:pStyle w:val="ListBullet"/>
        <w:pageBreakBefore w:val="0"/>
        <w:widowControl/>
        <w:spacing w:after="40"/>
      </w:pPr>
      <w:r>
        <w:rPr>
          <w:rFonts w:ascii="Arial" w:hAnsi="Arial"/>
        </w:rPr>
        <w:t>Работаете ли вы за пределами Алматы?</w:t>
      </w:r>
    </w:p>
    <w:p>
      <w:pPr>
        <w:pStyle w:val="ListBullet"/>
        <w:pageBreakBefore w:val="0"/>
        <w:widowControl/>
        <w:spacing w:after="40"/>
      </w:pPr>
      <w:r>
        <w:rPr>
          <w:rFonts w:ascii="Arial" w:hAnsi="Arial"/>
        </w:rPr>
        <w:t>Какие гарантии и ограничения фиксируются в договоре?</w:t>
      </w:r>
    </w:p>
    <w:p>
      <w:pPr>
        <w:pStyle w:val="Heading2"/>
        <w:keepNext/>
        <w:pageBreakBefore w:val="0"/>
        <w:widowControl/>
      </w:pPr>
      <w:r>
        <w:rPr>
          <w:color w:val="000000"/>
        </w:rPr>
        <w:t>4.15 Финальный CTA</w:t>
      </w:r>
    </w:p>
    <w:p>
      <w:pPr>
        <w:pageBreakBefore w:val="0"/>
        <w:widowControl/>
        <w:spacing w:after="100"/>
      </w:pPr>
      <w:r>
        <w:rPr>
          <w:rFonts w:ascii="Arial" w:hAnsi="Arial"/>
        </w:rPr>
        <w:t>Заголовок: «Получите расчет или назначьте обследование объекта». Форма содержит переключатель цели «Расчет / Выезд», имя, организацию, телефон, тип объекта, площадь, комментарий и согласие. После успешной отправки показать ожидаемый срок обратной связи.</w:t>
      </w:r>
    </w:p>
    <w:p>
      <w:pPr>
        <w:pStyle w:val="Heading2"/>
        <w:keepNext/>
        <w:pageBreakBefore w:val="0"/>
        <w:widowControl/>
      </w:pPr>
      <w:r>
        <w:rPr>
          <w:color w:val="000000"/>
        </w:rPr>
        <w:t>4.16 Футер и мобильная панель</w:t>
      </w:r>
    </w:p>
    <w:p>
      <w:pPr>
        <w:pageBreakBefore w:val="0"/>
        <w:widowControl/>
        <w:spacing w:after="100"/>
      </w:pPr>
      <w:r>
        <w:rPr>
          <w:rFonts w:ascii="Arial" w:hAnsi="Arial"/>
        </w:rPr>
        <w:t>Футер: телефон, WhatsApp, адрес, режим работы, зона обслуживания, реквизиты, ссылки на услуги, кейсы, политику и пользовательское соглашение. На мобильной версии — панель «Позвонить / WhatsApp» с Safe Area.</w:t>
      </w:r>
    </w:p>
    <w:p>
      <w:pPr>
        <w:pageBreakBefore w:val="0"/>
        <w:widowControl/>
      </w:pPr>
      <w:r>
        <w:br w:type="page"/>
      </w:r>
    </w:p>
    <w:p>
      <w:pPr>
        <w:pStyle w:val="Heading1"/>
        <w:keepNext/>
        <w:pageBreakBefore w:val="0"/>
        <w:widowControl/>
      </w:pPr>
      <w:r>
        <w:rPr>
          <w:color w:val="000000"/>
        </w:rPr>
        <w:t>5 Контент требования</w:t>
      </w:r>
    </w:p>
    <w:p>
      <w:pPr>
        <w:pStyle w:val="ListBullet"/>
        <w:pageBreakBefore w:val="0"/>
        <w:widowControl/>
        <w:spacing w:after="40"/>
      </w:pPr>
      <w:r>
        <w:rPr>
          <w:rFonts w:ascii="Arial" w:hAnsi="Arial"/>
        </w:rPr>
        <w:t>Писать для бизнеса и ответственных за объект, а не для абстрактного потребителя.</w:t>
      </w:r>
    </w:p>
    <w:p>
      <w:pPr>
        <w:pStyle w:val="ListBullet"/>
        <w:pageBreakBefore w:val="0"/>
        <w:widowControl/>
        <w:spacing w:after="40"/>
      </w:pPr>
      <w:r>
        <w:rPr>
          <w:rFonts w:ascii="Arial" w:hAnsi="Arial"/>
        </w:rPr>
        <w:t>Первый экран отвечает на вопросы: что делает компания, для кого, где и какой следующий шаг.</w:t>
      </w:r>
    </w:p>
    <w:p>
      <w:pPr>
        <w:pStyle w:val="ListBullet"/>
        <w:pageBreakBefore w:val="0"/>
        <w:widowControl/>
        <w:spacing w:after="40"/>
      </w:pPr>
      <w:r>
        <w:rPr>
          <w:rFonts w:ascii="Arial" w:hAnsi="Arial"/>
        </w:rPr>
        <w:t>Каждый блок содержит факты, результат или выбор; повторяющиеся рекламные абзацы исключить.</w:t>
      </w:r>
    </w:p>
    <w:p>
      <w:pPr>
        <w:pStyle w:val="ListBullet"/>
        <w:pageBreakBefore w:val="0"/>
        <w:widowControl/>
        <w:spacing w:after="40"/>
      </w:pPr>
      <w:r>
        <w:rPr>
          <w:rFonts w:ascii="Arial" w:hAnsi="Arial"/>
        </w:rPr>
        <w:t>Цены указывать диапазоном, «от» или формулой расчета с пояснением факторов.</w:t>
      </w:r>
    </w:p>
    <w:p>
      <w:pPr>
        <w:pStyle w:val="ListBullet"/>
        <w:pageBreakBefore w:val="0"/>
        <w:widowControl/>
        <w:spacing w:after="40"/>
      </w:pPr>
      <w:r>
        <w:rPr>
          <w:rFonts w:ascii="Arial" w:hAnsi="Arial"/>
        </w:rPr>
        <w:t>Все технические и нормативные утверждения проверяет пожарный инженер.</w:t>
      </w:r>
    </w:p>
    <w:p>
      <w:pPr>
        <w:pStyle w:val="ListBullet"/>
        <w:pageBreakBefore w:val="0"/>
        <w:widowControl/>
        <w:spacing w:after="40"/>
      </w:pPr>
      <w:r>
        <w:rPr>
          <w:rFonts w:ascii="Arial" w:hAnsi="Arial"/>
        </w:rPr>
        <w:t>Фотографии только реальные, с указанием типа работ и без персональных данных.</w:t>
      </w:r>
    </w:p>
    <w:p>
      <w:pPr>
        <w:pStyle w:val="ListBullet"/>
        <w:pageBreakBefore w:val="0"/>
        <w:widowControl/>
        <w:spacing w:after="40"/>
      </w:pPr>
      <w:r>
        <w:rPr>
          <w:rFonts w:ascii="Arial" w:hAnsi="Arial"/>
        </w:rPr>
        <w:t>Не использовать утверждения «гарантируем отсутствие штрафов», «100% безопасность» или «лучшие в Алматы».</w:t>
      </w:r>
    </w:p>
    <w:p>
      <w:pPr>
        <w:pStyle w:val="Heading1"/>
        <w:keepNext/>
        <w:pageBreakBefore w:val="0"/>
        <w:widowControl/>
      </w:pPr>
      <w:r>
        <w:rPr>
          <w:color w:val="000000"/>
        </w:rPr>
        <w:t>6 SEO и семантика</w:t>
      </w:r>
    </w:p>
    <w:p>
      <w:pPr>
        <w:pageBreakBefore w:val="0"/>
        <w:widowControl/>
      </w:pPr>
      <w:r>
        <w:t>Для ритейла до 500 м² добавить отдельный переход /kuzet/ после публикации страницы. Основную линейку Контроль / Защита / Премиум сохранять. Базовый Кузет — наблюдение и аварийное реагирование без планового ТО; цены и аренда показываются только по отдельному ТЗ Кузет. Не снижать приоритет заявки автоматически из-за малой площади.</w:t>
      </w:r>
    </w:p>
    <w:p>
      <w:pPr>
        <w:pStyle w:val="Heading2"/>
        <w:keepNext/>
        <w:pageBreakBefore w:val="0"/>
        <w:widowControl/>
      </w:pPr>
      <w:r>
        <w:rPr>
          <w:color w:val="000000"/>
        </w:rPr>
        <w:t>6.1 Основной поисковый фокус</w:t>
      </w:r>
    </w:p>
    <w:p>
      <w:pPr>
        <w:pageBreakBefore w:val="0"/>
        <w:widowControl/>
        <w:spacing w:after="100"/>
      </w:pPr>
      <w:r>
        <w:rPr>
          <w:rFonts w:ascii="Arial" w:hAnsi="Arial"/>
        </w:rPr>
        <w:t>Главная страница продвигает бренд и общий коммерческий запрос по пожарной безопасности и пожарной сигнализации в Алматы. Узкие запросы распределяются по профильным страницам, чтобы главная не конкурировала с /montazh/, /obsluzhivanie/, /audit/ и /srabotka/.</w:t>
      </w:r>
    </w:p>
    <w:tbl>
      <w:tblPr>
        <w:tblStyle w:val="TableGrid"/>
        <w:tblW w:type="auto" w:w="0"/>
        <w:jc w:val="center"/>
        <w:tblLook w:firstColumn="1" w:firstRow="1" w:lastColumn="0" w:lastRow="0" w:noHBand="0" w:noVBand="1" w:val="04A0"/>
      </w:tblPr>
      <w:tblGrid>
        <w:gridCol w:w="5099"/>
        <w:gridCol w:w="5099"/>
      </w:tblGrid>
      <w:tr>
        <w:trPr>
          <w:tblHeader w:val="true"/>
          <w:tblHeader/>
          <w:tblHeader/>
        </w:trPr>
        <w:tc>
          <w:tcPr>
            <w:tcW w:type="dxa" w:w="238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Элемент</w:t>
            </w:r>
          </w:p>
        </w:tc>
        <w:tc>
          <w:tcPr>
            <w:tcW w:type="dxa" w:w="7483"/>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Требование</w:t>
            </w:r>
          </w:p>
        </w:tc>
      </w:tr>
      <w:tr>
        <w:trPr>
          <w:cantSplit/>
        </w:trPr>
        <w:tc>
          <w:tcPr>
            <w:tcW w:type="dxa" w:w="238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Title</w:t>
            </w:r>
          </w:p>
        </w:tc>
        <w:tc>
          <w:tcPr>
            <w:tcW w:type="dxa" w:w="7483"/>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Пожарная безопасность для бизнеса в Алматы | Pozharnik.kz</w:t>
            </w:r>
          </w:p>
        </w:tc>
      </w:tr>
      <w:tr>
        <w:trPr>
          <w:cantSplit/>
        </w:trPr>
        <w:tc>
          <w:tcPr>
            <w:tcW w:type="dxa" w:w="238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Description</w:t>
            </w:r>
          </w:p>
        </w:tc>
        <w:tc>
          <w:tcPr>
            <w:tcW w:type="dxa" w:w="7483"/>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Монтаж, обслуживание и аудит систем пожарной безопасности в Алматы. Рассчитайте стоимость или вызовите инженера на объект.</w:t>
            </w:r>
          </w:p>
        </w:tc>
      </w:tr>
      <w:tr>
        <w:trPr>
          <w:cantSplit/>
        </w:trPr>
        <w:tc>
          <w:tcPr>
            <w:tcW w:type="dxa" w:w="238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Canonical</w:t>
            </w:r>
          </w:p>
        </w:tc>
        <w:tc>
          <w:tcPr>
            <w:tcW w:type="dxa" w:w="7483"/>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https://pozharnik.kz/</w:t>
            </w:r>
          </w:p>
        </w:tc>
      </w:tr>
      <w:tr>
        <w:trPr>
          <w:cantSplit/>
        </w:trPr>
        <w:tc>
          <w:tcPr>
            <w:tcW w:type="dxa" w:w="238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H1</w:t>
            </w:r>
          </w:p>
        </w:tc>
        <w:tc>
          <w:tcPr>
            <w:tcW w:type="dxa" w:w="7483"/>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Пожарная безопасность для бизнеса в Алматы</w:t>
            </w:r>
          </w:p>
        </w:tc>
      </w:tr>
      <w:tr>
        <w:trPr>
          <w:cantSplit/>
        </w:trPr>
        <w:tc>
          <w:tcPr>
            <w:tcW w:type="dxa" w:w="238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Основные темы</w:t>
            </w:r>
          </w:p>
        </w:tc>
        <w:tc>
          <w:tcPr>
            <w:tcW w:type="dxa" w:w="7483"/>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Пожарная сигнализация; обслуживание АПС; монтаж; аудит; выезд инженера; расчет стоимости</w:t>
            </w:r>
          </w:p>
        </w:tc>
      </w:tr>
    </w:tbl>
    <w:p>
      <w:pPr>
        <w:pageBreakBefore w:val="0"/>
        <w:widowControl/>
        <w:spacing w:after="40"/>
      </w:pPr>
    </w:p>
    <w:p>
      <w:pPr>
        <w:pStyle w:val="Heading2"/>
        <w:keepNext/>
        <w:pageBreakBefore w:val="0"/>
        <w:widowControl/>
      </w:pPr>
      <w:r>
        <w:rPr>
          <w:color w:val="000000"/>
        </w:rPr>
        <w:t>6.2 Head и разметка</w:t>
      </w:r>
    </w:p>
    <w:p>
      <w:pPr>
        <w:pStyle w:val="ListBullet"/>
        <w:pageBreakBefore w:val="0"/>
        <w:widowControl/>
        <w:spacing w:after="40"/>
      </w:pPr>
      <w:r>
        <w:rPr>
          <w:rFonts w:ascii="Arial" w:hAnsi="Arial"/>
        </w:rPr>
        <w:t>title до 60–65 символов и description 140–170 символов;</w:t>
      </w:r>
    </w:p>
    <w:p>
      <w:pPr>
        <w:pStyle w:val="ListBullet"/>
        <w:pageBreakBefore w:val="0"/>
        <w:widowControl/>
        <w:spacing w:after="40"/>
      </w:pPr>
      <w:r>
        <w:rPr>
          <w:rFonts w:ascii="Arial" w:hAnsi="Arial"/>
        </w:rPr>
        <w:t>canonical, favicon, apple-touch-icon;</w:t>
      </w:r>
    </w:p>
    <w:p>
      <w:pPr>
        <w:pStyle w:val="ListBullet"/>
        <w:pageBreakBefore w:val="0"/>
        <w:widowControl/>
        <w:spacing w:after="40"/>
      </w:pPr>
      <w:r>
        <w:rPr>
          <w:rFonts w:ascii="Arial" w:hAnsi="Arial"/>
        </w:rPr>
        <w:t>og:type=website, og:locale=ru_KZ, og:title, og:description, og:url, og:image;</w:t>
      </w:r>
    </w:p>
    <w:p>
      <w:pPr>
        <w:pStyle w:val="ListBullet"/>
        <w:pageBreakBefore w:val="0"/>
        <w:widowControl/>
        <w:spacing w:after="40"/>
      </w:pPr>
      <w:r>
        <w:rPr>
          <w:rFonts w:ascii="Arial" w:hAnsi="Arial"/>
        </w:rPr>
        <w:t>один H1; логичная иерархия H2/H3;</w:t>
      </w:r>
    </w:p>
    <w:p>
      <w:pPr>
        <w:pStyle w:val="ListBullet"/>
        <w:pageBreakBefore w:val="0"/>
        <w:widowControl/>
        <w:spacing w:after="40"/>
      </w:pPr>
      <w:r>
        <w:rPr>
          <w:rFonts w:ascii="Arial" w:hAnsi="Arial"/>
        </w:rPr>
        <w:t>main, nav, section, article, figure, figcaption, details и footer;</w:t>
      </w:r>
    </w:p>
    <w:p>
      <w:pPr>
        <w:pStyle w:val="ListBullet"/>
        <w:pageBreakBefore w:val="0"/>
        <w:widowControl/>
        <w:spacing w:after="40"/>
      </w:pPr>
      <w:r>
        <w:rPr>
          <w:rFonts w:ascii="Arial" w:hAnsi="Arial"/>
        </w:rPr>
        <w:t>JSON-LD Organization или LocalBusiness, WebSite, BreadcrumbList при необходимости и FAQPage только для видимого FAQ;</w:t>
      </w:r>
    </w:p>
    <w:p>
      <w:pPr>
        <w:pStyle w:val="ListBullet"/>
        <w:pageBreakBefore w:val="0"/>
        <w:widowControl/>
        <w:spacing w:after="40"/>
      </w:pPr>
      <w:r>
        <w:rPr>
          <w:rFonts w:ascii="Arial" w:hAnsi="Arial"/>
        </w:rPr>
        <w:t>данные JSON-LD полностью совпадают с видимым текстом.</w:t>
      </w:r>
    </w:p>
    <w:p>
      <w:pPr>
        <w:pStyle w:val="Heading2"/>
        <w:keepNext/>
        <w:pageBreakBefore w:val="0"/>
        <w:widowControl/>
      </w:pPr>
      <w:r>
        <w:rPr>
          <w:color w:val="000000"/>
        </w:rPr>
        <w:t>6.3 Внутренняя перелинковка</w:t>
      </w:r>
    </w:p>
    <w:p>
      <w:pPr>
        <w:pageBreakBefore w:val="0"/>
        <w:widowControl/>
        <w:spacing w:after="100"/>
      </w:pPr>
      <w:r>
        <w:rPr>
          <w:rFonts w:ascii="Arial" w:hAnsi="Arial"/>
        </w:rPr>
        <w:t>Главная должна передавать приоритет следующим страницам: /obsluzhivanie/, /montazh/, /srabotka/, /audit/, /perezaryadka-ognetushiteley/, /plany-evakuacii/, /kalkulyatory/, /keysy/, /pakety/ и /kontakty/. До публикации каждой ссылки проверять статус 200 и релевантный canonical.</w:t>
      </w:r>
    </w:p>
    <w:p>
      <w:pPr>
        <w:pStyle w:val="Heading1"/>
        <w:keepNext/>
        <w:pageBreakBefore w:val="0"/>
        <w:widowControl/>
      </w:pPr>
      <w:r>
        <w:rPr>
          <w:color w:val="000000"/>
        </w:rPr>
        <w:t>7 Формы и интеграции</w:t>
      </w:r>
    </w:p>
    <w:p>
      <w:pPr>
        <w:pStyle w:val="Heading2"/>
        <w:keepNext/>
        <w:pageBreakBefore w:val="0"/>
        <w:widowControl/>
      </w:pPr>
      <w:r>
        <w:rPr>
          <w:color w:val="000000"/>
        </w:rPr>
        <w:t>7.1 Формы</w:t>
      </w:r>
    </w:p>
    <w:p>
      <w:pPr>
        <w:pStyle w:val="ListBullet"/>
        <w:pageBreakBefore w:val="0"/>
        <w:widowControl/>
        <w:spacing w:after="40"/>
      </w:pPr>
      <w:r>
        <w:rPr>
          <w:rFonts w:ascii="Arial" w:hAnsi="Arial"/>
        </w:rPr>
        <w:t>Используют reportValidity() перед отправкой.</w:t>
      </w:r>
    </w:p>
    <w:p>
      <w:pPr>
        <w:pStyle w:val="ListBullet"/>
        <w:pageBreakBefore w:val="0"/>
        <w:widowControl/>
        <w:spacing w:after="40"/>
      </w:pPr>
      <w:r>
        <w:rPr>
          <w:rFonts w:ascii="Arial" w:hAnsi="Arial"/>
        </w:rPr>
        <w:t>Телефон обязателен и имеет маску +7 (7XX) XXX-XX-XX, autocomplete="tel", inputmode="tel".</w:t>
      </w:r>
    </w:p>
    <w:p>
      <w:pPr>
        <w:pStyle w:val="ListBullet"/>
        <w:pageBreakBefore w:val="0"/>
        <w:widowControl/>
        <w:spacing w:after="40"/>
      </w:pPr>
      <w:r>
        <w:rPr>
          <w:rFonts w:ascii="Arial" w:hAnsi="Arial"/>
        </w:rPr>
        <w:t>Требуется явное согласие с политикой конфиденциальности.</w:t>
      </w:r>
    </w:p>
    <w:p>
      <w:pPr>
        <w:pStyle w:val="ListBullet"/>
        <w:pageBreakBefore w:val="0"/>
        <w:widowControl/>
        <w:spacing w:after="40"/>
      </w:pPr>
      <w:r>
        <w:rPr>
          <w:rFonts w:ascii="Arial" w:hAnsi="Arial"/>
        </w:rPr>
        <w:t>Кнопка блокируется на время запроса и защищена от повторной отправки.</w:t>
      </w:r>
    </w:p>
    <w:p>
      <w:pPr>
        <w:pStyle w:val="ListBullet"/>
        <w:pageBreakBefore w:val="0"/>
        <w:widowControl/>
        <w:spacing w:after="40"/>
      </w:pPr>
      <w:r>
        <w:rPr>
          <w:rFonts w:ascii="Arial" w:hAnsi="Arial"/>
        </w:rPr>
        <w:t>После результата показываются .pz-success или .pz-error.</w:t>
      </w:r>
    </w:p>
    <w:p>
      <w:pPr>
        <w:pStyle w:val="ListBullet"/>
        <w:pageBreakBefore w:val="0"/>
        <w:widowControl/>
        <w:spacing w:after="40"/>
      </w:pPr>
      <w:r>
        <w:rPr>
          <w:rFonts w:ascii="Arial" w:hAnsi="Arial"/>
        </w:rPr>
        <w:t>Успешно отправленная форма очищается после фиксации ответа.</w:t>
      </w:r>
    </w:p>
    <w:p>
      <w:pPr>
        <w:pStyle w:val="ListBullet"/>
        <w:pageBreakBefore w:val="0"/>
        <w:widowControl/>
        <w:spacing w:after="40"/>
      </w:pPr>
      <w:r>
        <w:rPr>
          <w:rFonts w:ascii="Arial" w:hAnsi="Arial"/>
        </w:rPr>
        <w:t>Основная заявка и аналитика отправляются независимо.</w:t>
      </w:r>
    </w:p>
    <w:p>
      <w:pPr>
        <w:pStyle w:val="ListBullet"/>
        <w:pageBreakBefore w:val="0"/>
        <w:widowControl/>
        <w:spacing w:after="40"/>
      </w:pPr>
      <w:r>
        <w:rPr>
          <w:rFonts w:ascii="Arial" w:hAnsi="Arial"/>
        </w:rPr>
        <w:t>Ошибка аналитического endpoint не должна скрывать успешную отправку заявки.</w:t>
      </w:r>
    </w:p>
    <w:p>
      <w:pPr>
        <w:pStyle w:val="ListBullet"/>
        <w:pageBreakBefore w:val="0"/>
        <w:widowControl/>
        <w:spacing w:after="40"/>
      </w:pPr>
      <w:r>
        <w:rPr>
          <w:rFonts w:ascii="Arial" w:hAnsi="Arial"/>
        </w:rPr>
        <w:t>Секреты CRM, Telegram и другие ключи запрещено размещать в клиентском HTML.</w:t>
      </w:r>
    </w:p>
    <w:p>
      <w:pPr>
        <w:pStyle w:val="Heading2"/>
        <w:keepNext/>
        <w:pageBreakBefore w:val="0"/>
        <w:widowControl/>
      </w:pPr>
      <w:r>
        <w:rPr>
          <w:color w:val="000000"/>
        </w:rPr>
        <w:t>7.2 Формы главной страницы</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blHeader/>
          <w:tblHeader/>
        </w:trPr>
        <w:tc>
          <w:tcPr>
            <w:tcW w:type="dxa" w:w="1814"/>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Форма</w:t>
            </w:r>
          </w:p>
        </w:tc>
        <w:tc>
          <w:tcPr>
            <w:tcW w:type="dxa" w:w="453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Поля</w:t>
            </w:r>
          </w:p>
        </w:tc>
        <w:tc>
          <w:tcPr>
            <w:tcW w:type="dxa" w:w="170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lead_type</w:t>
            </w:r>
          </w:p>
        </w:tc>
        <w:tc>
          <w:tcPr>
            <w:tcW w:type="dxa" w:w="187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CRM категория</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Hero</w:t>
            </w:r>
          </w:p>
        </w:tc>
        <w:tc>
          <w:tcPr>
            <w:tcW w:type="dxa" w:w="453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Цель, тип объекта, площадь, телефон, согласие</w:t>
            </w:r>
          </w:p>
        </w:tc>
        <w:tc>
          <w:tcPr>
            <w:tcW w:type="dxa" w:w="170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homepage_express</w:t>
            </w:r>
          </w:p>
        </w:tc>
        <w:tc>
          <w:tcPr>
            <w:tcW w:type="dxa" w:w="187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По выбранной цели</w:t>
            </w:r>
          </w:p>
        </w:tc>
      </w:tr>
      <w:tr>
        <w:trPr>
          <w:cantSplit/>
        </w:trPr>
        <w:tc>
          <w:tcPr>
            <w:tcW w:type="dxa" w:w="181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Калькулятор</w:t>
            </w:r>
          </w:p>
        </w:tc>
        <w:tc>
          <w:tcPr>
            <w:tcW w:type="dxa" w:w="453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Все ответы, результат, имя, организация, телефон, согласие</w:t>
            </w:r>
          </w:p>
        </w:tc>
        <w:tc>
          <w:tcPr>
            <w:tcW w:type="dxa" w:w="170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calculation</w:t>
            </w:r>
          </w:p>
        </w:tc>
        <w:tc>
          <w:tcPr>
            <w:tcW w:type="dxa" w:w="187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Расчет</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Финальный CTA</w:t>
            </w:r>
          </w:p>
        </w:tc>
        <w:tc>
          <w:tcPr>
            <w:tcW w:type="dxa" w:w="453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Расчет/выезд, имя, организация, телефон, объект, площадь, комментарий</w:t>
            </w:r>
          </w:p>
        </w:tc>
        <w:tc>
          <w:tcPr>
            <w:tcW w:type="dxa" w:w="170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homepage_final</w:t>
            </w:r>
          </w:p>
        </w:tc>
        <w:tc>
          <w:tcPr>
            <w:tcW w:type="dxa" w:w="187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Расчет или выезд</w:t>
            </w:r>
          </w:p>
        </w:tc>
      </w:tr>
    </w:tbl>
    <w:p>
      <w:pPr>
        <w:pageBreakBefore w:val="0"/>
        <w:widowControl/>
        <w:spacing w:after="40"/>
      </w:pPr>
    </w:p>
    <w:p>
      <w:pPr>
        <w:pStyle w:val="Heading2"/>
        <w:keepNext/>
        <w:pageBreakBefore w:val="0"/>
        <w:widowControl/>
      </w:pPr>
      <w:r>
        <w:rPr>
          <w:color w:val="000000"/>
        </w:rPr>
        <w:t>7.3 Endpoint</w:t>
      </w:r>
    </w:p>
    <w:p>
      <w:pPr>
        <w:pageBreakBefore w:val="0"/>
        <w:widowControl/>
        <w:spacing w:after="100"/>
      </w:pPr>
      <w:r>
        <w:rPr>
          <w:rFonts w:ascii="Arial" w:hAnsi="Arial"/>
        </w:rPr>
        <w:t>Отдельный второй запрос с персональными данными в «аналитический endpoint» не отправлять. Cloud Run принимает одну заявку и выполняет серверную запись и доставку; обезличенные веб-события отправляет глобальный модуль.</w:t>
      </w:r>
    </w:p>
    <w:p>
      <w:pPr>
        <w:pageBreakBefore w:val="0"/>
        <w:widowControl/>
        <w:spacing w:after="100"/>
      </w:pPr>
      <w:r>
        <w:rPr>
          <w:rFonts w:ascii="Arial" w:hAnsi="Arial"/>
        </w:rPr>
        <w:t>BigQuery endpoint: https://tilda-webhook-to-bigquery-324633937237.europe-west3.run.app</w:t>
      </w:r>
    </w:p>
    <w:p>
      <w:pPr>
        <w:pStyle w:val="Heading2"/>
        <w:pageBreakBefore w:val="0"/>
        <w:widowControl/>
      </w:pPr>
      <w:r>
        <w:rPr>
          <w:color w:val="000000"/>
        </w:rPr>
        <w:t>7.4 Региональная маршрутизация лид-магнитов</w:t>
      </w:r>
    </w:p>
    <w:p>
      <w:pPr>
        <w:pStyle w:val="ListBullet"/>
        <w:pageBreakBefore w:val="0"/>
        <w:widowControl/>
      </w:pPr>
      <w:r>
        <w:t>Во всех формах лид-магнитов, включая скачивание чек-листа ДЧС и журналов, поле «Город / Регион объекта» является обязательным.</w:t>
      </w:r>
    </w:p>
    <w:p>
      <w:pPr>
        <w:pStyle w:val="ListBullet"/>
        <w:pageBreakBefore w:val="0"/>
        <w:widowControl/>
      </w:pPr>
      <w:r>
        <w:t>Если выбран не Алматы и не Алматинская область, документ выдается автоматически, но лид не передается в отдел продаж; контакт учитывается в аналитике как обращение из другого региона.</w:t>
      </w:r>
    </w:p>
    <w:p>
      <w:pPr>
        <w:pStyle w:val="Heading2"/>
        <w:pageBreakBefore w:val="0"/>
        <w:widowControl/>
      </w:pPr>
      <w:r>
        <w:rPr>
          <w:color w:val="000000"/>
        </w:rPr>
        <w:t>8 Состав данных заявки и маршрут CRM</w:t>
      </w:r>
    </w:p>
    <w:p>
      <w:pPr>
        <w:pageBreakBefore w:val="0"/>
        <w:widowControl/>
      </w:pPr>
      <w:r>
        <w:t>Проверка формы: обязательные поля валидируются до запроса; телефон — в согласованном формате Казахстана, ошибки рядом с полем. На время отправки кнопка заблокирована, при сбое введённые данные сохраняются. Повторный клик не создаёт вторую заявку. Пустые необязательные аналитические ID не блокируют форму.</w:t>
      </w:r>
    </w:p>
    <w:p>
      <w:pPr>
        <w:pageBreakBefore w:val="0"/>
        <w:widowControl/>
      </w:pPr>
      <w:r>
        <w:t>Контекст страницы: page_url, page_path, page_title, page_type, page_name, source_page; формы: form_id, form_name, form_location. Предмет обращения — service_type; отдельное поле service не создавать. Для этой страницы service_type=по выбранной услуге из реестра GTM; requested_action=calculate. customer_type=new по умолчанию; existing — только явно обозначенная форма действующего клиента или подтверждение сервером.</w:t>
      </w:r>
    </w:p>
    <w:p>
      <w:pPr>
        <w:pageBreakBefore w:val="0"/>
        <w:widowControl/>
      </w:pPr>
      <w:r>
        <w:t>Действие CTA: requested_action, cta_location (hero, after_proof, calculator, emergency_block, final_form, sticky_mobile), cta_text. Успешная отправка: event_name, schema_version=2.1, source_system, event_id, sent_at; один event_id создаётся до запроса и сохраняется в форме, dataLayer, Cloud Run, BigQuery и CRM. Новый осмысленный запрос получает новый ID; повтор доставки сохраняет прежний.</w:t>
      </w:r>
    </w:p>
    <w:p>
      <w:pPr>
        <w:pageBreakBefore w:val="0"/>
        <w:widowControl/>
      </w:pPr>
      <w:r>
        <w:t>Атрибуция: utm_source, utm_medium, utm_campaign, utm_id, utm_content, utm_term, search_term и referrer; first_utm_*, first_gclid, first_landing_page, first_referrer, first_visit_at; last_utm_*, last_gclid, last_landing_page, last_referrer, last_visit_at. Первое касание не перезаписывать, последнее обновлять при новом внешнем размеченном заходе; внутренние переходы источник не меняют.</w:t>
      </w:r>
    </w:p>
    <w:p>
      <w:pPr>
        <w:pageBreakBefore w:val="0"/>
        <w:widowControl/>
      </w:pPr>
      <w:r>
        <w:t>Click ID: gclid, gbraid, wbraid, dclid, fbclid, yclid, gad_source — при наличии. Технический контекст: visitor_id, ga_client_id, ga_session_id, ga_session_number, device_type, os, platform, screen_resolution, browser_language, timezone, time_on_page_seconds, max_scroll_percent. ga_client_id получать gtag get с ограниченным ожиданием до 1,5 секунды; отсутствие ID при denied не блокирует запрос.</w:t>
      </w:r>
    </w:p>
    <w:p>
      <w:pPr>
        <w:pageBreakBefore w:val="0"/>
        <w:widowControl/>
      </w:pPr>
      <w:r>
        <w:t>Контактные данные и ответы формы передаются только в защищённый приёмщик и CRM. Сохранять организацию, должность, регион и назначение объекта, площадь object_area, выбранный пакет и полный результат/версию калькулятора, если применимо. Не принуждать к неизвестным ответам и не подставлять вымышленные значения. GA4 и dataLayer не получают имя, телефон, email, БИН, точный адрес, файлы и свободный текст.</w:t>
      </w:r>
    </w:p>
    <w:p>
      <w:pPr>
        <w:pageBreakBefore w:val="0"/>
        <w:widowControl/>
      </w:pPr>
      <w:r>
        <w:t>CRM: ga_client_id → UF_CRM_GA_CLIENT_ID; requested_action → UF_CRM_REQUESTED_ACTION; cta_location/cta_text → одноимённые UF_CRM поля. service_type сохраняется в исходном payload и преобразуется по утверждённой карте в категорию UF_CRM_SERVICE_TYPE; ос → UF_CRM_DEVICE_OS. Физические коды проверить по реестру, не создавать дубли полей. IP/GeoIP определять сервером только в рамках политики.</w:t>
      </w:r>
    </w:p>
    <w:p>
      <w:pPr>
        <w:pageBreakBefore w:val="0"/>
        <w:widowControl/>
      </w:pPr>
      <w:r>
        <w:t>Общий модуль аналитики подключается один раз через действующий GTM-WVGQ5BZ4 и Google tag G-K3055R6Y7X. Главная — эталон подключения. Источник конфигурации — реестр pathname в GTM; window.PZ_PAGE_CONFIG является необязательным переопределением. Для маршрута задать page_type, page_name, source_page, service_type, customer_type, form_name и form_location. Атрибуты CTA: data-requested-action, data-cta-location; формы: data-form-id, data-form-name, data-form-location. Не копировать общий код аналитики в каждую страницу.</w:t>
      </w:r>
    </w:p>
    <w:p>
      <w:pPr>
        <w:pageBreakBefore w:val="0"/>
        <w:widowControl/>
      </w:pPr>
      <w:r>
        <w:t>Один глобальный интерфейс согласия: до выбора consent_analytics, consent_ads и consent_marketing=denied; четыре сигнала Google Consent Mode v2 также denied. «Принять все» допустимо с явным перечислением аналитики, рекламы и рекламных коммуникаций; рядом равнозначная кнопка «Только необходимые» и настройки для изменения выбора. Сохранять consent_timestamp и consent_version. Обязательное согласие на обработку конкретной заявки отдельно в форме; отказ от необязательных согласий не блокирует заявку, скачивание, телефон или WhatsApp. Необязательные системы не загружать и постоянную атрибуцию не сохранять до соответствующего согласия.</w:t>
      </w:r>
    </w:p>
    <w:p>
      <w:pPr>
        <w:pageBreakBefore w:val="0"/>
        <w:widowControl/>
      </w:pPr>
      <w:r>
        <w:t>Рабочий путь коммерческой заявки: страница → прямой запрос в Cloud Run → журнал BigQuery → одна сделка в Общей воронке на стадии «Новая заявка». Первый контакт — 30 минут в рабочее время. Категория обращения не определяет воронку: координатор уточняет потребность и меняет воронку той же сделки, сохраняя исходную услугу, ID обращения и атрибуцию. Второй мост через скрытую форму Tilda не добавлять. Ошибка аналитики или Telegram не меняет успешный статус принятой заявки.</w:t>
      </w:r>
    </w:p>
    <w:p>
      <w:pPr>
        <w:pStyle w:val="Heading2"/>
        <w:pageBreakBefore w:val="0"/>
        <w:widowControl/>
      </w:pPr>
      <w:r>
        <w:rPr>
          <w:color w:val="000000"/>
        </w:rPr>
        <w:t>9 События аналитики и договорная конверсия</w:t>
      </w:r>
    </w:p>
    <w:p>
      <w:pPr>
        <w:pageBreakBefore w:val="0"/>
        <w:widowControl/>
      </w:pPr>
      <w:r>
        <w:t>pz_cta_click — клик по CTA, телефону или WhatsApp; передаёт requested_action, cta_location, cta_text, service_type и канал. pz_calculator_start — первое взаимодействие; pz_calculator_complete — полученный результат с calculator_id и result_band. pz_form_start — первое взаимодействие с формой; pz_form_submit — попытка; pz_form_success — только после успешного приёма фактическим сервером; pz_form_error — ошибка без PII.</w:t>
      </w:r>
    </w:p>
    <w:p>
      <w:pPr>
        <w:pageBreakBefore w:val="0"/>
        <w:widowControl/>
      </w:pPr>
      <w:r>
        <w:t>generate_lead формируется отдельным тегом GTM только из pz_form_success с тем же event_id. Клик, ошибка валидации, показ предварительного диапазона, переход на страницу результата и открытие /success/ лидом не являются. Дополнительные события используют pz_* и заранее зарегистрированную карту; не создавать параллельные старые события.</w:t>
      </w:r>
    </w:p>
    <w:p>
      <w:pPr>
        <w:pageBreakBefore w:val="0"/>
        <w:widowControl/>
      </w:pPr>
      <w:r>
        <w:t>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ageBreakBefore w:val="0"/>
        <w:widowControl/>
      </w:pPr>
      <w:r>
        <w:t>Договорный результат дедуплицируется по подтверждённому ID договора и типу события. Несколько объектных сделок одного договора, повтор вебхука и смена воронки не создают повторную конверсию. Отдельный договор монтажа и отдельный договор ТО учитываются отдельно с сохранением исходного обращения. Продление, допсоглашение, выезд и смена версии адаптера не являются новым привлечением автоматически. Неизвестная прибыль, MRR или value не заменяются нулём; договорный факт сохраняется независимо от готовности финансовых данных.</w:t>
      </w:r>
    </w:p>
    <w:p>
      <w:pPr>
        <w:pageBreakBefore w:val="0"/>
        <w:widowControl/>
      </w:pPr>
      <w:r>
        <w:t>Приёмка: granted/denied, desktop/mobile, повтор event_id, сбой GA4 и Telegram; одна принятая заявка — одна сделка. Проверить точный контекст страницы и значения во всех получателях. Тестовые обращения test_data=true/«TEST — НЕ ЗВОНИТЬ» исключаются из ставок и отчётов. Офлайн-импорт проверяется отдельно; правка ТЗ не подтверждает внедрение.</w:t>
      </w:r>
    </w:p>
    <w:p>
      <w:pPr>
        <w:pStyle w:val="Heading2"/>
        <w:keepNext/>
        <w:pageBreakBefore w:val="0"/>
        <w:widowControl/>
      </w:pPr>
      <w:r>
        <w:rPr>
          <w:color w:val="000000"/>
        </w:rPr>
        <w:t>9.1 Бизнес события из CRM</w:t>
      </w:r>
    </w:p>
    <w:p>
      <w:pPr>
        <w:pageBreakBefore w:val="0"/>
        <w:widowControl/>
        <w:spacing w:after="100"/>
      </w:pPr>
      <w:r>
        <w:rPr>
          <w:rFonts w:ascii="Arial" w:hAnsi="Arial"/>
        </w:rPr>
        <w:t>Следующие события должны импортироваться из Bitrix24 в аналитику и рекламные системы: lead_qualified, visit_scheduled, visit_completed, estimate_sent, deal_won. Главные показатели медиаплана — visit_completed и estimate_sent.</w:t>
      </w:r>
    </w:p>
    <w:p>
      <w:pPr>
        <w:pStyle w:val="Heading2"/>
        <w:pageBreakBefore w:val="0"/>
        <w:widowControl/>
      </w:pPr>
      <w:r>
        <w:rPr>
          <w:color w:val="000000"/>
        </w:rPr>
        <w:t>9.2 Сквозная офлайн-конверсия GA4 и Google Ads</w:t>
      </w:r>
    </w:p>
    <w:p>
      <w:pPr>
        <w:pStyle w:val="ListBullet"/>
        <w:pageBreakBefore w:val="0"/>
        <w:widowControl/>
      </w:pPr>
      <w:r>
        <w:t>В скрипте всех форм получать GA4 clientId методом gtag('get', 'G-K3055R6Y7X', 'client_id', ...) и передавать его вместе с данными формы в UF_CRM_GA_CLIENT_ID. Перед запуском заменить G-K3055R6Y7X на фактический идентификатор потока GA4.</w:t>
      </w:r>
    </w:p>
    <w:p>
      <w:pPr>
        <w:pStyle w:val="ListBullet"/>
        <w:pageBreakBefore w:val="0"/>
        <w:widowControl/>
      </w:pPr>
      <w:r>
        <w:t>При создании лида и сделки сохранять clientId в UF_CRM_GA_CLIENT_ID; при конвертации лида переносить значение в одноименное поле сделки.</w:t>
      </w:r>
    </w:p>
    <w:p>
      <w:pPr>
        <w:pStyle w:val="ListBullet"/>
        <w:pageBreakBefore w:val="0"/>
        <w:widowControl/>
      </w:pPr>
      <w:r>
        <w:t>При переводе сделки в стадию «Выезд состоялся» отправлять в GA4 через Measurement Protocol событие visit_done с соответствующим client_id.</w:t>
      </w:r>
    </w:p>
    <w:p>
      <w:pPr>
        <w:pStyle w:val="ListBullet"/>
        <w:pageBreakBefore w:val="0"/>
        <w:widowControl/>
      </w:pPr>
      <w:r>
        <w:t>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Style w:val="Heading1"/>
        <w:keepNext/>
        <w:pageBreakBefore w:val="0"/>
        <w:widowControl/>
      </w:pPr>
      <w:r>
        <w:rPr>
          <w:color w:val="000000"/>
        </w:rPr>
        <w:t>10 Требования Tilda и медиа</w:t>
      </w:r>
    </w:p>
    <w:p>
      <w:pPr>
        <w:pStyle w:val="Heading2"/>
        <w:keepNext/>
        <w:pageBreakBefore w:val="0"/>
        <w:widowControl/>
      </w:pPr>
      <w:r>
        <w:rPr>
          <w:color w:val="000000"/>
        </w:rPr>
        <w:t>10.1 Установочный пакет</w:t>
      </w:r>
    </w:p>
    <w:p>
      <w:pPr>
        <w:pageBreakBefore w:val="0"/>
        <w:widowControl/>
        <w:spacing w:after="100"/>
      </w:pPr>
      <w:r>
        <w:t>Код страницы передается единым установочным пакетом, как в актуальной реализации podgotovka-k-proverke:</w:t>
      </w:r>
    </w:p>
    <w:p>
      <w:pPr>
        <w:pStyle w:val="ListBullet"/>
        <w:pageBreakBefore w:val="0"/>
        <w:widowControl/>
        <w:spacing w:after="40"/>
      </w:pPr>
      <w:r>
        <w:rPr>
          <w:rFonts w:ascii="Arial" w:hAnsi="Arial"/>
        </w:rPr>
        <w:t>00_README.txt — точная инструкция установки и проверки.</w:t>
      </w:r>
    </w:p>
    <w:p>
      <w:pPr>
        <w:pStyle w:val="ListBullet"/>
        <w:pageBreakBefore w:val="0"/>
        <w:widowControl/>
        <w:spacing w:after="40"/>
      </w:pPr>
      <w:r>
        <w:rPr>
          <w:rFonts w:ascii="Arial" w:hAnsi="Arial"/>
        </w:rPr>
        <w:t>01_HEAD_SEO.html — метатеги, canonical, Open Graph, favicon и apple-touch-icon.</w:t>
      </w:r>
    </w:p>
    <w:p>
      <w:pPr>
        <w:pStyle w:val="ListBullet"/>
        <w:pageBreakBefore w:val="0"/>
        <w:widowControl/>
        <w:spacing w:after="40"/>
      </w:pPr>
      <w:r>
        <w:rPr>
          <w:rFonts w:ascii="Arial" w:hAnsi="Arial"/>
        </w:rPr>
        <w:t>02_PAGE_FULL_T123.html — замкнутая разметка, изолированный CSS, JSON-LD и JavaScript.</w:t>
      </w:r>
    </w:p>
    <w:p>
      <w:pPr>
        <w:pStyle w:val="ListBullet"/>
        <w:pageBreakBefore w:val="0"/>
        <w:widowControl/>
        <w:spacing w:after="40"/>
      </w:pPr>
      <w:r>
        <w:rPr>
          <w:rFonts w:ascii="Arial" w:hAnsi="Arial"/>
        </w:rPr>
        <w:t>test-preview.html — локальная визуальная и функциональная проверка.</w:t>
      </w:r>
    </w:p>
    <w:p>
      <w:pPr>
        <w:pStyle w:val="Heading2"/>
        <w:keepNext/>
        <w:pageBreakBefore w:val="0"/>
        <w:widowControl/>
      </w:pPr>
      <w:r>
        <w:rPr>
          <w:color w:val="000000"/>
        </w:rPr>
        <w:t>10.2 Технические правила</w:t>
      </w:r>
    </w:p>
    <w:p>
      <w:pPr>
        <w:pStyle w:val="ListBullet"/>
        <w:pageBreakBefore w:val="0"/>
        <w:widowControl/>
        <w:spacing w:after="40"/>
      </w:pPr>
      <w:r>
        <w:t>В HEAD вставлять только метатеги, canonical, Open Graph, favicon/apple-touch-icon и при необходимости изолированные стили страницы; видимую HTML-разметку не вставлять.</w:t>
      </w:r>
    </w:p>
    <w:p>
      <w:pPr>
        <w:pStyle w:val="ListBullet"/>
        <w:pageBreakBefore w:val="0"/>
        <w:widowControl/>
        <w:spacing w:after="40"/>
      </w:pPr>
      <w:r>
        <w:t>Файл 02_PAGE_FULL_T123.html целиком вставлять в один отдельный блок T123. Не разделять одну логическую конструкцию, тег style/script или HTML-контейнер между разными блоками T123.</w:t>
      </w:r>
    </w:p>
    <w:p>
      <w:pPr>
        <w:pStyle w:val="ListBullet"/>
        <w:pageBreakBefore w:val="0"/>
        <w:widowControl/>
        <w:spacing w:after="40"/>
      </w:pPr>
      <w:r>
        <w:t>Все HTML-файлы сохранять в UTF-8 без повторного перекодирования. Проверить отсутствие mojibake вида «РџРѕ...» и символов замены �. В начале test-preview.html указать &lt;!doctype html&gt;, &lt;meta charset="utf-8"&gt; и viewport; фрагмент T123 должен корректно сохраняться редактором Tilda.</w:t>
      </w:r>
    </w:p>
    <w:p>
      <w:pPr>
        <w:pStyle w:val="ListBullet"/>
        <w:pageBreakBefore w:val="0"/>
        <w:widowControl/>
        <w:spacing w:after="40"/>
      </w:pPr>
      <w:r>
        <w:t>Медиа сначала загружать в отдельную папку Tilda, затем подставлять абсолютные HTTPS CDN-URL Tilda. В итоговом коде не должно оставаться путей C:\..., assets/... или media/....</w:t>
      </w:r>
    </w:p>
    <w:p>
      <w:pPr>
        <w:pStyle w:val="ListBullet"/>
        <w:pageBreakBefore w:val="0"/>
        <w:widowControl/>
        <w:spacing w:after="40"/>
      </w:pPr>
      <w:r>
        <w:t>Имена медиа должны быть уникальными и не повторяться между страницами; медиа другой страницы в пакет главной не добавлять.</w:t>
      </w:r>
    </w:p>
    <w:p>
      <w:pPr>
        <w:pStyle w:val="ListBullet"/>
        <w:pageBreakBefore w:val="0"/>
        <w:widowControl/>
        <w:spacing w:after="40"/>
      </w:pPr>
      <w:r>
        <w:t>Фото и документы: JPG/WebP, оптимизированные небольшие одинаковые превью, alt-текст и подписи; ниже первого экрана — lazy loading. Полное фото открывать в модальном окне с закрытием кнопкой, по фону и Esc; для оригинала предусмотреть безопасный fallback. PDF не загружать и не встраивать, персональные данные не показывать.</w:t>
      </w:r>
    </w:p>
    <w:p>
      <w:pPr>
        <w:pStyle w:val="ListBullet"/>
        <w:pageBreakBefore w:val="0"/>
        <w:widowControl/>
        <w:spacing w:after="40"/>
      </w:pPr>
      <w:r>
        <w:t>Видео: MP4/H.264, preload="metadata", playsinline, muted, без autoplay и автозвука, продолжительность до 20 секунд и размер строго менее 5 МБ. Сохранять нативные controls и добавить отдельную активную кнопку Play поверх постера: при воспроизведении скрывать, при паузе или завершении показывать снова.</w:t>
      </w:r>
    </w:p>
    <w:p>
      <w:pPr>
        <w:pStyle w:val="ListBullet"/>
        <w:pageBreakBefore w:val="0"/>
        <w:widowControl/>
        <w:spacing w:after="40"/>
      </w:pPr>
      <w:r>
        <w:t>Жесткое ограничение 20 000 символов не считать обязательным, если редактор Tilda сохраняет полный файл. Если блок или тариф отклоняет объем, делить код только по завершенным независимым блокам. После вставки проверить локальный test-preview.html и опубликованный URL: стили, русскую кодировку, CDN-медиа, Play, модальное увеличение, формы, телефон, аналитику, якоря, Safe Area, сохранение полного T123, конец кода и отсутствие незакрытых тегов.</w:t>
      </w:r>
    </w:p>
    <w:p>
      <w:pPr>
        <w:pStyle w:val="Heading1"/>
        <w:keepNext/>
        <w:pageBreakBefore w:val="0"/>
        <w:widowControl/>
      </w:pPr>
      <w:r>
        <w:rPr>
          <w:color w:val="000000"/>
        </w:rPr>
        <w:t>11 Производительность доступность и безопасность</w:t>
      </w:r>
    </w:p>
    <w:p>
      <w:pPr>
        <w:pStyle w:val="ListBullet"/>
        <w:pageBreakBefore w:val="0"/>
        <w:widowControl/>
        <w:spacing w:after="40"/>
      </w:pPr>
      <w:r>
        <w:rPr>
          <w:rFonts w:ascii="Arial" w:hAnsi="Arial"/>
        </w:rPr>
        <w:t>Цель Core Web Vitals: LCP до 2,5 с, INP до 200 мс, CLS до 0,1 на 75-м процентиле после накопления полевых данных.</w:t>
      </w:r>
    </w:p>
    <w:p>
      <w:pPr>
        <w:pStyle w:val="ListBullet"/>
        <w:pageBreakBefore w:val="0"/>
        <w:widowControl/>
        <w:spacing w:after="40"/>
      </w:pPr>
      <w:r>
        <w:rPr>
          <w:rFonts w:ascii="Arial" w:hAnsi="Arial"/>
        </w:rPr>
        <w:t>Hero-изображение оптимизировано и не загружается через lazy loading; изображения ниже экрана — lazy.</w:t>
      </w:r>
    </w:p>
    <w:p>
      <w:pPr>
        <w:pStyle w:val="ListBullet"/>
        <w:pageBreakBefore w:val="0"/>
        <w:widowControl/>
        <w:spacing w:after="40"/>
      </w:pPr>
      <w:r>
        <w:rPr>
          <w:rFonts w:ascii="Arial" w:hAnsi="Arial"/>
        </w:rPr>
        <w:t>Контент доступен без JavaScript; JS улучшает калькулятор, модальные окна и аналитику.</w:t>
      </w:r>
    </w:p>
    <w:p>
      <w:pPr>
        <w:pStyle w:val="ListBullet"/>
        <w:pageBreakBefore w:val="0"/>
        <w:widowControl/>
        <w:spacing w:after="40"/>
      </w:pPr>
      <w:r>
        <w:rPr>
          <w:rFonts w:ascii="Arial" w:hAnsi="Arial"/>
        </w:rPr>
        <w:t>Клавиатурная навигация, видимый focus, корректные label и aria-атрибуты.</w:t>
      </w:r>
    </w:p>
    <w:p>
      <w:pPr>
        <w:pStyle w:val="ListBullet"/>
        <w:pageBreakBefore w:val="0"/>
        <w:widowControl/>
        <w:spacing w:after="40"/>
      </w:pPr>
      <w:r>
        <w:rPr>
          <w:rFonts w:ascii="Arial" w:hAnsi="Arial"/>
        </w:rPr>
        <w:t>Контраст текста и кнопок не ниже WCAG AA.</w:t>
      </w:r>
    </w:p>
    <w:p>
      <w:pPr>
        <w:pStyle w:val="ListBullet"/>
        <w:pageBreakBefore w:val="0"/>
        <w:widowControl/>
        <w:spacing w:after="40"/>
      </w:pPr>
      <w:r>
        <w:rPr>
          <w:rFonts w:ascii="Arial" w:hAnsi="Arial"/>
        </w:rPr>
        <w:t>Модальные окна удерживают фокус, закрываются Esc и возвращают фокус инициатору.</w:t>
      </w:r>
    </w:p>
    <w:p>
      <w:pPr>
        <w:pStyle w:val="ListBullet"/>
        <w:pageBreakBefore w:val="0"/>
        <w:widowControl/>
        <w:spacing w:after="40"/>
      </w:pPr>
      <w:r>
        <w:rPr>
          <w:rFonts w:ascii="Arial" w:hAnsi="Arial"/>
        </w:rPr>
        <w:t>Не собирать лишние персональные данные и не передавать их сторонним endpoint без основания.</w:t>
      </w:r>
    </w:p>
    <w:p>
      <w:pPr>
        <w:pStyle w:val="ListBullet"/>
        <w:pageBreakBefore w:val="0"/>
        <w:widowControl/>
        <w:spacing w:after="40"/>
      </w:pPr>
      <w:r>
        <w:rPr>
          <w:rFonts w:ascii="Arial" w:hAnsi="Arial"/>
        </w:rPr>
        <w:t>Все запросы только HTTPS; проверить CORS и обработку сетевых ошибок.</w:t>
      </w:r>
    </w:p>
    <w:p>
      <w:pPr>
        <w:pStyle w:val="Heading1"/>
        <w:keepNext/>
        <w:pageBreakBefore w:val="0"/>
        <w:widowControl/>
      </w:pPr>
      <w:r>
        <w:rPr>
          <w:color w:val="000000"/>
        </w:rPr>
        <w:t>12 Адаптивность и браузеры</w:t>
      </w:r>
    </w:p>
    <w:p>
      <w:pPr>
        <w:pageBreakBefore w:val="0"/>
        <w:widowControl/>
        <w:spacing w:after="100"/>
      </w:pPr>
      <w:r>
        <w:rPr>
          <w:rFonts w:ascii="Arial" w:hAnsi="Arial"/>
        </w:rPr>
        <w:t>Проверить desktop 1440 и 1280px, tablet 820 и 768px, mobile 500, 390, 375 и 320px. Поддержать актуальные версии Chrome, Safari, Firefox и Edge, а также iPhone Safari и Android Chrome.</w:t>
      </w:r>
    </w:p>
    <w:p>
      <w:pPr>
        <w:pStyle w:val="ListBullet"/>
        <w:pageBreakBefore w:val="0"/>
        <w:widowControl/>
        <w:spacing w:after="40"/>
      </w:pPr>
      <w:r>
        <w:rPr>
          <w:rFonts w:ascii="Arial" w:hAnsi="Arial"/>
        </w:rPr>
        <w:t>Нет горизонтальной прокрутки.</w:t>
      </w:r>
    </w:p>
    <w:p>
      <w:pPr>
        <w:pStyle w:val="ListBullet"/>
        <w:pageBreakBefore w:val="0"/>
        <w:widowControl/>
        <w:spacing w:after="40"/>
      </w:pPr>
      <w:r>
        <w:rPr>
          <w:rFonts w:ascii="Arial" w:hAnsi="Arial"/>
        </w:rPr>
        <w:t>Заголовки, кнопки и формы не обрезаются.</w:t>
      </w:r>
    </w:p>
    <w:p>
      <w:pPr>
        <w:pStyle w:val="ListBullet"/>
        <w:pageBreakBefore w:val="0"/>
        <w:widowControl/>
        <w:spacing w:after="40"/>
      </w:pPr>
      <w:r>
        <w:rPr>
          <w:rFonts w:ascii="Arial" w:hAnsi="Arial"/>
        </w:rPr>
        <w:t>Телефонная маска работает на мобильной клавиатуре.</w:t>
      </w:r>
    </w:p>
    <w:p>
      <w:pPr>
        <w:pStyle w:val="ListBullet"/>
        <w:pageBreakBefore w:val="0"/>
        <w:widowControl/>
        <w:spacing w:after="40"/>
      </w:pPr>
      <w:r>
        <w:rPr>
          <w:rFonts w:ascii="Arial" w:hAnsi="Arial"/>
        </w:rPr>
        <w:t>Нижняя панель учитывает Safe Area.</w:t>
      </w:r>
    </w:p>
    <w:p>
      <w:pPr>
        <w:pStyle w:val="ListBullet"/>
        <w:pageBreakBefore w:val="0"/>
        <w:widowControl/>
        <w:spacing w:after="40"/>
      </w:pPr>
      <w:r>
        <w:rPr>
          <w:rFonts w:ascii="Arial" w:hAnsi="Arial"/>
        </w:rPr>
        <w:t>Якоря не скрываются под глобальной шапкой.</w:t>
      </w:r>
    </w:p>
    <w:p>
      <w:pPr>
        <w:pStyle w:val="ListBullet"/>
        <w:pageBreakBefore w:val="0"/>
        <w:widowControl/>
        <w:spacing w:after="40"/>
      </w:pPr>
      <w:r>
        <w:rPr>
          <w:rFonts w:ascii="Arial" w:hAnsi="Arial"/>
        </w:rPr>
        <w:t>Фото и модальные окна корректно работают при смене ориентации.</w:t>
      </w:r>
    </w:p>
    <w:p>
      <w:pPr>
        <w:pageBreakBefore w:val="0"/>
        <w:widowControl/>
      </w:pPr>
      <w:r>
        <w:br w:type="page"/>
      </w:r>
    </w:p>
    <w:p>
      <w:pPr>
        <w:pStyle w:val="Heading1"/>
        <w:keepNext/>
        <w:pageBreakBefore w:val="0"/>
        <w:widowControl/>
      </w:pPr>
      <w:r>
        <w:rPr>
          <w:color w:val="000000"/>
        </w:rPr>
        <w:t>13 Карта внутренних переходов</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323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Блок главной</w:t>
            </w:r>
          </w:p>
        </w:tc>
        <w:tc>
          <w:tcPr>
            <w:tcW w:type="dxa" w:w="3572"/>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Целевой URL</w:t>
            </w:r>
          </w:p>
        </w:tc>
        <w:tc>
          <w:tcPr>
            <w:tcW w:type="dxa" w:w="306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CTA</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Новый объект</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/montazh/</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Рассчитать монтаж</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Обслуживание</w:t>
            </w:r>
          </w:p>
        </w:tc>
        <w:tc>
          <w:tcPr>
            <w:tcW w:type="dxa" w:w="3572"/>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/obsluzhivanie/</w:t>
            </w:r>
          </w:p>
        </w:tc>
        <w:tc>
          <w:tcPr>
            <w:tcW w:type="dxa" w:w="306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Рассчитать тариф</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Неисправность</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/srabotka/</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Вызвать инженера</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Проверка</w:t>
            </w:r>
          </w:p>
        </w:tc>
        <w:tc>
          <w:tcPr>
            <w:tcW w:type="dxa" w:w="3572"/>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/audit/</w:t>
            </w:r>
          </w:p>
        </w:tc>
        <w:tc>
          <w:tcPr>
            <w:tcW w:type="dxa" w:w="306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Записаться на аудит</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Смена подрядчика</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/smena-podryadchika/</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Заказать обследование</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Огнетушители</w:t>
            </w:r>
          </w:p>
        </w:tc>
        <w:tc>
          <w:tcPr>
            <w:tcW w:type="dxa" w:w="3572"/>
            <w:vAlign w:val="center"/>
            <w:tcMar>
              <w:top w:w="100" w:type="dxa"/>
              <w:start w:w="110" w:type="dxa"/>
              <w:bottom w:w="100" w:type="dxa"/>
              <w:end w:w="110" w:type="dxa"/>
            </w:tcMar>
            <w:shd w:fill="F5F7F6"/>
          </w:tcPr>
          <w:p>
            <w:pPr>
              <w:keepNext w:val="0"/>
              <w:pageBreakBefore w:val="0"/>
              <w:spacing w:after="0"/>
            </w:pPr>
            <w:r>
              <w:t>/perezaryadka-ognetushiteley/</w:t>
            </w:r>
            <w:r>
              <w:rPr>
                <w:rFonts w:ascii="Arial" w:hAnsi="Arial"/>
                <w:b w:val="0"/>
                <w:color w:val="15212B"/>
                <w:sz w:val="15"/>
              </w:rPr>
            </w:r>
          </w:p>
        </w:tc>
        <w:tc>
          <w:tcPr>
            <w:tcW w:type="dxa" w:w="306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Получить расчет</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Планы эвакуации</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/plany-evakuacii/</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Рассчитать стоимость</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Пакеты</w:t>
            </w:r>
          </w:p>
        </w:tc>
        <w:tc>
          <w:tcPr>
            <w:tcW w:type="dxa" w:w="3572"/>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/pakety/</w:t>
            </w:r>
          </w:p>
        </w:tc>
        <w:tc>
          <w:tcPr>
            <w:tcW w:type="dxa" w:w="306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Сравнить пакеты</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Кейсы</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/keysy/</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Смотреть кейсы</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Все услуги</w:t>
            </w:r>
          </w:p>
        </w:tc>
        <w:tc>
          <w:tcPr>
            <w:tcW w:type="dxa" w:w="3572"/>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/uslugi/</w:t>
            </w:r>
          </w:p>
        </w:tc>
        <w:tc>
          <w:tcPr>
            <w:tcW w:type="dxa" w:w="3061"/>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Выбрать услугу</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Контакты</w:t>
            </w:r>
          </w:p>
        </w:tc>
        <w:tc>
          <w:tcPr>
            <w:tcW w:type="dxa" w:w="3572"/>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/kontakty/</w:t>
            </w:r>
          </w:p>
        </w:tc>
        <w:tc>
          <w:tcPr>
            <w:tcW w:type="dxa" w:w="3061"/>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Связаться</w:t>
            </w:r>
          </w:p>
        </w:tc>
      </w:tr>
    </w:tbl>
    <w:p>
      <w:pPr>
        <w:pageBreakBefore w:val="0"/>
        <w:widowControl/>
        <w:spacing w:after="40"/>
      </w:pPr>
    </w:p>
    <w:p>
      <w:pPr>
        <w:pStyle w:val="Heading1"/>
        <w:keepNext/>
        <w:pageBreakBefore w:val="0"/>
        <w:widowControl/>
      </w:pPr>
      <w:r>
        <w:rPr>
          <w:color w:val="000000"/>
        </w:rPr>
        <w:t>14 Материалы от заказчика</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3231"/>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Материал</w:t>
            </w:r>
          </w:p>
        </w:tc>
        <w:tc>
          <w:tcPr>
            <w:tcW w:type="dxa" w:w="300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Формат</w:t>
            </w:r>
          </w:p>
        </w:tc>
        <w:tc>
          <w:tcPr>
            <w:tcW w:type="dxa" w:w="3628"/>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Ответственный за подтверждение</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Логотип и фирменные элементы</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SVG/PNG</w:t>
            </w:r>
          </w:p>
        </w:tc>
        <w:tc>
          <w:tcPr>
            <w:tcW w:type="dxa" w:w="362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Руководитель</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Лицензия №23028116</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Скан и данные области действия</w:t>
            </w:r>
          </w:p>
        </w:tc>
        <w:tc>
          <w:tcPr>
            <w:tcW w:type="dxa" w:w="362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Руководитель/юрист</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Фактические метрики</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Таблица с источниками</w:t>
            </w:r>
          </w:p>
        </w:tc>
        <w:tc>
          <w:tcPr>
            <w:tcW w:type="dxa" w:w="362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Руководитель</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Цены и пакеты</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Таблица тарифов и ограничений</w:t>
            </w:r>
          </w:p>
        </w:tc>
        <w:tc>
          <w:tcPr>
            <w:tcW w:type="dxa" w:w="362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Продажи</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Условия и зона выезда</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Регламент</w:t>
            </w:r>
          </w:p>
        </w:tc>
        <w:tc>
          <w:tcPr>
            <w:tcW w:type="dxa" w:w="362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Продажи/инженер</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Кейсы</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Текст, фото, сроки, результаты</w:t>
            </w:r>
          </w:p>
        </w:tc>
        <w:tc>
          <w:tcPr>
            <w:tcW w:type="dxa" w:w="362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Инженер/маркетинг</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Фото работ</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JPG/WebP, разрешение на публикацию</w:t>
            </w:r>
          </w:p>
        </w:tc>
        <w:tc>
          <w:tcPr>
            <w:tcW w:type="dxa" w:w="362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Маркетинг</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Отзывы и рекомендации</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Согласованный формат</w:t>
            </w:r>
          </w:p>
        </w:tc>
        <w:tc>
          <w:tcPr>
            <w:tcW w:type="dxa" w:w="362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Маркетинг</w:t>
            </w:r>
          </w:p>
        </w:tc>
      </w:tr>
      <w:tr>
        <w:trPr>
          <w:cantSplit/>
        </w:trPr>
        <w:tc>
          <w:tcPr>
            <w:tcW w:type="dxa" w:w="3231"/>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Реквизиты и контакты</w:t>
            </w:r>
          </w:p>
        </w:tc>
        <w:tc>
          <w:tcPr>
            <w:tcW w:type="dxa" w:w="300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Актуальная карточка компании</w:t>
            </w:r>
          </w:p>
        </w:tc>
        <w:tc>
          <w:tcPr>
            <w:tcW w:type="dxa" w:w="3628"/>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Бухгалтерия</w:t>
            </w:r>
          </w:p>
        </w:tc>
      </w:tr>
      <w:tr>
        <w:trPr>
          <w:cantSplit/>
        </w:trPr>
        <w:tc>
          <w:tcPr>
            <w:tcW w:type="dxa" w:w="3231"/>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Политика конфиденциальности</w:t>
            </w:r>
          </w:p>
        </w:tc>
        <w:tc>
          <w:tcPr>
            <w:tcW w:type="dxa" w:w="300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Утвержденный текст</w:t>
            </w:r>
          </w:p>
        </w:tc>
        <w:tc>
          <w:tcPr>
            <w:tcW w:type="dxa" w:w="3628"/>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Юрист/руководитель</w:t>
            </w:r>
          </w:p>
        </w:tc>
      </w:tr>
    </w:tbl>
    <w:p>
      <w:pPr>
        <w:pageBreakBefore w:val="0"/>
        <w:widowControl/>
        <w:spacing w:after="40"/>
      </w:pPr>
    </w:p>
    <w:p>
      <w:pPr>
        <w:pStyle w:val="Heading1"/>
        <w:keepNext/>
        <w:pageBreakBefore w:val="0"/>
        <w:widowControl/>
      </w:pPr>
      <w:r>
        <w:rPr>
          <w:color w:val="000000"/>
        </w:rPr>
        <w:t>15 Порядок разработки</w:t>
      </w:r>
    </w:p>
    <w:tbl>
      <w:tblPr>
        <w:tblStyle w:val="TableGrid"/>
        <w:tblW w:type="auto" w:w="0"/>
        <w:jc w:val="center"/>
        <w:tblLook w:firstColumn="1" w:firstRow="1" w:lastColumn="0" w:lastRow="0" w:noHBand="0" w:noVBand="1" w:val="04A0"/>
      </w:tblPr>
      <w:tblGrid>
        <w:gridCol w:w="3400"/>
        <w:gridCol w:w="3400"/>
        <w:gridCol w:w="3400"/>
      </w:tblGrid>
      <w:tr>
        <w:trPr>
          <w:tblHeader w:val="true"/>
          <w:tblHeader/>
          <w:tblHeader/>
        </w:trPr>
        <w:tc>
          <w:tcPr>
            <w:tcW w:type="dxa" w:w="1814"/>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Этап</w:t>
            </w:r>
          </w:p>
        </w:tc>
        <w:tc>
          <w:tcPr>
            <w:tcW w:type="dxa" w:w="402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Результат</w:t>
            </w:r>
          </w:p>
        </w:tc>
        <w:tc>
          <w:tcPr>
            <w:tcW w:type="dxa" w:w="4025"/>
            <w:vAlign w:val="center"/>
            <w:tcMar>
              <w:top w:w="100" w:type="dxa"/>
              <w:start w:w="110" w:type="dxa"/>
              <w:bottom w:w="100" w:type="dxa"/>
              <w:end w:w="110" w:type="dxa"/>
            </w:tcMar>
            <w:shd w:fill="14364B"/>
          </w:tcPr>
          <w:p>
            <w:pPr>
              <w:keepNext/>
              <w:pageBreakBefore w:val="0"/>
              <w:spacing w:after="0"/>
            </w:pPr>
            <w:r/>
            <w:r>
              <w:rPr>
                <w:rFonts w:ascii="Arial" w:hAnsi="Arial"/>
                <w:b/>
                <w:color w:val="FFFFFF"/>
                <w:sz w:val="16"/>
              </w:rPr>
              <w:t>Приемка</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1 Прототип</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Схема блоков и маршрутов</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Утверждены CTA, формы и переходы</w:t>
            </w:r>
          </w:p>
        </w:tc>
      </w:tr>
      <w:tr>
        <w:trPr>
          <w:cantSplit/>
        </w:trPr>
        <w:tc>
          <w:tcPr>
            <w:tcW w:type="dxa" w:w="181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2 Контент</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Тексты, факты, цены, кейсы</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Инженер и руководитель подтвердили данные</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3 Дизайн</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Desktop и mobile макеты</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Соответствие визуальной системе</w:t>
            </w:r>
          </w:p>
        </w:tc>
      </w:tr>
      <w:tr>
        <w:trPr>
          <w:cantSplit/>
        </w:trPr>
        <w:tc>
          <w:tcPr>
            <w:tcW w:type="dxa" w:w="181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4 Верстка</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HEAD, T123 и preview</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Нет конфликтов с Tilda</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5 Интеграции</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CRM, webhook и BigQuery</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Тестовые лиды содержат полный payload</w:t>
            </w:r>
          </w:p>
        </w:tc>
      </w:tr>
      <w:tr>
        <w:trPr>
          <w:cantSplit/>
        </w:trPr>
        <w:tc>
          <w:tcPr>
            <w:tcW w:type="dxa" w:w="181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6 QA</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Функции, адаптивность, SEO, доступность</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Пройден чек-лист приемки</w:t>
            </w:r>
          </w:p>
        </w:tc>
      </w:tr>
      <w:tr>
        <w:trPr>
          <w:cantSplit/>
        </w:trPr>
        <w:tc>
          <w:tcPr>
            <w:tcW w:type="dxa" w:w="1814"/>
            <w:vAlign w:val="center"/>
            <w:tcMar>
              <w:top w:w="100" w:type="dxa"/>
              <w:start w:w="110" w:type="dxa"/>
              <w:bottom w:w="100" w:type="dxa"/>
              <w:end w:w="110" w:type="dxa"/>
            </w:tcMar>
          </w:tcPr>
          <w:p>
            <w:pPr>
              <w:keepNext w:val="0"/>
              <w:pageBreakBefore w:val="0"/>
              <w:spacing w:after="0"/>
              <w:jc w:val="center"/>
            </w:pPr>
            <w:r/>
            <w:r>
              <w:rPr>
                <w:rFonts w:ascii="Arial" w:hAnsi="Arial"/>
                <w:b w:val="0"/>
                <w:color w:val="15212B"/>
                <w:sz w:val="15"/>
              </w:rPr>
              <w:t>7 Публикация</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Рабочий URL</w:t>
            </w:r>
          </w:p>
        </w:tc>
        <w:tc>
          <w:tcPr>
            <w:tcW w:type="dxa" w:w="4025"/>
            <w:vAlign w:val="center"/>
            <w:tcMar>
              <w:top w:w="100" w:type="dxa"/>
              <w:start w:w="110" w:type="dxa"/>
              <w:bottom w:w="100" w:type="dxa"/>
              <w:end w:w="110" w:type="dxa"/>
            </w:tcMar>
          </w:tcPr>
          <w:p>
            <w:pPr>
              <w:keepNext w:val="0"/>
              <w:pageBreakBefore w:val="0"/>
              <w:spacing w:after="0"/>
            </w:pPr>
            <w:r/>
            <w:r>
              <w:rPr>
                <w:rFonts w:ascii="Arial" w:hAnsi="Arial"/>
                <w:b w:val="0"/>
                <w:color w:val="15212B"/>
                <w:sz w:val="15"/>
              </w:rPr>
              <w:t>Проверены события и CRM после публикации</w:t>
            </w:r>
          </w:p>
        </w:tc>
      </w:tr>
      <w:tr>
        <w:trPr>
          <w:cantSplit/>
        </w:trPr>
        <w:tc>
          <w:tcPr>
            <w:tcW w:type="dxa" w:w="1814"/>
            <w:vAlign w:val="center"/>
            <w:tcMar>
              <w:top w:w="100" w:type="dxa"/>
              <w:start w:w="110" w:type="dxa"/>
              <w:bottom w:w="100" w:type="dxa"/>
              <w:end w:w="110" w:type="dxa"/>
            </w:tcMar>
            <w:shd w:fill="F5F7F6"/>
          </w:tcPr>
          <w:p>
            <w:pPr>
              <w:keepNext w:val="0"/>
              <w:pageBreakBefore w:val="0"/>
              <w:spacing w:after="0"/>
              <w:jc w:val="center"/>
            </w:pPr>
            <w:r/>
            <w:r>
              <w:rPr>
                <w:rFonts w:ascii="Arial" w:hAnsi="Arial"/>
                <w:b w:val="0"/>
                <w:color w:val="15212B"/>
                <w:sz w:val="15"/>
              </w:rPr>
              <w:t>8 Наблюдение</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Первые 2 недели данных</w:t>
            </w:r>
          </w:p>
        </w:tc>
        <w:tc>
          <w:tcPr>
            <w:tcW w:type="dxa" w:w="4025"/>
            <w:vAlign w:val="center"/>
            <w:tcMar>
              <w:top w:w="100" w:type="dxa"/>
              <w:start w:w="110" w:type="dxa"/>
              <w:bottom w:w="100" w:type="dxa"/>
              <w:end w:w="110" w:type="dxa"/>
            </w:tcMar>
            <w:shd w:fill="F5F7F6"/>
          </w:tcPr>
          <w:p>
            <w:pPr>
              <w:keepNext w:val="0"/>
              <w:pageBreakBefore w:val="0"/>
              <w:spacing w:after="0"/>
            </w:pPr>
            <w:r/>
            <w:r>
              <w:rPr>
                <w:rFonts w:ascii="Arial" w:hAnsi="Arial"/>
                <w:b w:val="0"/>
                <w:color w:val="15212B"/>
                <w:sz w:val="15"/>
              </w:rPr>
              <w:t>Исправлены ошибки и потери конверсии</w:t>
            </w:r>
          </w:p>
        </w:tc>
      </w:tr>
    </w:tbl>
    <w:p>
      <w:pPr>
        <w:pageBreakBefore w:val="0"/>
        <w:widowControl/>
        <w:spacing w:after="40"/>
      </w:pPr>
    </w:p>
    <w:p>
      <w:pPr>
        <w:pStyle w:val="Heading1"/>
        <w:keepNext/>
        <w:pageBreakBefore w:val="0"/>
        <w:widowControl/>
      </w:pPr>
      <w:r>
        <w:rPr>
          <w:color w:val="000000"/>
        </w:rPr>
        <w:t>16 Приемка</w:t>
      </w:r>
    </w:p>
    <w:p>
      <w:pPr>
        <w:pageBreakBefore w:val="0"/>
        <w:widowControl/>
        <w:spacing w:after="40"/>
      </w:pPr>
      <w:r>
        <w:rPr>
          <w:rFonts w:ascii="Arial" w:hAnsi="Arial"/>
        </w:rPr>
        <w:t>☐ Бизнес результат — заключённый договор; запрос расчёта или выезда является промежуточным действием.</w:t>
      </w:r>
    </w:p>
    <w:p>
      <w:pPr>
        <w:pageBreakBefore w:val="0"/>
        <w:widowControl/>
        <w:spacing w:after="40"/>
      </w:pPr>
      <w:r>
        <w:rPr>
          <w:rFonts w:ascii="Arial" w:hAnsi="Arial"/>
        </w:rPr>
        <w:t>☐ H1, title, description и canonical соответствуют ТЗ.</w:t>
      </w:r>
    </w:p>
    <w:p>
      <w:pPr>
        <w:pageBreakBefore w:val="0"/>
        <w:widowControl/>
        <w:spacing w:after="40"/>
      </w:pPr>
      <w:r>
        <w:rPr>
          <w:rFonts w:ascii="Arial" w:hAnsi="Arial"/>
        </w:rPr>
        <w:t>☐ Присутствуют все обязательные блоки и один доминирующий CTA.</w:t>
      </w:r>
    </w:p>
    <w:p>
      <w:pPr>
        <w:pageBreakBefore w:val="0"/>
        <w:widowControl/>
        <w:spacing w:after="40"/>
      </w:pPr>
      <w:r>
        <w:rPr>
          <w:rFonts w:ascii="Arial" w:hAnsi="Arial"/>
        </w:rPr>
        <w:t>☐ Нет неподтвержденных цифр и обещаний.</w:t>
      </w:r>
    </w:p>
    <w:p>
      <w:pPr>
        <w:pageBreakBefore w:val="0"/>
        <w:widowControl/>
        <w:spacing w:after="40"/>
      </w:pPr>
      <w:r>
        <w:rPr>
          <w:rFonts w:ascii="Arial" w:hAnsi="Arial"/>
        </w:rPr>
        <w:t>☐ Один H1 и корректная иерархия H2/H3.</w:t>
      </w:r>
    </w:p>
    <w:p>
      <w:pPr>
        <w:pageBreakBefore w:val="0"/>
        <w:widowControl/>
        <w:spacing w:after="40"/>
      </w:pPr>
      <w:r>
        <w:rPr>
          <w:rFonts w:ascii="Arial" w:hAnsi="Arial"/>
        </w:rPr>
        <w:t>☐ Все ссылки ведут на опубликованные страницы со статусом 200.</w:t>
      </w:r>
    </w:p>
    <w:p>
      <w:pPr>
        <w:pageBreakBefore w:val="0"/>
        <w:widowControl/>
        <w:spacing w:after="40"/>
      </w:pPr>
      <w:r>
        <w:rPr>
          <w:rFonts w:ascii="Arial" w:hAnsi="Arial"/>
        </w:rPr>
        <w:t>☐ Все изображения имеют alt, размеры и абсолютные HTTPS CDN-URL.</w:t>
      </w:r>
    </w:p>
    <w:p>
      <w:pPr>
        <w:pageBreakBefore w:val="0"/>
        <w:widowControl/>
        <w:spacing w:after="40"/>
      </w:pPr>
      <w:r>
        <w:rPr>
          <w:rFonts w:ascii="Arial" w:hAnsi="Arial"/>
        </w:rPr>
        <w:t>☐ Фото компактны и открываются в доступном модальном окне.</w:t>
      </w:r>
    </w:p>
    <w:p>
      <w:pPr>
        <w:pageBreakBefore w:val="0"/>
        <w:widowControl/>
        <w:spacing w:after="40"/>
      </w:pPr>
      <w:r>
        <w:t>☐ Видео длится не более 20 секунд, весит строго менее 5 МБ, сохраняет нативные controls; активная кнопка Play работает на desktop, Android и iPhone/Safari.</w:t>
      </w:r>
    </w:p>
    <w:p>
      <w:pPr>
        <w:pageBreakBefore w:val="0"/>
        <w:widowControl/>
        <w:spacing w:after="40"/>
      </w:pPr>
      <w:r>
        <w:rPr>
          <w:rFonts w:ascii="Arial" w:hAnsi="Arial"/>
        </w:rPr>
        <w:t>☐ Формы проверяют телефон и согласие.</w:t>
      </w:r>
    </w:p>
    <w:p>
      <w:pPr>
        <w:pageBreakBefore w:val="0"/>
        <w:widowControl/>
        <w:spacing w:after="40"/>
      </w:pPr>
      <w:r>
        <w:rPr>
          <w:rFonts w:ascii="Arial" w:hAnsi="Arial"/>
        </w:rPr>
        <w:t>☐ Заявка приходит в webhook и Bitrix24 с правильной категорией.</w:t>
      </w:r>
    </w:p>
    <w:p>
      <w:pPr>
        <w:pageBreakBefore w:val="0"/>
        <w:widowControl/>
        <w:spacing w:after="40"/>
      </w:pPr>
      <w:r>
        <w:rPr>
          <w:rFonts w:ascii="Arial" w:hAnsi="Arial"/>
        </w:rPr>
        <w:t>☐ BigQuery получает расширенный аналитический payload.</w:t>
      </w:r>
    </w:p>
    <w:p>
      <w:pPr>
        <w:pageBreakBefore w:val="0"/>
        <w:widowControl/>
        <w:spacing w:after="40"/>
      </w:pPr>
      <w:r>
        <w:rPr>
          <w:rFonts w:ascii="Arial" w:hAnsi="Arial"/>
        </w:rPr>
        <w:t>☐ Сохраняются UTM, click ID, first/last attribution, session ID и доступные CRM/коллтрекинг ID.</w:t>
      </w:r>
    </w:p>
    <w:p>
      <w:pPr>
        <w:pageBreakBefore w:val="0"/>
        <w:widowControl/>
        <w:spacing w:after="40"/>
      </w:pPr>
      <w:r>
        <w:rPr>
          <w:rFonts w:ascii="Arial" w:hAnsi="Arial"/>
        </w:rPr>
        <w:t>☐ События pz_* не дублируются; generate_lead возникает только из подтверждённого pz_form_success.</w:t>
      </w:r>
    </w:p>
    <w:p>
      <w:pPr>
        <w:pageBreakBefore w:val="0"/>
        <w:widowControl/>
        <w:spacing w:after="40"/>
      </w:pPr>
      <w:r>
        <w:rPr>
          <w:rFonts w:ascii="Arial" w:hAnsi="Arial"/>
        </w:rPr>
        <w:t>☐ Проверены мобильные отступы, Safe Area, якоря, focus, Esc и модальные окна.</w:t>
      </w:r>
    </w:p>
    <w:p>
      <w:pPr>
        <w:pageBreakBefore w:val="0"/>
        <w:widowControl/>
        <w:spacing w:after="40"/>
      </w:pPr>
      <w:r>
        <w:rPr>
          <w:rFonts w:ascii="Arial" w:hAnsi="Arial"/>
        </w:rPr>
        <w:t>☐ Нет горизонтальной прокрутки на контрольных ширинах.</w:t>
      </w:r>
    </w:p>
    <w:p>
      <w:pPr>
        <w:pageBreakBefore w:val="0"/>
        <w:widowControl/>
        <w:spacing w:after="40"/>
      </w:pPr>
      <w:r>
        <w:rPr>
          <w:rFonts w:ascii="Arial" w:hAnsi="Arial"/>
        </w:rPr>
        <w:t>☐ Русская кодировка проверена локально и после публикации.</w:t>
      </w:r>
    </w:p>
    <w:p>
      <w:pPr>
        <w:pageBreakBefore w:val="0"/>
        <w:widowControl/>
        <w:spacing w:after="40"/>
      </w:pPr>
      <w:r>
        <w:rPr>
          <w:rFonts w:ascii="Arial" w:hAnsi="Arial"/>
        </w:rPr>
        <w:t>☐ Полный код T123 сохранился без обрезания и незакрытых тегов.</w:t>
      </w:r>
    </w:p>
    <w:p>
      <w:pPr>
        <w:pageBreakBefore w:val="0"/>
        <w:widowControl/>
        <w:spacing w:after="40"/>
      </w:pPr>
      <w:r>
        <w:rPr>
          <w:rFonts w:ascii="Arial" w:hAnsi="Arial"/>
        </w:rPr>
        <w:t>☐ ZIP содержит README, HEAD, полный T123 и test-preview.</w:t>
      </w:r>
    </w:p>
    <w:p>
      <w:pPr>
        <w:pageBreakBefore w:val="0"/>
        <w:widowControl/>
        <w:spacing w:after="40"/>
      </w:pPr>
      <w:r>
        <w:rPr>
          <w:rFonts w:ascii="Arial" w:hAnsi="Arial"/>
        </w:rPr>
        <w:t>☐ Проверены CORS и HTTPS всех endpoint.</w:t>
      </w:r>
    </w:p>
    <w:p>
      <w:pPr>
        <w:pageBreakBefore w:val="0"/>
        <w:widowControl/>
        <w:spacing w:after="40"/>
      </w:pPr>
      <w:r>
        <w:rPr>
          <w:rFonts w:ascii="Arial" w:hAnsi="Arial"/>
        </w:rPr>
        <w:t>☐ После публикации выполнен реальный тест: форма → CRM → квалификация → выезд/расчет.</w:t>
      </w:r>
    </w:p>
    <w:p>
      <w:pPr>
        <w:pageBreakBefore w:val="0"/>
        <w:widowControl/>
      </w:pPr>
      <w:r>
        <w:t>☐ MVP-калькулятор содержит 3–4 шага и показывает предварительную смету до запроса точного расчета.</w:t>
      </w:r>
    </w:p>
    <w:p>
      <w:pPr>
        <w:pageBreakBefore w:val="0"/>
        <w:widowControl/>
      </w:pPr>
      <w:r>
        <w:t>☐ ga_client_id сохраняется в UF_CRM_GA_CLIENT_ID прямой сделки; при отдельном канале с Лидом атрибуция переносится без дубля.</w:t>
      </w:r>
    </w:p>
    <w:p>
      <w:pPr>
        <w:pageBreakBefore w:val="0"/>
        <w:widowControl/>
      </w:pPr>
      <w:r>
        <w:t>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ageBreakBefore w:val="0"/>
        <w:widowControl/>
      </w:pPr>
      <w:r>
        <w:t>☐ Лид-магниты требуют регион объекта и не направляют обращения вне Алматы и Алматинской области в отдел продаж.</w:t>
      </w:r>
    </w:p>
    <w:p>
      <w:pPr>
        <w:pStyle w:val="Heading1"/>
        <w:keepNext/>
        <w:pageBreakBefore w:val="0"/>
        <w:widowControl/>
      </w:pPr>
      <w:r>
        <w:rPr>
          <w:color w:val="000000"/>
        </w:rPr>
        <w:t>17 Критерий достижения цели медиаплана</w:t>
      </w:r>
    </w:p>
    <w:p>
      <w:pPr>
        <w:pageBreakBefore w:val="0"/>
        <w:widowControl/>
        <w:spacing w:after="100"/>
      </w:pPr>
      <w:r>
        <w:rPr>
          <w:rFonts w:ascii="Arial" w:hAnsi="Arial"/>
        </w:rPr>
        <w:t>Страница введена в эксплуатацию после сквозной приёмки заявки и сохранения атрибуции; коммерческий результат измеряется заключёнными договорами. Отчёт отдельно показывает промежуточные формы, квалификацию, выезды и КП, уникальные договоры, рекламную стоимость договора, полный CAC, подтверждённую экономику и MRR.</w:t>
      </w:r>
    </w:p>
    <w:sectPr w:rsidR="00FC693F" w:rsidRPr="0006063C" w:rsidSect="00034616">
      <w:footerReference w:type="default" r:id="rId9"/>
      <w:headerReference w:type="default" r:id="rId10"/>
      <w:pgSz w:w="12240" w:h="15840"/>
      <w:pgMar w:top="1020"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697984"/>
        <w:sz w:val="16"/>
      </w:rPr>
      <w:t xml:space="preserve">POZHARNIK.KZ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pageBreakBefore w:val="0"/>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pageBreakBefore w:val="0"/>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pageBreakBefore w:val="0"/>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pageBreakBefore w:val="0"/>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pageBreakBefore w:val="0"/>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