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  <w:widowControl/>
      </w:pPr>
      <w:r>
        <w:rPr>
          <w:color w:val="000000"/>
          <w:u w:val="none"/>
        </w:rPr>
        <w:t>Техническое задание на страницу Калькулятор монтажа</w:t>
      </w:r>
    </w:p>
    <w:p>
      <w:pPr>
        <w:pageBreakBefore w:val="0"/>
        <w:widowControl/>
      </w:pPr>
      <w:r>
        <w:t>Редакция от 8 октября 2026 года по медиаплану 4.5. Этап 1.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>
      <w:pPr>
        <w:pStyle w:val="Subtitle"/>
        <w:pageBreakBefore w:val="0"/>
        <w:widowControl/>
      </w:pPr>
      <w:r>
        <w:t>Pozharnik.kz  Расчет стоимости монтажа автоматической пожарной сигнализации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29"/>
        <w:gridCol w:w="4929"/>
      </w:tblGrid>
      <w:tr>
        <w:trPr>
          <w:tblHeader/>
          <w:tblHeader/>
        </w:trPr>
        <w:tc>
          <w:tcPr>
            <w:tcW w:type="dxa" w:w="2381"/>
            <w:shd w:fill="1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803"/>
            <w:shd w:fill="1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Версия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08.10.2026 · медиаплан 4.5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Целевой URL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https://pozharnik.kz/kalkulyatory/montazh/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География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Алматы и Алматинская область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Тип страницы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Коммерческий калькулятор  MVP квиз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Действие страницы (Secondary)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Отправленный персональный расчет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Связанная услуга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https://pozharnik.kz/montazh/</w:t>
            </w:r>
          </w:p>
        </w:tc>
      </w:tr>
    </w:tbl>
    <w:p>
      <w:pPr>
        <w:pageBreakBefore w:val="0"/>
        <w:widowControl/>
        <w:spacing w:after="20"/>
      </w:pPr>
    </w:p>
    <w:p>
      <w:pPr>
        <w:pStyle w:val="Heading1"/>
        <w:pageBreakBefore w:val="0"/>
        <w:widowControl/>
      </w:pPr>
      <w:r>
        <w:rPr>
          <w:color w:val="000000"/>
        </w:rPr>
        <w:t>1 Цель и результат</w:t>
      </w:r>
    </w:p>
    <w:p>
      <w:pPr>
        <w:pageBreakBefore w:val="0"/>
        <w:widowControl/>
      </w:pPr>
      <w:r>
        <w:t>Страница помогает представителю организации получить ориентировочную вилку стоимости монтажа АПС без передачи телефона, а затем запросить персональный расчет. Она должна сокращать путь от ценового запроса до квалифицированной заявки и передавать ответы квиза, источник и маркетинговую атрибуцию в CRM и аналитику.</w:t>
      </w:r>
    </w:p>
    <w:p>
      <w:pPr>
        <w:pageBreakBefore w:val="0"/>
        <w:widowControl/>
      </w:pPr>
      <w:r>
        <w:t>Целевая аудитория: собственники и руководители организаций, управляющие объектами, инженеры, специалисты по эксплуатации, закупкам и пожарной безопасности. Приоритетные объекты: склады, офисы, общепит, магазины, медицинские центры и производство.</w:t>
      </w:r>
    </w:p>
    <w:p>
      <w:pPr>
        <w:pageBreakBefore w:val="0"/>
        <w:widowControl/>
      </w:pPr>
      <w:r>
        <w:t>Тон деловой, конкретный и спокойный. Не использовать стоковые фотографии, неподтвержденные цифры, обещания отсутствия штрафов, гарантированного согласования или результата, а также обязательного присутствия инженера, если это не закреплено договором.</w:t>
      </w:r>
    </w:p>
    <w:p>
      <w:pPr>
        <w:pStyle w:val="Heading1"/>
        <w:pageBreakBefore w:val="0"/>
        <w:widowControl/>
      </w:pPr>
      <w:r>
        <w:rPr>
          <w:color w:val="000000"/>
        </w:rPr>
        <w:t>2 Границы MVP</w:t>
      </w:r>
    </w:p>
    <w:p>
      <w:pPr>
        <w:pStyle w:val="ListBullet"/>
        <w:pageBreakBefore w:val="0"/>
        <w:widowControl/>
      </w:pPr>
      <w:r>
        <w:t>Квиз состоит из 3 обязательных шагов и одного контактного шага; не превращать первую версию в сложный проектный расчет.</w:t>
      </w:r>
    </w:p>
    <w:p>
      <w:pPr>
        <w:pStyle w:val="ListBullet"/>
        <w:pageBreakBefore w:val="0"/>
        <w:widowControl/>
      </w:pPr>
      <w:r>
        <w:t>Ориентировочная вилка показывается сразу после ответов и до запроса телефона.</w:t>
      </w:r>
    </w:p>
    <w:p>
      <w:pPr>
        <w:pStyle w:val="ListBullet"/>
        <w:pageBreakBefore w:val="0"/>
        <w:widowControl/>
      </w:pPr>
      <w:r>
        <w:t>Контакт требуется только для персонального расчета, отправки результата или консультации инженера.</w:t>
      </w:r>
    </w:p>
    <w:p>
      <w:pPr>
        <w:pStyle w:val="ListBullet"/>
        <w:pageBreakBefore w:val="0"/>
        <w:widowControl/>
      </w:pPr>
      <w:r>
        <w:t>Расчет не является офертой или сметой. Точная стоимость определяется после уточнения проекта, планировок, нормируемых зон, кабельных трасс, оборудования и условий монтажа.</w:t>
      </w:r>
    </w:p>
    <w:p>
      <w:pPr>
        <w:pStyle w:val="ListBullet"/>
        <w:pageBreakBefore w:val="0"/>
        <w:widowControl/>
      </w:pPr>
      <w:r>
        <w:t>Плановый срок базовой реализации: 3–4 рабочих дня после утверждения цен, коэффициентов, текстов, endpoint и медиаматериалов.</w:t>
      </w:r>
    </w:p>
    <w:p>
      <w:pPr>
        <w:pStyle w:val="Heading1"/>
        <w:pageBreakBefore w:val="0"/>
        <w:widowControl/>
      </w:pPr>
      <w:r>
        <w:rPr>
          <w:color w:val="000000"/>
        </w:rPr>
        <w:t>3 Сценарий калькулятора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5"/>
        <w:gridCol w:w="2465"/>
        <w:gridCol w:w="2465"/>
        <w:gridCol w:w="2465"/>
      </w:tblGrid>
      <w:tr>
        <w:trPr>
          <w:tblHeader/>
          <w:tblHeader/>
        </w:trPr>
        <w:tc>
          <w:tcPr>
            <w:tcW w:type="dxa" w:w="737"/>
            <w:shd w:fill="1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1701"/>
            <w:shd w:fill="1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4309"/>
            <w:shd w:fill="1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8"/>
              </w:rPr>
              <w:t>Варианты и правила</w:t>
            </w:r>
          </w:p>
        </w:tc>
        <w:tc>
          <w:tcPr>
            <w:tcW w:type="dxa" w:w="1984"/>
            <w:shd w:fill="1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8"/>
              </w:rPr>
              <w:t>Поле данных</w:t>
            </w:r>
          </w:p>
        </w:tc>
      </w:tr>
      <w:t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Тип объекта</w:t>
            </w:r>
          </w:p>
        </w:tc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Склад; офис; кафе или ресторан; магазин; медицинский центр; производство; другое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object_type</w:t>
            </w:r>
          </w:p>
        </w:tc>
      </w:tr>
      <w:t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Площадь</w:t>
            </w:r>
          </w:p>
        </w:tc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До 200; 200–500; 500–1500; 1500+ м². Для точности можно добавить числовое поле, но диапазон остается обязательным.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area_band, area_exact</w:t>
            </w:r>
          </w:p>
        </w:tc>
      </w:tr>
      <w:t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Состояние объекта</w:t>
            </w:r>
          </w:p>
        </w:tc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Монтаж с нуля; замена существующей системы; есть готовый проект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installation_state</w:t>
            </w:r>
          </w:p>
        </w:tc>
      </w:tr>
      <w:t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Результат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Предварительная стоимость</w:t>
            </w:r>
          </w:p>
        </w:tc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Показать нижнюю и верхнюю границу, допущения, что включено, что уточняется, CTA на персональный расчет и WhatsApp.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estimate_min, estimate_max, calculation_version</w:t>
            </w:r>
          </w:p>
        </w:tc>
      </w:tr>
      <w:t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Контакты</w:t>
            </w:r>
          </w:p>
        </w:tc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Имя, телефон, удобный канал; согласие с политикой. Дополнительно: этажность, срок запуска, комментарий, файл проекта через безопасный серверный механизм.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name, phone, contact_channel, floors, deadline, comment</w:t>
            </w:r>
          </w:p>
        </w:tc>
      </w:tr>
    </w:tbl>
    <w:p>
      <w:pPr>
        <w:pageBreakBefore w:val="0"/>
        <w:widowControl/>
        <w:spacing w:after="20"/>
      </w:pPr>
    </w:p>
    <w:p>
      <w:pPr>
        <w:pageBreakBefore w:val="0"/>
        <w:widowControl/>
      </w:pPr>
      <w:r>
        <w:t>Навигация: видимый индикатор шага, кнопки Назад и Далее, выбор карточкой или radio, сохранение ответов при возврате. На мобильном экране CTA и результат не перекрываются нижней панелью. Клавиатурная навигация и видимый focus обязательны.</w:t>
      </w:r>
    </w:p>
    <w:p>
      <w:pPr>
        <w:pStyle w:val="Heading1"/>
        <w:pageBreakBefore w:val="0"/>
        <w:widowControl/>
      </w:pPr>
      <w:r>
        <w:rPr>
          <w:color w:val="000000"/>
        </w:rPr>
        <w:t>4 Логика расчета</w:t>
      </w:r>
    </w:p>
    <w:p>
      <w:pPr>
        <w:pageBreakBefore w:val="0"/>
        <w:widowControl/>
      </w:pPr>
      <w:r>
        <w:t>Все цены и коэффициенты хранятся в одном конфигурационном объекте и утверждаются заказчиком совместно с инженером. В HTML не фиксировать выдуманные тарифы. Каждому расчету присваивать версию конфигурации.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6"/>
        <w:gridCol w:w="3286"/>
        <w:gridCol w:w="3286"/>
      </w:tblGrid>
      <w:tr>
        <w:trPr>
          <w:tblHeader/>
          <w:tblHeader/>
        </w:trPr>
        <w:tc>
          <w:tcPr>
            <w:tcW w:type="dxa" w:w="2268"/>
            <w:shd w:fill="1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3175"/>
            <w:shd w:fill="1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3288"/>
            <w:shd w:fill="1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8"/>
              </w:rPr>
              <w:t>Требование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База по площади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Диапазон базовой стоимости для выбранной площади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Значения base_min и base_max для каждого area_band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Коэффициент объекта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Учитывает назначение и типичные условия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object_factor_min и object_factor_max по object_type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Коэффициент состояния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Новый монтаж, замена или работа по проекту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state_factor_min и state_factor_max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Минимальный заказ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Исключает экономически некорректный результат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min_order_min и min_order_max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Дополнительные параметры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Этажность, высота, работающий объект, сложные трассы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Не влияют на MVP-вилку без утвержденной модели; передаются менеджеру как уточнения</w:t>
            </w:r>
          </w:p>
        </w:tc>
      </w:tr>
    </w:tbl>
    <w:p>
      <w:pPr>
        <w:pageBreakBefore w:val="0"/>
        <w:widowControl/>
        <w:spacing w:after="20"/>
      </w:pPr>
    </w:p>
    <w:p>
      <w:pPr>
        <w:pageBreakBefore w:val="0"/>
        <w:widowControl/>
      </w:pPr>
      <w:r>
        <w:t>Расчет: estimate_min = max(min_order_min, base_min × object_factor_min × state_factor_min); estimate_max = max(min_order_max, base_max × object_factor_max × state_factor_max). Округление и единица округления задаются конфигурацией. При выборе Другое или 1500+ м² показать расширенную вилку либо сообщение Расчет требует уточнения — согласно утвержденной матрице.</w:t>
      </w:r>
    </w:p>
    <w:p>
      <w:pPr>
        <w:pageBreakBefore w:val="0"/>
        <w:widowControl/>
      </w:pPr>
      <w:r>
        <w:t>Результат должен содержать: диапазон в тенге; выбранные параметры; дату и версию расчета; перечень базовых допущений; ссылку Изменить параметры; CTA Получить точный расчет; кнопку Отправить данные в WhatsApp. Телефон не скрывает предварительный результат.</w:t>
      </w:r>
    </w:p>
    <w:p>
      <w:pPr>
        <w:pStyle w:val="Heading1"/>
        <w:pageBreakBefore w:val="0"/>
        <w:widowControl/>
      </w:pPr>
      <w:r>
        <w:rPr>
          <w:color w:val="000000"/>
        </w:rPr>
        <w:t>5 Структура страницы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29"/>
        <w:gridCol w:w="4929"/>
      </w:tblGrid>
      <w:tr>
        <w:trPr>
          <w:tblHeader/>
          <w:tblHeader/>
        </w:trPr>
        <w:tc>
          <w:tcPr>
            <w:tcW w:type="dxa" w:w="2041"/>
            <w:shd w:fill="1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6690"/>
            <w:shd w:fill="1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8"/>
              </w:rPr>
              <w:t>Содержание и функциональность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Технический отступ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CSS-переменная --site-header-space: 88px desktop, 64px mobile.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Hero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География; один H1 Калькулятор монтажа пожарной сигнализации в Алматы; краткий результат; CTA Рассчитать стоимость и WhatsApp; только подтверждаемые чипсы; белая карточка экспресс-расчета.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Proof bar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Четыре проверяемые фактические метрики. До предоставления фактов использовать согласованные нейтральные формулировки, не выдумывать числа.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Калькулятор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Квиз, результат до контакта, персональный расчет, WhatsApp, состояния загрузки и ошибки.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Что влияет на цену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Площадь, назначение, этажность, наличие проекта, тип системы, кабельные трассы, режим объекта, сроки. Отделить параметры MVP от факторов точной сметы.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Типовые задачи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Минимум две одинаковые карточки с реальными фото или коротким видео: новый монтаж и замена/модернизация. Технические подписи, alt, понятный результат.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Что входит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Шесть этапов: сбор исходных данных; обследование; проект/уточнение решений; смета и договор; монтаж и пусконаладка; испытания, акты и передача.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Пакеты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Три утверждаемых варианта: Базовый, Стандарт, Комплексный либо фактические названия компании. Для каждого: кому подходит, состав, сроки, диапазон и CTA. Не публиковать до утверждения состава и цен.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Сравнение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Таблица пакетов: обследование, проектирование, оборудование, монтаж, пусконаладка, документация, гарантия, обслуживание.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Договор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Спецификация, смета, график, акты, гарантия, регламент, допущения и границы ответственности.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Реальные работы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До трёх JPG/WebP, компактные одинаковые превью, технические подписи, lazy loading, размеры, доступное модальное увеличение.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Кейсы и отзывы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Только реальные согласованные материалы; документы показывать как JPG/WebP без персональных данных, PDF не встраивать.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Отрасли и ссылки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Склад, производство, офис, кафе/ресторан, магазин, медцентр; ссылки на отраслевые страницы монтажа, /montazh/ и смежные услуги.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FAQ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Не менее 5 вопросов: точность расчета, сроки, проект, документы, гарантия, порядок обследования и границы предварительной вилки.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Финальный CTA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Отдельная форма на персональный расчет и пояснение, кто и в какой срок свяжется. Целевой SLA из медиаплана: до 30 минут в рабочее время, только после операционного подтверждения.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Футер и mobile bar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Телефон, WhatsApp, адрес, режим, политика, смежные услуги; мобильная панель Позвонить / WhatsApp с safe-area.</w:t>
            </w:r>
          </w:p>
        </w:tc>
      </w:tr>
    </w:tbl>
    <w:p>
      <w:pPr>
        <w:pageBreakBefore w:val="0"/>
        <w:widowControl/>
        <w:spacing w:after="20"/>
      </w:pPr>
    </w:p>
    <w:p>
      <w:pPr>
        <w:pStyle w:val="Heading1"/>
        <w:pageBreakBefore w:val="0"/>
        <w:widowControl/>
      </w:pPr>
      <w:r>
        <w:rPr>
          <w:color w:val="000000"/>
        </w:rPr>
        <w:t>6 Визуальная система и адаптивность</w:t>
      </w:r>
    </w:p>
    <w:p>
      <w:pPr>
        <w:pageBreakBefore w:val="0"/>
        <w:widowControl/>
      </w:pPr>
      <w:r>
        <w:t>Стиль Industrial B2B / Engineering. Контейнер около 1160px; Arial, Helvetica, sans-serif. Hero: linear-gradient(115deg, #112d3d 0%, #184b5d 55%, #1e596b 100%), белый текст, пояснение #e4eef1, технический круговой паттерн справа, сетка 1.2fr/0.8fr. Основной текст #15212b, muted #697984, CTA #e54132, hover #bd2f25, инженерный синий #14364b, фон #f5f7f6, границы #dfe6e8, светлый акцент #ffc7bd.</w:t>
      </w:r>
    </w:p>
    <w:p>
      <w:pPr>
        <w:pStyle w:val="ListBullet"/>
        <w:pageBreakBefore w:val="0"/>
        <w:widowControl/>
      </w:pPr>
      <w:r>
        <w:t>H1 47px desktop и 32px mobile; H2 34px и 28px; line-height 1.08–1.16.</w:t>
      </w:r>
    </w:p>
    <w:p>
      <w:pPr>
        <w:pStyle w:val="ListBullet"/>
        <w:pageBreakBefore w:val="0"/>
        <w:widowControl/>
      </w:pPr>
      <w:r>
        <w:t>Карточки белые, радиус 13px, ключевые панели 18px, внутренние отступы 23–36px; кнопки 8px и hover translateY(-2px). Красный — только CTA, акцент и нумерация.</w:t>
      </w:r>
    </w:p>
    <w:p>
      <w:pPr>
        <w:pStyle w:val="ListBullet"/>
        <w:pageBreakBefore w:val="0"/>
        <w:widowControl/>
      </w:pPr>
      <w:r>
        <w:t>Desktop: до 3 карточек; до 820px — 2; до 500px — 1. Mobile: одна колонка, внешние отступы 14px, без горизонтальной прокрутки.</w:t>
      </w:r>
    </w:p>
    <w:p>
      <w:pPr>
        <w:pStyle w:val="ListBullet"/>
        <w:pageBreakBefore w:val="0"/>
        <w:widowControl/>
      </w:pPr>
      <w:r>
        <w:t>Стили изолировать корнем #pz-kalkulyator-montazh-page. Не использовать jQuery, Bootstrap, внешние шрифты, тяжелые анимации и автозвук.</w:t>
      </w:r>
    </w:p>
    <w:p>
      <w:pPr>
        <w:pStyle w:val="ListBullet"/>
        <w:pageBreakBefore w:val="0"/>
        <w:widowControl/>
      </w:pPr>
      <w:r>
        <w:t>Фото-превью до 360×360px desktop и 340×340px mobile, object-fit: cover. Модальное окно закрывается кнопкой, фоном и Esc. Видео: заметная Play-кнопка, controls, MP4/H.264, preload=metadata, playsinline, muted, до 20 секунд и строго менее 5 МБ.</w:t>
      </w:r>
    </w:p>
    <w:p>
      <w:pPr>
        <w:pStyle w:val="Heading1"/>
        <w:pageBreakBefore w:val="0"/>
        <w:widowControl/>
      </w:pPr>
      <w:r>
        <w:rPr>
          <w:color w:val="000000"/>
        </w:rPr>
        <w:t>7 SEO и семантика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29"/>
        <w:gridCol w:w="4929"/>
      </w:tblGrid>
      <w:tr>
        <w:trPr>
          <w:tblHeader/>
          <w:tblHeader/>
        </w:trPr>
        <w:tc>
          <w:tcPr>
            <w:tcW w:type="dxa" w:w="2154"/>
            <w:shd w:fill="1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576"/>
            <w:shd w:fill="1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8"/>
              </w:rPr>
              <w:t>Требование</w:t>
            </w:r>
          </w:p>
        </w:tc>
      </w:tr>
      <w:t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Калькулятор монтажа пожарной сигнализации Алматы | Pozharnik.kz — проверить длину после утверждения, не более 60–65 символов.</w:t>
            </w:r>
          </w:p>
        </w:tc>
      </w:tr>
      <w:t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Description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Рассчитайте ориентировочную стоимость монтажа пожарной сигнализации для офиса, склада, магазина или общепита в Алматы. Точная смета после уточнения объекта. 140–170 символов после финальной редакции.</w:t>
            </w:r>
          </w:p>
        </w:tc>
      </w:tr>
      <w:t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Canonical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https://pozharnik.kz/kalkulyatory/montazh/</w:t>
            </w:r>
          </w:p>
        </w:tc>
      </w:tr>
      <w:t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Open Graph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og:type, og:locale, og:title, og:description, og:url, og:image; favicon и apple-touch-icon.</w:t>
            </w:r>
          </w:p>
        </w:tc>
      </w:tr>
      <w:t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Структура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Один H1; логичные H2/H3; main, section, article, figure, figcaption, details.</w:t>
            </w:r>
          </w:p>
        </w:tc>
      </w:tr>
      <w:t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JSON-LD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LocalBusiness, Service, FAQPage. Значения совпадают с видимым текстом; не добавлять неподтвержденные rating/review.</w:t>
            </w:r>
          </w:p>
        </w:tc>
      </w:tr>
      <w:t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Внутренние ссылки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/montazh/, /kalkulyatory/, отраслевые страницы монтажа, /proektirovanie/, /modernizaciya/, /obsluzhivanie/.</w:t>
            </w:r>
          </w:p>
        </w:tc>
      </w:tr>
    </w:tbl>
    <w:p>
      <w:pPr>
        <w:pageBreakBefore w:val="0"/>
        <w:widowControl/>
        <w:spacing w:after="20"/>
      </w:pPr>
    </w:p>
    <w:p>
      <w:pPr>
        <w:pStyle w:val="Heading1"/>
        <w:pageBreakBefore w:val="0"/>
        <w:widowControl/>
      </w:pPr>
      <w:r>
        <w:rPr>
          <w:color w:val="000000"/>
        </w:rPr>
        <w:t>8 Формы и интеграции</w:t>
      </w:r>
    </w:p>
    <w:p>
      <w:pPr>
        <w:pStyle w:val="ListBullet"/>
        <w:pageBreakBefore w:val="0"/>
        <w:widowControl/>
      </w:pPr>
      <w:r>
        <w:t>Все формы используют reportValidity(), требуют согласие с политикой, маску +7 (7XX) XXX-XX-XX, autocomplete=tel и inputmode=tel.</w:t>
      </w:r>
    </w:p>
    <w:p>
      <w:pPr>
        <w:pStyle w:val="ListBullet"/>
        <w:pageBreakBefore w:val="0"/>
        <w:widowControl/>
      </w:pPr>
      <w:r>
        <w:t>Кнопка блокируется на время запроса; показываются .pz-success и .pz-error; после успеха форма очищается. Повторный клик не создает дубль.</w:t>
      </w:r>
    </w:p>
    <w:p>
      <w:pPr>
        <w:pStyle w:val="ListBullet"/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 Формат FormData/JSON согласовать с действующим контрактом; кнопка блокируется на время запроса, ошибки сохраняют введённые данные.</w:t>
      </w:r>
    </w:p>
    <w:p>
      <w:pPr>
        <w:pStyle w:val="ListBullet"/>
        <w:pageBreakBefore w:val="0"/>
        <w:widowControl/>
      </w:pPr>
      <w:r>
        <w:t>Endpoint задаются отдельными константами. Секретные токены Telegram, CRM и другие ключи запрещены в клиентском HTML.</w:t>
      </w:r>
    </w:p>
    <w:p>
      <w:pPr>
        <w:pStyle w:val="ListBullet"/>
        <w:pageBreakBefore w:val="0"/>
        <w:widowControl/>
      </w:pPr>
      <w:r>
        <w:t>BigQuery: https://tilda-webhook-to-bigquery-324633937237.europe-west3.run.app; отдельный fetch JSON с keepalive:true.</w:t>
      </w:r>
    </w:p>
    <w:p>
      <w:pPr>
        <w:pageBreakBefore w:val="0"/>
        <w:widowControl/>
      </w:pPr>
      <w:r>
        <w:t>После успешной заявки сообщить: заявка принята, кто свяжется и подтвержденный срок ответа. Для лидов монтажа медиаплан предусматривает уточнение даты открытия, площади и наличия проекта.</w:t>
      </w:r>
    </w:p>
    <w:p>
      <w:pPr>
        <w:pStyle w:val="Heading2"/>
        <w:pageBreakBefore w:val="0"/>
        <w:widowControl/>
      </w:pPr>
      <w:r>
        <w:rPr>
          <w:color w:val="000000"/>
        </w:rPr>
        <w:t>9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service_type=installation;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10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>
      <w:pPr>
        <w:pStyle w:val="Heading1"/>
        <w:pageBreakBefore w:val="0"/>
        <w:widowControl/>
      </w:pPr>
      <w:r>
        <w:rPr>
          <w:color w:val="000000"/>
        </w:rPr>
        <w:t>11 Пакет для Tilda</w:t>
      </w:r>
    </w:p>
    <w:p>
      <w:pPr>
        <w:pStyle w:val="ListBullet"/>
        <w:pageBreakBefore w:val="0"/>
        <w:widowControl/>
      </w:pPr>
      <w:r>
        <w:t>01_HEAD_SEO.html: только метатеги, canonical, Open Graph, favicon/apple-touch-icon и при необходимости изолированные стили; без видимой разметки.</w:t>
      </w:r>
    </w:p>
    <w:p>
      <w:pPr>
        <w:pStyle w:val="ListBullet"/>
        <w:pageBreakBefore w:val="0"/>
        <w:widowControl/>
      </w:pPr>
      <w:r>
        <w:t>02_PAGE_FULL_T123.html: замкнутая разметка страницы, изолированные CSS, JSON-LD и JavaScript в одном T123. Не разрывать конструкцию, style или script между блоками.</w:t>
      </w:r>
    </w:p>
    <w:p>
      <w:pPr>
        <w:pStyle w:val="ListBullet"/>
        <w:pageBreakBefore w:val="0"/>
        <w:widowControl/>
      </w:pPr>
      <w:r>
        <w:t>00_README.txt: точная инструкция установки. test-preview.html: локальная проверка с doctype, UTF-8 и viewport. Все четыре файла включить в ZIP.</w:t>
      </w:r>
    </w:p>
    <w:p>
      <w:pPr>
        <w:pStyle w:val="ListBullet"/>
        <w:pageBreakBefore w:val="0"/>
        <w:widowControl/>
      </w:pPr>
      <w:r>
        <w:t>UTF-8 без повторного перекодирования; проверить отсутствие mojibake и символа замены. После вставки проверить сохранение полного конца кода и повторно опубликовать.</w:t>
      </w:r>
    </w:p>
    <w:p>
      <w:pPr>
        <w:pStyle w:val="ListBullet"/>
        <w:pageBreakBefore w:val="0"/>
        <w:widowControl/>
      </w:pPr>
      <w:r>
        <w:t>Медиа сначала загрузить в отдельную папку Tilda; в финале использовать только абсолютные HTTPS CDN URL с уникальными именами. Не оставлять C:\, assets/ или media/ и не включать медиа другой страницы.</w:t>
      </w:r>
    </w:p>
    <w:p>
      <w:pPr>
        <w:pStyle w:val="ListBullet"/>
        <w:pageBreakBefore w:val="0"/>
        <w:widowControl/>
      </w:pPr>
      <w:r>
        <w:t>Если Tilda отклоняет объем, делить только по завершенным независимым блокам. Не подключать тяжелые библиотеки.</w:t>
      </w:r>
    </w:p>
    <w:p>
      <w:pPr>
        <w:pStyle w:val="Heading1"/>
        <w:pageBreakBefore w:val="0"/>
        <w:widowControl/>
      </w:pPr>
      <w:r>
        <w:rPr>
          <w:color w:val="000000"/>
        </w:rPr>
        <w:t>12 Ошибки и пограничные сценарии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29"/>
        <w:gridCol w:w="4929"/>
      </w:tblGrid>
      <w:tr>
        <w:trPr>
          <w:tblHeader/>
          <w:tblHeader/>
        </w:trPr>
        <w:tc>
          <w:tcPr>
            <w:tcW w:type="dxa" w:w="3061"/>
            <w:shd w:fill="1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8"/>
              </w:rPr>
              <w:t>Сценарий</w:t>
            </w:r>
          </w:p>
        </w:tc>
        <w:tc>
          <w:tcPr>
            <w:tcW w:type="dxa" w:w="5669"/>
            <w:shd w:fill="1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8"/>
              </w:rPr>
              <w:t>Ожидаемое поведение</w:t>
            </w:r>
          </w:p>
        </w:tc>
      </w:tr>
      <w:tr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JavaScript недоступен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Показать телефон, WhatsApp и простую ссылку на форму; не оставлять пустой экран.</w:t>
            </w:r>
          </w:p>
        </w:tc>
      </w:tr>
      <w:tr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Нет цены для комбинации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Не показывать 0 ₸. Сообщить, что требуется уточнение, сохранить ответы и предложить персональный расчет.</w:t>
            </w:r>
          </w:p>
        </w:tc>
      </w:tr>
      <w:tr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1500+ м² или Другое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Использовать утвержденную расширенную вилку либо переводить в уточнение без ложной точности.</w:t>
            </w:r>
          </w:p>
        </w:tc>
      </w:tr>
      <w:tr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Сетевая ошибка заявки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Сохранить введенные данные в интерфейсе, показать понятную ошибку и альтернативный WhatsApp/телефон.</w:t>
            </w:r>
          </w:p>
        </w:tc>
      </w:tr>
      <w:tr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Ошибка BigQuery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Показать успех основной заявки; отправить pz_delivery_status со статусом, если возможно.</w:t>
            </w:r>
          </w:p>
        </w:tc>
      </w:tr>
      <w:tr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Повторная отправка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Блокировать кнопку и дедуплицировать по event_id.</w:t>
            </w:r>
          </w:p>
        </w:tc>
      </w:tr>
      <w:tr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Некорректный телефон/нет согласия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Остановить отправку через reportValidity и показать ошибку у поля.</w:t>
            </w:r>
          </w:p>
        </w:tc>
      </w:tr>
    </w:tbl>
    <w:p>
      <w:pPr>
        <w:pageBreakBefore w:val="0"/>
        <w:widowControl/>
        <w:spacing w:after="20"/>
      </w:pPr>
    </w:p>
    <w:p>
      <w:pPr>
        <w:pStyle w:val="Heading1"/>
        <w:pageBreakBefore w:val="0"/>
        <w:widowControl/>
      </w:pPr>
      <w:r>
        <w:rPr>
          <w:color w:val="000000"/>
        </w:rPr>
        <w:t>13 Проверка и приемка</w:t>
      </w:r>
    </w:p>
    <w:p>
      <w:pPr>
        <w:pageBreakBefore w:val="0"/>
        <w:widowControl/>
      </w:pPr>
      <w:r>
        <w:t>☐ URL, H1, title, description, canonical и услуга совпадают с ТЗ; на странице один H1.</w:t>
      </w:r>
    </w:p>
    <w:p>
      <w:pPr>
        <w:pageBreakBefore w:val="0"/>
        <w:widowControl/>
      </w:pPr>
      <w:r>
        <w:t>☐ Квиз содержит утвержденные 3 шага, позволяет вернуться назад и сохраняет ответы.</w:t>
      </w:r>
    </w:p>
    <w:p>
      <w:pPr>
        <w:pageBreakBefore w:val="0"/>
        <w:widowControl/>
      </w:pPr>
      <w:r>
        <w:t>☐ Предварительная вилка видна до ввода телефона, содержит допущения и не равна нулю при отсутствии тарифа.</w:t>
      </w:r>
    </w:p>
    <w:p>
      <w:pPr>
        <w:pageBreakBefore w:val="0"/>
        <w:widowControl/>
      </w:pPr>
      <w:r>
        <w:t>☐ Формула проверена минимум на каждой границе площади и для всех типов объекта и состояний; округление соответствует конфигурации.</w:t>
      </w:r>
    </w:p>
    <w:p>
      <w:pPr>
        <w:pageBreakBefore w:val="0"/>
        <w:widowControl/>
      </w:pPr>
      <w:r>
        <w:t>☐ Ответы, диапазон, calculation_version, UTM и доступные идентификаторы поступают в CRM и BigQuery.</w:t>
      </w:r>
    </w:p>
    <w:p>
      <w:pPr>
        <w:pageBreakBefore w:val="0"/>
        <w:widowControl/>
      </w:pPr>
      <w:r>
        <w:t>☐ Формы валидируют телефон и согласие, предотвращают дубль, корректно показывают успех и ошибку.</w:t>
      </w:r>
    </w:p>
    <w:p>
      <w:pPr>
        <w:pageBreakBefore w:val="0"/>
        <w:widowControl/>
      </w:pPr>
      <w:r>
        <w:t>☐ Основная заявка успешна даже при отказе аналитического endpoint; проверены CORS и HTTPS.</w:t>
      </w:r>
    </w:p>
    <w:p>
      <w:pPr>
        <w:pageBreakBefore w:val="0"/>
        <w:widowControl/>
      </w:pPr>
      <w:r>
        <w:t>☐ Работают pz_cta_click с cta_channel=phone, pz_cta_click с cta_channel=whatsapp, pz_calculator_start, шаги, просмотр результата, pz_calculator_complete, generate_lead и ошибки.</w:t>
      </w:r>
    </w:p>
    <w:p>
      <w:pPr>
        <w:pageBreakBefore w:val="0"/>
        <w:widowControl/>
      </w:pPr>
      <w:r>
        <w:t>☐ Все обязательные блоки присутствуют; факты, цены, пакеты, сроки, фото, кейсы и документы согласованы. Неподтвержденных обещаний нет.</w:t>
      </w:r>
    </w:p>
    <w:p>
      <w:pPr>
        <w:pageBreakBefore w:val="0"/>
        <w:widowControl/>
      </w:pPr>
      <w:r>
        <w:t>☐ Изображения имеют alt, width/height при возможности, lazy loading; компактные превью открываются в модальном окне, Esc и фон закрывают его.</w:t>
      </w:r>
    </w:p>
    <w:p>
      <w:pPr>
        <w:pageBreakBefore w:val="0"/>
        <w:widowControl/>
      </w:pPr>
      <w:r>
        <w:t>☐ Видео имеет активную Play-кнопку, controls, корректно работает на desktop, Android и iPhone/Safari, длится не более 20 секунд и весит менее 5 МБ.</w:t>
      </w:r>
    </w:p>
    <w:p>
      <w:pPr>
        <w:pageBreakBefore w:val="0"/>
        <w:widowControl/>
      </w:pPr>
      <w:r>
        <w:t>☐ Проверены Chrome, Safari и актуальный мобильный браузер; ширины 320, 375, 768, 1024 и 1440px; нет горизонтальной прокрутки и перекрытия Safe Area.</w:t>
      </w:r>
    </w:p>
    <w:p>
      <w:pPr>
        <w:pageBreakBefore w:val="0"/>
        <w:widowControl/>
      </w:pPr>
      <w:r>
        <w:t>☐ Клавиатура проходит по квизу и модальным окнам; focus видим; summary/details доступны; контраст достаточен.</w:t>
      </w:r>
    </w:p>
    <w:p>
      <w:pPr>
        <w:pageBreakBefore w:val="0"/>
        <w:widowControl/>
      </w:pPr>
      <w:r>
        <w:t>☐ JSON-LD валиден и совпадает с видимым текстом; локальных путей и секретов в клиентском коде нет.</w:t>
      </w:r>
    </w:p>
    <w:p>
      <w:pPr>
        <w:pageBreakBefore w:val="0"/>
        <w:widowControl/>
      </w:pPr>
      <w:r>
        <w:t>☐ HTML сохранен в UTF-8; локальный preview и опубликованная Tilda-страница проверены; полный T123 сохранился без обрезания.</w:t>
      </w:r>
    </w:p>
    <w:p>
      <w:pPr>
        <w:pageBreakBefore w:val="0"/>
        <w:widowControl/>
      </w:pPr>
      <w:r>
        <w:t>☐ ZIP содержит README, HEAD, полный T123 и test-preview; медиассылки абсолютные HTTPS CDN Tilda.</w:t>
      </w:r>
    </w:p>
    <w:p>
      <w:pPr>
        <w:pageBreakBefore w:val="0"/>
        <w:widowControl/>
      </w:pPr>
      <w:r>
        <w:t>☐ Сквозной тест пройден: рекламный клик → квиз → результат → заявка/WhatsApp → CRM → аналитика → персональный расчет.</w:t>
      </w:r>
    </w:p>
    <w:p>
      <w:pPr>
        <w:pStyle w:val="Heading1"/>
        <w:pageBreakBefore w:val="0"/>
        <w:widowControl/>
      </w:pPr>
      <w:r>
        <w:rPr>
          <w:color w:val="000000"/>
        </w:rPr>
        <w:t>14 Материалы и решения до разработки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29"/>
        <w:gridCol w:w="4929"/>
      </w:tblGrid>
      <w:tr>
        <w:trPr>
          <w:tblHeader/>
          <w:tblHeader/>
        </w:trPr>
        <w:tc>
          <w:tcPr>
            <w:tcW w:type="dxa" w:w="5783"/>
            <w:shd w:fill="1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8"/>
              </w:rPr>
              <w:t>Что предоставить или утвердить</w:t>
            </w:r>
          </w:p>
        </w:tc>
        <w:tc>
          <w:tcPr>
            <w:tcW w:type="dxa" w:w="2948"/>
            <w:shd w:fill="14364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pageBreakBefore w:val="0"/>
            </w:pPr>
            <w:r>
              <w:rPr>
                <w:rFonts w:ascii="Arial" w:hAnsi="Arial"/>
                <w:b/>
                <w:color w:val="FFFFFF"/>
                <w:sz w:val="18"/>
              </w:rPr>
              <w:t>Ответственный результат</w:t>
            </w:r>
          </w:p>
        </w:tc>
      </w:tr>
      <w:tr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Матрица base_min/base_max, коэффициенты, минимальный заказ, округление, валюта и версия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Инженер + продажи + руководитель</w:t>
            </w:r>
          </w:p>
        </w:tc>
      </w:tr>
      <w:tr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Фактические названия, состав, сроки и диапазоны трех пакетов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Продажи + инженер</w:t>
            </w:r>
          </w:p>
        </w:tc>
      </w:tr>
      <w:tr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Четыре проверяемые метрики, до трёх согласованных фото, 2 карточки задач, кейсы и документы без персональных данных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Маркетинг + инженер</w:t>
            </w:r>
          </w:p>
        </w:tc>
      </w:tr>
      <w:tr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Телефон, WhatsApp, адрес, режим, реквизиты LocalBusiness, политика и OG image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Заказчик</w:t>
            </w:r>
          </w:p>
        </w:tc>
      </w:tr>
      <w:tr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Webhook/CRM endpoint, поля Bitrix24, BigQuery CORS, правила дедупликации и хранения согласия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Разработчик + CRM</w:t>
            </w:r>
          </w:p>
        </w:tc>
      </w:tr>
      <w:tr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SLA ответа до 30 минут в рабочее время или скорректированная формулировка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8"/>
          </w:tcPr>
          <w:p>
            <w:pPr>
              <w:keepNext w:val="0"/>
              <w:pageBreakBefore w:val="0"/>
              <w:spacing w:after="20"/>
            </w:pPr>
            <w:r>
              <w:rPr>
                <w:rFonts w:ascii="Arial" w:hAnsi="Arial"/>
                <w:sz w:val="17"/>
              </w:rPr>
              <w:t>Руководитель продаж</w:t>
            </w:r>
          </w:p>
        </w:tc>
      </w:tr>
    </w:tbl>
    <w:p>
      <w:pPr>
        <w:pageBreakBefore w:val="0"/>
        <w:widowControl/>
        <w:spacing w:after="20"/>
      </w:pPr>
    </w:p>
    <w:p>
      <w:pPr>
        <w:pageBreakBefore w:val="0"/>
        <w:widowControl/>
      </w:pPr>
      <w:r>
        <w:t>Критерий готовности к запуску рекламы: страница опубликована, мобильная версия проверена, цена или диапазон показаны, формы и звонки отслеживаются, UTM и категория лида поступают в CRM, назначенный выезд и отправленный персональный расчет фиксируются.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20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7984"/>
        <w:sz w:val="16"/>
      </w:rPr>
      <w:t xml:space="preserve">Pozharnik.kz  Техническое задание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