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</w:pPr>
      <w:r>
        <w:rPr>
          <w:color w:val="000000"/>
          <w:u w:val="none"/>
        </w:rPr>
        <w:t>Техническое задание на страницу Калькулятор обслуживания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ageBreakBefore w:val="0"/>
        <w:widowControl/>
        <w:spacing w:after="180"/>
      </w:pPr>
      <w:r>
        <w:rPr>
          <w:b/>
        </w:rPr>
        <w:t>POZHARNIK.KZ  ·  Версия 08.10.2026  ·  Для разработки и приёмки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154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483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Страница</w:t>
            </w:r>
          </w:p>
        </w:tc>
        <w:tc>
          <w:tcPr>
            <w:tcW w:type="dxa" w:w="748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Калькулятор стоимости обслуживания автоматической пожарной сигнализации для организаций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Целевой URL</w:t>
            </w:r>
          </w:p>
        </w:tc>
        <w:tc>
          <w:tcPr>
            <w:tcW w:type="dxa" w:w="748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https://pozharnik.kz/kalkulyatory/obsluzhivanie/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География</w:t>
            </w:r>
          </w:p>
        </w:tc>
        <w:tc>
          <w:tcPr>
            <w:tcW w:type="dxa" w:w="748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Алматы и Алматинская область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Действие страницы (Secondary)</w:t>
            </w:r>
          </w:p>
        </w:tc>
        <w:tc>
          <w:tcPr>
            <w:tcW w:type="dxa" w:w="748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Расчёт ориентировочного тарифа с последующим персональным расчётом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Запасное действие</w:t>
            </w:r>
          </w:p>
        </w:tc>
        <w:tc>
          <w:tcPr>
            <w:tcW w:type="dxa" w:w="748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Запрос обследования объекта или обращение в WhatsApp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Целевая аудитория</w:t>
            </w:r>
          </w:p>
        </w:tc>
        <w:tc>
          <w:tcPr>
            <w:tcW w:type="dxa" w:w="748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Представители организаций: собственники, управляющие, инженеры, ответственные за пожарную безопасность, закупки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Связанные страницы</w:t>
            </w:r>
          </w:p>
        </w:tc>
        <w:tc>
          <w:tcPr>
            <w:tcW w:type="dxa" w:w="748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/obsluzhivanie/, /obsluzhivanie/tarify/, /smena-podryadchika/, /pakety/, /keysy/obsluzhivanie/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 Цель страницы и принцип конверсии</w:t>
      </w:r>
    </w:p>
    <w:p>
      <w:pPr>
        <w:pageBreakBefore w:val="0"/>
        <w:widowControl/>
      </w:pPr>
      <w:r>
        <w:t>Страница должна быстро дать представителю организации понятную ориентировочную вилку регулярного обслуживания АПС и перевести его к персональному расчёту или обследованию действующей системы. Вилка показывается до запроса телефона. Контакт запрашивается только для отправки или уточнения персонального расчёта.</w:t>
      </w:r>
    </w:p>
    <w:p>
      <w:pPr>
        <w:pageBreakBefore w:val="0"/>
        <w:widowControl/>
      </w:pPr>
      <w:r>
        <w:t>Автоматическая общая вилка без идентифицированного клиента не считается персональным расчётом. Персональный расчёт фиксируется, когда клиент получил стоимость или коммерческое предложение, сформированные по параметрам его объекта.</w:t>
      </w:r>
    </w:p>
    <w:p>
      <w:pPr>
        <w:pStyle w:val="ListBullet"/>
        <w:pageBreakBefore w:val="0"/>
        <w:widowControl/>
        <w:spacing w:after="40"/>
      </w:pPr>
      <w:r>
        <w:t>Одна основная цель на первом экране: начать расчёт.</w:t>
      </w:r>
    </w:p>
    <w:p>
      <w:pPr>
        <w:pStyle w:val="ListBullet"/>
        <w:pageBreakBefore w:val="0"/>
        <w:widowControl/>
        <w:spacing w:after="40"/>
      </w:pPr>
      <w:r>
        <w:t>Один запасной способ связи: WhatsApp; телефон доступен в шапке и мобильной панели.</w:t>
      </w:r>
    </w:p>
    <w:p>
      <w:pPr>
        <w:pStyle w:val="ListBullet"/>
        <w:pageBreakBefore w:val="0"/>
        <w:widowControl/>
        <w:spacing w:after="40"/>
      </w:pPr>
      <w:r>
        <w:t>Страница явно предназначена для организаций, чтобы отсечь бытовой трафик.</w:t>
      </w:r>
    </w:p>
    <w:p>
      <w:pPr>
        <w:pStyle w:val="ListBullet"/>
        <w:pageBreakBefore w:val="0"/>
        <w:widowControl/>
        <w:spacing w:after="40"/>
      </w:pPr>
      <w:r>
        <w:t>Не обещать гарантированное отсутствие штрафов, безусловное устранение всех неисправностей, фиксированный срок выезда или присутствие инженера, если это не закреплено договором.</w:t>
      </w:r>
    </w:p>
    <w:p>
      <w:pPr>
        <w:pStyle w:val="Heading1"/>
        <w:pageBreakBefore w:val="0"/>
        <w:widowControl/>
      </w:pPr>
      <w:r>
        <w:rPr>
          <w:color w:val="000000"/>
        </w:rPr>
        <w:t>2 Входные данные до начала разработки</w:t>
      </w:r>
    </w:p>
    <w:p>
      <w:pPr>
        <w:pageBreakBefore w:val="0"/>
        <w:widowControl/>
      </w:pPr>
      <w:r>
        <w:t>Владелец проекта совместно с продажами и пожарным инженером должен передать и письменно утвердить следующие значения. До утверждения разработчик использует нейтральные метки в конфигурации, но не публикует вымышленные цены и SLA.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  <w:cantSplit/>
          <w:tblHeader/>
          <w:tblHeader/>
        </w:trPr>
        <w:tc>
          <w:tcPr>
            <w:tcW w:type="dxa" w:w="1757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Данные</w:t>
            </w:r>
          </w:p>
        </w:tc>
        <w:tc>
          <w:tcPr>
            <w:tcW w:type="dxa" w:w="5613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Что утвердить</w:t>
            </w:r>
          </w:p>
        </w:tc>
        <w:tc>
          <w:tcPr>
            <w:tcW w:type="dxa" w:w="2154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Статус в ТЗ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Цены</w:t>
            </w:r>
          </w:p>
        </w:tc>
        <w:tc>
          <w:tcPr>
            <w:tcW w:type="dxa" w:w="56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Базовые тарифы или диапазоны в тенге, период расчёта, НДС, минимальная сумма договора</w:t>
            </w:r>
          </w:p>
        </w:tc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Формула</w:t>
            </w:r>
          </w:p>
        </w:tc>
        <w:tc>
          <w:tcPr>
            <w:tcW w:type="dxa" w:w="56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База, коэффициенты площади, числа систем, типа объекта, графика и состояния</w:t>
            </w:r>
          </w:p>
        </w:tc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Пакеты</w:t>
            </w:r>
          </w:p>
        </w:tc>
        <w:tc>
          <w:tcPr>
            <w:tcW w:type="dxa" w:w="56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Контроль, Защита, Премиум: состав, исключения, периодичность, SLA</w:t>
            </w:r>
          </w:p>
        </w:tc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Зона</w:t>
            </w:r>
          </w:p>
        </w:tc>
        <w:tc>
          <w:tcPr>
            <w:tcW w:type="dxa" w:w="56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Районы Алматы, населённые пункты области, доплата или индивидуальный расчёт</w:t>
            </w:r>
          </w:p>
        </w:tc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Контакты</w:t>
            </w:r>
          </w:p>
        </w:tc>
        <w:tc>
          <w:tcPr>
            <w:tcW w:type="dxa" w:w="56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Телефон, WhatsApp, адрес, режим работы</w:t>
            </w:r>
          </w:p>
        </w:tc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Интеграции</w:t>
            </w:r>
          </w:p>
        </w:tc>
        <w:tc>
          <w:tcPr>
            <w:tcW w:type="dxa" w:w="56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Webhook Tilda/CMS или CRM, названия полей Bitrix24, политика конфиденциальности</w:t>
            </w:r>
          </w:p>
        </w:tc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Доказательства</w:t>
            </w:r>
          </w:p>
        </w:tc>
        <w:tc>
          <w:tcPr>
            <w:tcW w:type="dxa" w:w="56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Фото, кейсы, пример отчёта/акта без персональных данных</w:t>
            </w:r>
          </w:p>
        </w:tc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Требуется ввод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3 Сценарий калькулятора</w:t>
      </w:r>
    </w:p>
    <w:p>
      <w:pPr>
        <w:pageBreakBefore w:val="0"/>
        <w:widowControl/>
      </w:pPr>
      <w:r>
        <w:t>Рекомендуемый MVP — короткий пошаговый квиз без длинной формы. На мобильном устройстве каждый шаг помещается в экран, выбранные ответы сохраняются при возврате назад. Результат обновляется сразу после изменения параметров.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/>
          <w:cantSplit/>
          <w:tblHeader/>
          <w:tblHeader/>
        </w:trPr>
        <w:tc>
          <w:tcPr>
            <w:tcW w:type="dxa" w:w="680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5159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Вопрос и варианты</w:t>
            </w:r>
          </w:p>
        </w:tc>
        <w:tc>
          <w:tcPr>
            <w:tcW w:type="dxa" w:w="1417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2268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Передаваемое поле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1</w:t>
            </w:r>
          </w:p>
        </w:tc>
        <w:tc>
          <w:tcPr>
            <w:tcW w:type="dxa" w:w="515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Тип объекта: офис; магазин/ТРЦ; склад/логистика; общепит; производство; бизнес-центр; медицинский/образовательный; другое</w:t>
            </w:r>
          </w:p>
        </w:tc>
        <w:tc>
          <w:tcPr>
            <w:tcW w:type="dxa" w:w="141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object_type</w:t>
            </w:r>
          </w:p>
        </w:tc>
      </w:tr>
      <w:tr>
        <w:trPr>
          <w:cantSplit/>
        </w:trPr>
        <w:tc>
          <w:tcPr>
            <w:tcW w:type="dxa" w:w="68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2</w:t>
            </w:r>
          </w:p>
        </w:tc>
        <w:tc>
          <w:tcPr>
            <w:tcW w:type="dxa" w:w="515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Площадь: до 200; 200–500; 500–1500; 1500+ м². Для точного значения — необязательное числовое поле</w:t>
            </w:r>
          </w:p>
        </w:tc>
        <w:tc>
          <w:tcPr>
            <w:tcW w:type="dxa" w:w="141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Да</w:t>
            </w:r>
          </w:p>
        </w:tc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area_band, area_m2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3</w:t>
            </w:r>
          </w:p>
        </w:tc>
        <w:tc>
          <w:tcPr>
            <w:tcW w:type="dxa" w:w="515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Состав систем: АПС; АПС + СОУЭ; пожаротушение; дымоудаление; несколько систем; не знаю</w:t>
            </w:r>
          </w:p>
        </w:tc>
        <w:tc>
          <w:tcPr>
            <w:tcW w:type="dxa" w:w="141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Да</w:t>
            </w:r>
          </w:p>
        </w:tc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systems, systems_count</w:t>
            </w:r>
          </w:p>
        </w:tc>
      </w:tr>
      <w:tr>
        <w:trPr>
          <w:cantSplit/>
        </w:trPr>
        <w:tc>
          <w:tcPr>
            <w:tcW w:type="dxa" w:w="68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4</w:t>
            </w:r>
          </w:p>
        </w:tc>
        <w:tc>
          <w:tcPr>
            <w:tcW w:type="dxa" w:w="515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Состояние: исправна; есть отдельные неисправности; частые ложные сработки; документация неполная; состояние неизвестно</w:t>
            </w:r>
          </w:p>
        </w:tc>
        <w:tc>
          <w:tcPr>
            <w:tcW w:type="dxa" w:w="141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Да</w:t>
            </w:r>
          </w:p>
        </w:tc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system_condition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Доп.</w:t>
            </w:r>
          </w:p>
        </w:tc>
        <w:tc>
          <w:tcPr>
            <w:tcW w:type="dxa" w:w="515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Желаемый график/периодичность по утверждённым вариантам; район объекта; текущий подрядчик; комментарий</w:t>
            </w:r>
          </w:p>
        </w:tc>
        <w:tc>
          <w:tcPr>
            <w:tcW w:type="dxa" w:w="141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 необходимости</w:t>
            </w:r>
          </w:p>
        </w:tc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service_schedule, district, contractor_status, comment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4 Расчёт и отображение результата</w:t>
      </w:r>
    </w:p>
    <w:p>
      <w:pPr>
        <w:pageBreakBefore w:val="0"/>
        <w:widowControl/>
      </w:pPr>
      <w:r>
        <w:t>Расчётная логика хранится в одном конфигурационном объекте JavaScript, чтобы цены и коэффициенты изменялись без переписывания интерфейса. Публичный код не содержит секретов. Значения формулы утверждаются отдельно.</w:t>
      </w:r>
    </w:p>
    <w:p>
      <w:pPr>
        <w:pageBreakBefore w:val="0"/>
        <w:widowControl/>
        <w:spacing w:after="80"/>
      </w:pPr>
      <w:r>
        <w:rPr>
          <w:rStyle w:val="CodeInline"/>
        </w:rPr>
        <w:t>estimate = baseTariff × areaFactor × systemsFactor × objectFactor × conditionFactor × scheduleFactor + approvedAddons</w:t>
      </w:r>
    </w:p>
    <w:p>
      <w:pPr>
        <w:pStyle w:val="ListBullet"/>
        <w:pageBreakBefore w:val="0"/>
        <w:widowControl/>
        <w:spacing w:after="40"/>
      </w:pPr>
      <w:r>
        <w:t>Если данных достаточно — показать диапазон «ориентировочно от … до … ₸ за [месяц/квартал]».</w:t>
      </w:r>
    </w:p>
    <w:p>
      <w:pPr>
        <w:pStyle w:val="ListBullet"/>
        <w:pageBreakBefore w:val="0"/>
        <w:widowControl/>
        <w:spacing w:after="40"/>
      </w:pPr>
      <w:r>
        <w:t>Если параметр выходит за границы модели — показать «требуется индивидуальный расчёт», не подставляя фиктивную цену.</w:t>
      </w:r>
    </w:p>
    <w:p>
      <w:pPr>
        <w:pStyle w:val="ListBullet"/>
        <w:pageBreakBefore w:val="0"/>
        <w:widowControl/>
        <w:spacing w:after="40"/>
      </w:pPr>
      <w:r>
        <w:t>Рядом с вилкой указать, что она предварительная и не является публичной офертой; точная стоимость определяется после уточнения состава систем и состояния объекта.</w:t>
      </w:r>
    </w:p>
    <w:p>
      <w:pPr>
        <w:pStyle w:val="ListBullet"/>
        <w:pageBreakBefore w:val="0"/>
        <w:widowControl/>
        <w:spacing w:after="40"/>
      </w:pPr>
      <w:r>
        <w:t>Раскрыть факторы, повлиявшие на результат: площадь, системы, состояние, график, зона обслуживания.</w:t>
      </w:r>
    </w:p>
    <w:p>
      <w:pPr>
        <w:pStyle w:val="ListBullet"/>
        <w:pageBreakBefore w:val="0"/>
        <w:widowControl/>
        <w:spacing w:after="40"/>
      </w:pPr>
      <w:r>
        <w:t>Не скрывать вилку за телефоном. После результата предложить получить точный расчёт и назначить обследование.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381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Состояние интерфейса</w:t>
            </w:r>
          </w:p>
        </w:tc>
        <w:tc>
          <w:tcPr>
            <w:tcW w:type="dxa" w:w="7143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До выбора</w:t>
            </w:r>
          </w:p>
        </w:tc>
        <w:tc>
          <w:tcPr>
            <w:tcW w:type="dxa" w:w="714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Понятная подсказка о 3–4 шагах и времени прохождения без неподтверждённых обещаний</w:t>
            </w:r>
          </w:p>
        </w:tc>
      </w:tr>
      <w:tr>
        <w:trPr>
          <w:cantSplit/>
        </w:trPr>
        <w:tc>
          <w:tcPr>
            <w:tcW w:type="dxa" w:w="238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 процессе</w:t>
            </w:r>
          </w:p>
        </w:tc>
        <w:tc>
          <w:tcPr>
            <w:tcW w:type="dxa" w:w="714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Прогресс, кнопки Назад и Далее, доступное выделение выбора, сохранение ответов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Результат</w:t>
            </w:r>
          </w:p>
        </w:tc>
        <w:tc>
          <w:tcPr>
            <w:tcW w:type="dxa" w:w="714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Вилка, период оплаты, выбранные параметры, допущения, CTA Получить точный расчёт</w:t>
            </w:r>
          </w:p>
        </w:tc>
      </w:tr>
      <w:tr>
        <w:trPr>
          <w:cantSplit/>
        </w:trPr>
        <w:tc>
          <w:tcPr>
            <w:tcW w:type="dxa" w:w="238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Нет цены</w:t>
            </w:r>
          </w:p>
        </w:tc>
        <w:tc>
          <w:tcPr>
            <w:tcW w:type="dxa" w:w="714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Индивидуальный расчёт и причины: нестандартная система, большая площадь, неизвестное состояние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Ошибка</w:t>
            </w:r>
          </w:p>
        </w:tc>
        <w:tc>
          <w:tcPr>
            <w:tcW w:type="dxa" w:w="714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Сообщение понятным языком; ответы пользователя не теряются; доступен WhatsApp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5 Структура страницы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211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7313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 и функциональность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Технический отступ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Переменная --site-header-space: 88 px desktop, 64 px mobile.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Hero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География; один H1; краткое обещание ориентировочной вилки; кнопка Начать расчёт; WhatsApp; подтверждаемые чипсы. Справа — первый шаг калькулятора либо компактное превью сценария.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Калькулятор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Пошаговая форма, мгновенный пересчёт, результат до контакта, запрос точного расчёта, формирование WhatsApp-сообщения.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Что влияет на тариф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Площадь, тип и количество систем, состояние, сложность доступа, график, удалённость. Без неподтверждённых нормативных заявлений.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Пакеты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Сравнение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Сравнительная таблица пакетов по одинаковым параметрам; горизонтальную прокрутку таблицы на мобильном заменить карточками или доступным скроллом с подсказкой.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Что входит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Шесть этапов: получение данных; проверка исходных документов; обследование; согласование программы; регламентные работы; отчёт и рекомендации.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Результат и документы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Спецификация/смета, график, журнал или отчёт, акты, регламент, гарантия и границы ответственности — только в фактически предоставляемом составе.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Пример отчёта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Небольшое JPG/WebP-превью без персональных данных, подпись, alt, открытие в модальном окне. PDF не встраивать.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Реальные работы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 менее 6 компактных одинаковых превью с техническими подписями; модальное увеличение; внутренние ссылки на кейсы обслуживания.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FAQ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 менее 5 вопросов: точность вилки, необходимость обследования, периодичность, документы, неисправности/ремонт, гарантия, смена подрядчика.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Финальный CTA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Одна форма точного расчёта/обследования; повторить итог калькулятора и передать ответы скрытыми полями.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Футер и mobile CTA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Телефон, WhatsApp, адрес, режим, политика, смежные услуги; панель Позвонить / WhatsApp с safe area.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6 Рекомендуемые тексты ключевых элементов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211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7313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Рабочая формулировка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H1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Калькулятор стоимости обслуживания пожарной сигнализации в Алматы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Подзаголовок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Укажите параметры объекта и получите ориентировочную вилку тарифа. Точную стоимость подготовим после уточнения состава и состояния систем.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Основная кнопка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Рассчитать тариф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CTA результата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Получить точный расчёт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Вторичный CTA</w:t>
            </w:r>
          </w:p>
        </w:tc>
        <w:tc>
          <w:tcPr>
            <w:tcW w:type="dxa" w:w="7313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Обсудить в WhatsApp</w:t>
            </w:r>
          </w:p>
        </w:tc>
      </w:tr>
      <w:tr>
        <w:trPr>
          <w:cantSplit/>
        </w:trPr>
        <w:tc>
          <w:tcPr>
            <w:tcW w:type="dxa" w:w="2211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Дисклеймер</w:t>
            </w:r>
          </w:p>
        </w:tc>
        <w:tc>
          <w:tcPr>
            <w:tcW w:type="dxa" w:w="7313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Расчёт предварительный и не является публичной офертой. Итоговая стоимость зависит от фактического состава, состояния и графика обслуживания систем.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7 Форма после расчёта</w:t>
      </w:r>
    </w:p>
    <w:p>
      <w:pPr>
        <w:pageBreakBefore w:val="0"/>
        <w:widowControl/>
      </w:pPr>
      <w:r>
        <w:t>До результата контактные данные не требуются. После показа вилки форма собирает минимум данных, необходимый для продолжения разговора.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/>
          <w:cantSplit/>
          <w:tblHeader/>
          <w:tblHeader/>
        </w:trPr>
        <w:tc>
          <w:tcPr>
            <w:tcW w:type="dxa" w:w="2268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1757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5499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Имя</w:t>
            </w:r>
          </w:p>
        </w:tc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text</w:t>
            </w:r>
          </w:p>
        </w:tc>
        <w:tc>
          <w:tcPr>
            <w:tcW w:type="dxa" w:w="549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Телефон</w:t>
            </w:r>
          </w:p>
        </w:tc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tel</w:t>
            </w:r>
          </w:p>
        </w:tc>
        <w:tc>
          <w:tcPr>
            <w:tcW w:type="dxa" w:w="549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Обязательное; маска +7 (7XX) XXX-XX-XX; autocomplete=tel; inputmode=tel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Организация</w:t>
            </w:r>
          </w:p>
        </w:tc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text</w:t>
            </w:r>
          </w:p>
        </w:tc>
        <w:tc>
          <w:tcPr>
            <w:tcW w:type="dxa" w:w="549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Рекомендуемое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Район / населённый пункт</w:t>
            </w:r>
          </w:p>
        </w:tc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text/select</w:t>
            </w:r>
          </w:p>
        </w:tc>
        <w:tc>
          <w:tcPr>
            <w:tcW w:type="dxa" w:w="549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Обязательное для квалификации зоны обслуживания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Способ связи</w:t>
            </w:r>
          </w:p>
        </w:tc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radio/select</w:t>
            </w:r>
          </w:p>
        </w:tc>
        <w:tc>
          <w:tcPr>
            <w:tcW w:type="dxa" w:w="549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Телефон или WhatsApp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Комментарий</w:t>
            </w:r>
          </w:p>
        </w:tc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textarea</w:t>
            </w:r>
          </w:p>
        </w:tc>
        <w:tc>
          <w:tcPr>
            <w:tcW w:type="dxa" w:w="549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Необязательное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Согласие</w:t>
            </w:r>
          </w:p>
        </w:tc>
        <w:tc>
          <w:tcPr>
            <w:tcW w:type="dxa" w:w="17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checkbox</w:t>
            </w:r>
          </w:p>
        </w:tc>
        <w:tc>
          <w:tcPr>
            <w:tcW w:type="dxa" w:w="5499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Обязательное; ссылка открывает модальное окно политики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Ответы расчёта</w:t>
            </w:r>
          </w:p>
        </w:tc>
        <w:tc>
          <w:tcPr>
            <w:tcW w:type="dxa" w:w="17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hidden</w:t>
            </w:r>
          </w:p>
        </w:tc>
        <w:tc>
          <w:tcPr>
            <w:tcW w:type="dxa" w:w="5499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Все выбранные параметры, пакет, вилка, версия формулы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ListBullet"/>
        <w:pageBreakBefore w:val="0"/>
        <w:widowControl/>
        <w:spacing w:after="40"/>
      </w:pPr>
      <w:r>
        <w:t>Перед отправкой вызвать reportValidity().</w:t>
      </w:r>
    </w:p>
    <w:p>
      <w:pPr>
        <w:pStyle w:val="ListBullet"/>
        <w:pageBreakBefore w:val="0"/>
        <w:widowControl/>
        <w:spacing w:after="40"/>
      </w:pPr>
      <w:r>
        <w:t>Заблокировать кнопку на время запроса, не допуская дублей.</w:t>
      </w:r>
    </w:p>
    <w:p>
      <w:pPr>
        <w:pStyle w:val="ListBullet"/>
        <w:pageBreakBefore w:val="0"/>
        <w:widowControl/>
        <w:spacing w:after="40"/>
      </w:pPr>
      <w:r>
        <w:t>Показать .pz-success или .pz-error; очистить форму только после успешной отправки.</w:t>
      </w:r>
    </w:p>
    <w:p>
      <w:pPr>
        <w:pStyle w:val="ListBullet"/>
        <w:pageBreakBefore w:val="0"/>
        <w:widowControl/>
        <w:spacing w:after="40"/>
      </w:pPr>
      <w:r>
        <w:t>Основную заявку и аналитику отправлять независимо: ошибка аналитики не скрывает успешную заявку.</w:t>
      </w:r>
    </w:p>
    <w:p>
      <w:pPr>
        <w:pStyle w:val="ListBullet"/>
        <w:pageBreakBefore w:val="0"/>
        <w:widowControl/>
        <w:spacing w:after="40"/>
      </w:pPr>
      <w:r>
        <w:t>WhatsApp-сообщение содержит параметры объекта, расчётную вилку и event_id, но не содержит лишних технических идентификаторов.</w:t>
      </w:r>
    </w:p>
    <w:p>
      <w:pPr>
        <w:pStyle w:val="Heading2"/>
        <w:pageBreakBefore w:val="0"/>
        <w:widowControl/>
      </w:pPr>
      <w:r>
        <w:rPr>
          <w:color w:val="000000"/>
        </w:rPr>
        <w:t>8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service_type=aps_maintenance;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9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pageBreakBefore w:val="0"/>
        <w:widowControl/>
      </w:pPr>
      <w:r>
        <w:rPr>
          <w:color w:val="000000"/>
        </w:rPr>
        <w:t>10 SEO и семантика</w:t>
      </w:r>
    </w:p>
    <w:p>
      <w:pPr>
        <w:pageBreakBefore w:val="0"/>
        <w:widowControl/>
      </w:pPr>
      <w:r>
        <w:t>Для ритейла до 500 м² добавить отдельный переход /kuzet/ после публикации страницы. Основную линейку Контроль / Защита / Премиум сохранять. Базовый Кузет — наблюдение и аварийное реагирование без планового ТО; цены и аренда показываются только по отдельному ТЗ Кузет. Не снижать приоритет заявки автоматически из-за малой площади.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268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7257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Title</w:t>
            </w:r>
          </w:p>
        </w:tc>
        <w:tc>
          <w:tcPr>
            <w:tcW w:type="dxa" w:w="72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До 60–65 символов. Рабочий вариант: Калькулятор обслуживания пожарной сигнализации | Алматы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Description</w:t>
            </w:r>
          </w:p>
        </w:tc>
        <w:tc>
          <w:tcPr>
            <w:tcW w:type="dxa" w:w="72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140–170 символов; сообщить о расчёте ориентировочного тарифа для организаций в Алматы и возможности получить точный расчёт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Canonical</w:t>
            </w:r>
          </w:p>
        </w:tc>
        <w:tc>
          <w:tcPr>
            <w:tcW w:type="dxa" w:w="72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https://pozharnik.kz/kalkulyatory/obsluzhivanie/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Open Graph</w:t>
            </w:r>
          </w:p>
        </w:tc>
        <w:tc>
          <w:tcPr>
            <w:tcW w:type="dxa" w:w="72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og:type, og:locale, og:title, og:description, og:url, og:image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Иконки</w:t>
            </w:r>
          </w:p>
        </w:tc>
        <w:tc>
          <w:tcPr>
            <w:tcW w:type="dxa" w:w="72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favicon и apple-touch-icon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Разметка</w:t>
            </w:r>
          </w:p>
        </w:tc>
        <w:tc>
          <w:tcPr>
            <w:tcW w:type="dxa" w:w="72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Один H1; логичные H2/H3; main, section, article, form, figure, figcaption, details/summary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JSON-LD</w:t>
            </w:r>
          </w:p>
        </w:tc>
        <w:tc>
          <w:tcPr>
            <w:tcW w:type="dxa" w:w="7257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LocalBusiness, Service, FAQPage; значения совпадают с видимым текстом, ценами и контактами</w:t>
            </w:r>
          </w:p>
        </w:tc>
      </w:tr>
      <w:tr>
        <w:trPr>
          <w:cantSplit/>
        </w:trPr>
        <w:tc>
          <w:tcPr>
            <w:tcW w:type="dxa" w:w="226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Внутренние ссылки</w:t>
            </w:r>
          </w:p>
        </w:tc>
        <w:tc>
          <w:tcPr>
            <w:tcW w:type="dxa" w:w="7257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Услуга обслуживания, тарифы, смена подрядчика, пакеты, кейсы, журнал обслуживания, периодичность обслуживания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11 Визуальная система и адаптивность</w:t>
      </w:r>
    </w:p>
    <w:p>
      <w:pPr>
        <w:pageBreakBefore w:val="0"/>
        <w:widowControl/>
      </w:pPr>
      <w:r>
        <w:t>Стиль Industrial B2B / Engineering. Корневой контейнер: #pz-kalk-obsluzhivanie-page. Все селекторы ограничиваются этим контейнером и не влияют на шапку, меню, кнопки и блоки Tilda других страниц.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154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370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Палитра</w:t>
            </w:r>
          </w:p>
        </w:tc>
        <w:tc>
          <w:tcPr>
            <w:tcW w:type="dxa" w:w="737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Текст #15212b; muted #697984; CTA #e54132; hover #bd2f25; инженерный синий #14364b; секции #f5f7f6; белый #ffffff; границы #dfe6e8; акцент #ffc7bd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Hero</w:t>
            </w:r>
          </w:p>
        </w:tc>
        <w:tc>
          <w:tcPr>
            <w:tcW w:type="dxa" w:w="737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linear-gradient(115deg, #112d3d 0%, #184b5d 55%, #1e596b 100%); белый текст; пояснение #e4eef1; тонкий технический круговой паттерн справа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Типографика</w:t>
            </w:r>
          </w:p>
        </w:tc>
        <w:tc>
          <w:tcPr>
            <w:tcW w:type="dxa" w:w="737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Arial, Helvetica, sans-serif; H1 47/32 px desktop/mobile; H2 34/28 px; line-height 1.08–1.16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Сетка</w:t>
            </w:r>
          </w:p>
        </w:tc>
        <w:tc>
          <w:tcPr>
            <w:tcW w:type="dxa" w:w="737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Контейнер около 1160 px; hero 1.2fr/0.8fr; карточки 3/2/1 при &gt;820, ≤820, ≤500 px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Карточки</w:t>
            </w:r>
          </w:p>
        </w:tc>
        <w:tc>
          <w:tcPr>
            <w:tcW w:type="dxa" w:w="737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Белые; граница #dfe6e8; радиус 13 px; ключевые панели 18 px; padding 23–36 px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Кнопки</w:t>
            </w:r>
          </w:p>
        </w:tc>
        <w:tc>
          <w:tcPr>
            <w:tcW w:type="dxa" w:w="737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Радиус 8 px; красный только как CTA/акцент/нумерация; hover с подъёмом 2 px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Mobile</w:t>
            </w:r>
          </w:p>
        </w:tc>
        <w:tc>
          <w:tcPr>
            <w:tcW w:type="dxa" w:w="7370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Одна колонка; боковые отступы 14 px; без горизонтальной прокрутки; нижняя CTA-панель учитывает env(safe-area-inset-bottom) и не перекрывает контент</w:t>
            </w:r>
          </w:p>
        </w:tc>
      </w:tr>
      <w:tr>
        <w:trPr>
          <w:cantSplit/>
        </w:trPr>
        <w:tc>
          <w:tcPr>
            <w:tcW w:type="dxa" w:w="2154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Ограничения</w:t>
            </w:r>
          </w:p>
        </w:tc>
        <w:tc>
          <w:tcPr>
            <w:tcW w:type="dxa" w:w="7370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Без jQuery, Bootstrap, внешних шрифтов, тяжёлых анимаций и видео с автозвуком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12 Доступность и медиа</w:t>
      </w:r>
    </w:p>
    <w:p>
      <w:pPr>
        <w:pStyle w:val="ListBullet"/>
        <w:pageBreakBefore w:val="0"/>
        <w:widowControl/>
        <w:spacing w:after="40"/>
      </w:pPr>
      <w:r>
        <w:t>Калькулятор полностью управляется клавиатурой; видимый focus; label связан с каждым полем; ошибки описываются текстом и через aria-live.</w:t>
      </w:r>
    </w:p>
    <w:p>
      <w:pPr>
        <w:pStyle w:val="ListBullet"/>
        <w:pageBreakBefore w:val="0"/>
        <w:widowControl/>
        <w:spacing w:after="40"/>
      </w:pPr>
      <w:r>
        <w:t>Цвет не является единственным носителем состояния. Контраст текста и элементов управления соответствует WCAG 2.1 AA.</w:t>
      </w:r>
    </w:p>
    <w:p>
      <w:pPr>
        <w:pStyle w:val="ListBullet"/>
        <w:pageBreakBefore w:val="0"/>
        <w:widowControl/>
        <w:spacing w:after="40"/>
      </w:pPr>
      <w:r>
        <w:t>Фото: JPG/WebP, loading=lazy, decoding=async, width/height при возможности, содержательные alt и подписи.</w:t>
      </w:r>
    </w:p>
    <w:p>
      <w:pPr>
        <w:pStyle w:val="ListBullet"/>
        <w:pageBreakBefore w:val="0"/>
        <w:widowControl/>
        <w:spacing w:after="40"/>
      </w:pPr>
      <w:r>
        <w:t>Превью реальных работ одинакового размера; desktop до 360×360 px, mobile до 340×340 px; object-fit: cover.</w:t>
      </w:r>
    </w:p>
    <w:p>
      <w:pPr>
        <w:pStyle w:val="ListBullet"/>
        <w:pageBreakBefore w:val="0"/>
        <w:widowControl/>
        <w:spacing w:after="40"/>
      </w:pPr>
      <w:r>
        <w:t>Модальное окно закрывается кнопкой, кликом по фону и Esc; фокус удерживается внутри и возвращается инициатору.</w:t>
      </w:r>
    </w:p>
    <w:p>
      <w:pPr>
        <w:pStyle w:val="ListBullet"/>
        <w:pageBreakBefore w:val="0"/>
        <w:widowControl/>
        <w:spacing w:after="40"/>
      </w:pPr>
      <w:r>
        <w:t>Если используется видео: MP4/H.264, preload=metadata, playsinline, muted, нативные controls, отдельная активная кнопка Play; до 20 секунд и строго менее 5 МБ.</w:t>
      </w:r>
    </w:p>
    <w:p>
      <w:pPr>
        <w:pStyle w:val="Heading1"/>
        <w:pageBreakBefore w:val="0"/>
        <w:widowControl/>
      </w:pPr>
      <w:r>
        <w:rPr>
          <w:color w:val="000000"/>
        </w:rPr>
        <w:t>13 Комплект передачи для Tilda</w:t>
      </w:r>
    </w:p>
    <w:p>
      <w:pPr>
        <w:pageBreakBefore w:val="0"/>
        <w:widowControl/>
      </w:pPr>
      <w:r>
        <w:t>Код передаётся единым установочным пакетом по принятой схеме страницы.</w:t>
      </w:r>
    </w:p>
    <w:p>
      <w:pPr>
        <w:pStyle w:val="ListNumber"/>
        <w:pageBreakBefore w:val="0"/>
        <w:widowControl/>
        <w:spacing w:after="40"/>
      </w:pPr>
      <w:r>
        <w:t>00_README.txt — точная инструкция установки и перечень заменяемых констант.</w:t>
      </w:r>
    </w:p>
    <w:p>
      <w:pPr>
        <w:pStyle w:val="ListNumber"/>
        <w:pageBreakBefore w:val="0"/>
        <w:widowControl/>
        <w:spacing w:after="40"/>
      </w:pPr>
      <w:r>
        <w:t>01_HEAD_SEO.html — только метатеги, canonical, Open Graph, favicon/apple-touch-icon и при необходимости изолированные стили; без видимой разметки.</w:t>
      </w:r>
    </w:p>
    <w:p>
      <w:pPr>
        <w:pStyle w:val="ListNumber"/>
        <w:pageBreakBefore w:val="0"/>
        <w:widowControl/>
        <w:spacing w:after="40"/>
      </w:pPr>
      <w:r>
        <w:t>02_PAGE_FULL_T123.html — замкнутая разметка страницы, изолированные CSS, JSON-LD и JavaScript в одном T123; не разрывать теги и логику между блоками.</w:t>
      </w:r>
    </w:p>
    <w:p>
      <w:pPr>
        <w:pStyle w:val="ListNumber"/>
        <w:pageBreakBefore w:val="0"/>
        <w:widowControl/>
        <w:spacing w:after="40"/>
      </w:pPr>
      <w:r>
        <w:t>test-preview.html — локальная проверка с &lt;!doctype html&gt;, &lt;meta charset="utf-8"&gt; и viewport.</w:t>
      </w:r>
    </w:p>
    <w:p>
      <w:pPr>
        <w:pStyle w:val="ListBullet"/>
        <w:pageBreakBefore w:val="0"/>
        <w:widowControl/>
        <w:spacing w:after="40"/>
      </w:pPr>
      <w:r>
        <w:t>Все HTML-файлы — UTF-8; проверить отсутствие mojibake и символов замены.</w:t>
      </w:r>
    </w:p>
    <w:p>
      <w:pPr>
        <w:pStyle w:val="ListBullet"/>
        <w:pageBreakBefore w:val="0"/>
        <w:widowControl/>
        <w:spacing w:after="40"/>
      </w:pPr>
      <w:r>
        <w:t>Медиа заранее загрузить в отдельную папку Tilda; в итоговом HTML оставить только абсолютные HTTPS CDN-URL Tilda. Локальных C:\..., assets/... и media/... быть не должно.</w:t>
      </w:r>
    </w:p>
    <w:p>
      <w:pPr>
        <w:pStyle w:val="ListBullet"/>
        <w:pageBreakBefore w:val="0"/>
        <w:widowControl/>
        <w:spacing w:after="40"/>
      </w:pPr>
      <w:r>
        <w:t>Если редактор ограничивает объём, делить только по завершённым независимым блокам, не разрывая style, script и HTML-контейнеры.</w:t>
      </w:r>
    </w:p>
    <w:p>
      <w:pPr>
        <w:pStyle w:val="Heading1"/>
        <w:pageBreakBefore w:val="0"/>
        <w:widowControl/>
      </w:pPr>
      <w:r>
        <w:rPr>
          <w:color w:val="000000"/>
        </w:rPr>
        <w:t>14 Нефункциональные требования</w:t>
      </w:r>
    </w:p>
    <w:p>
      <w:pPr>
        <w:pStyle w:val="ListBullet"/>
        <w:pageBreakBefore w:val="0"/>
        <w:widowControl/>
        <w:spacing w:after="40"/>
      </w:pPr>
      <w:r>
        <w:t>Не допускать горизонтальной прокрутки на ширине 320 px и выше.</w:t>
      </w:r>
    </w:p>
    <w:p>
      <w:pPr>
        <w:pStyle w:val="ListBullet"/>
        <w:pageBreakBefore w:val="0"/>
        <w:widowControl/>
        <w:spacing w:after="40"/>
      </w:pPr>
      <w:r>
        <w:t>Калькулятор работает без перезагрузки страницы и не теряет ответы при возврате между шагами.</w:t>
      </w:r>
    </w:p>
    <w:p>
      <w:pPr>
        <w:pStyle w:val="ListBullet"/>
        <w:pageBreakBefore w:val="0"/>
        <w:widowControl/>
        <w:spacing w:after="40"/>
      </w:pPr>
      <w:r>
        <w:t>Критический функционал сохраняется при недоступности аналитического endpoint.</w:t>
      </w:r>
    </w:p>
    <w:p>
      <w:pPr>
        <w:pStyle w:val="ListBullet"/>
        <w:pageBreakBefore w:val="0"/>
        <w:widowControl/>
        <w:spacing w:after="40"/>
      </w:pPr>
      <w:r>
        <w:t>Телефон, WhatsApp, якоря, формы, модальные окна и Esc проверяются на desktop, Android и iPhone/Safari.</w:t>
      </w:r>
    </w:p>
    <w:p>
      <w:pPr>
        <w:pStyle w:val="ListBullet"/>
        <w:pageBreakBefore w:val="0"/>
        <w:widowControl/>
        <w:spacing w:after="40"/>
      </w:pPr>
      <w:r>
        <w:t>После вставки в Tilda проверить сохранение полного конца кода, публикацию, CORS/HTTPS endpoint и повторную публикацию после изменений.</w:t>
      </w:r>
    </w:p>
    <w:p>
      <w:pPr>
        <w:pStyle w:val="ListBullet"/>
        <w:pageBreakBefore w:val="0"/>
        <w:widowControl/>
        <w:spacing w:after="40"/>
      </w:pPr>
      <w:r>
        <w:t>Цены и диапазоны форматируются для ru-KZ; валюта — ₸; математические значения не вычисляются из строк интерфейса.</w:t>
      </w:r>
    </w:p>
    <w:p>
      <w:pPr>
        <w:pStyle w:val="Heading1"/>
        <w:pageBreakBefore w:val="0"/>
        <w:widowControl/>
      </w:pPr>
      <w:r>
        <w:rPr>
          <w:color w:val="000000"/>
        </w:rPr>
        <w:t>15 Критерии приёмки</w:t>
      </w:r>
    </w:p>
    <w:p>
      <w:pPr>
        <w:pStyle w:val="ListBullet"/>
        <w:pageBreakBefore w:val="0"/>
        <w:widowControl/>
        <w:spacing w:after="40"/>
      </w:pPr>
      <w:r>
        <w:t>☐ URL, H1, title, description, canonical и назначение страницы совпадают с ТЗ.</w:t>
      </w:r>
    </w:p>
    <w:p>
      <w:pPr>
        <w:pStyle w:val="ListBullet"/>
        <w:pageBreakBefore w:val="0"/>
        <w:widowControl/>
        <w:spacing w:after="40"/>
      </w:pPr>
      <w:r>
        <w:t>☐ Вилка тарифа показывается до запроса телефона; контакт нужен для точного расчёта или обследования.</w:t>
      </w:r>
    </w:p>
    <w:p>
      <w:pPr>
        <w:pStyle w:val="ListBullet"/>
        <w:pageBreakBefore w:val="0"/>
        <w:widowControl/>
        <w:spacing w:after="40"/>
      </w:pPr>
      <w:r>
        <w:t>☐ Квиз содержит 3–4 основных шага и не перегружен необязательными полями.</w:t>
      </w:r>
    </w:p>
    <w:p>
      <w:pPr>
        <w:pStyle w:val="ListBullet"/>
        <w:pageBreakBefore w:val="0"/>
        <w:widowControl/>
        <w:spacing w:after="40"/>
      </w:pPr>
      <w:r>
        <w:t>☐ Формула и коэффициенты вынесены в конфигурацию; опубликованы только утверждённые цены, период и условия.</w:t>
      </w:r>
    </w:p>
    <w:p>
      <w:pPr>
        <w:pStyle w:val="ListBullet"/>
        <w:pageBreakBefore w:val="0"/>
        <w:widowControl/>
        <w:spacing w:after="40"/>
      </w:pPr>
      <w:r>
        <w:t>☐ Нестандартные параметры корректно переводят пользователя на индивидуальный расчёт без фиктивной цены.</w:t>
      </w:r>
    </w:p>
    <w:p>
      <w:pPr>
        <w:pStyle w:val="ListBullet"/>
        <w:pageBreakBefore w:val="0"/>
        <w:widowControl/>
        <w:spacing w:after="40"/>
      </w:pPr>
      <w:r>
        <w:t>☐ Все ответы, итог, пакет и версия формулы передаются в основную заявку и CRM.</w:t>
      </w:r>
    </w:p>
    <w:p>
      <w:pPr>
        <w:pStyle w:val="ListBullet"/>
        <w:pageBreakBefore w:val="0"/>
        <w:widowControl/>
        <w:spacing w:after="40"/>
      </w:pPr>
      <w:r>
        <w:t>☐ Телефон и согласие валидируются; reportValidity(), блокировка кнопки, success/error и очистка после успеха работают.</w:t>
      </w:r>
    </w:p>
    <w:p>
      <w:pPr>
        <w:pStyle w:val="ListBullet"/>
        <w:pageBreakBefore w:val="0"/>
        <w:widowControl/>
        <w:spacing w:after="40"/>
      </w:pPr>
      <w:r>
        <w:t>☐ Основная заявка не зависит от результата отдельной BigQuery-отправки.</w:t>
      </w:r>
    </w:p>
    <w:p>
      <w:pPr>
        <w:pStyle w:val="ListBullet"/>
        <w:pageBreakBefore w:val="0"/>
        <w:widowControl/>
        <w:spacing w:after="40"/>
      </w:pPr>
      <w:r>
        <w:t>☐ События pz_calculator_start, calculator_step, pz_calculator_complete, pz_form_submit, generate_lead, pz_form_error, pz_cta_click с cta_channel=whatsapp, pz_cta_click с cta_channel=phone, pz_package_select и pz_delivery_status проверены.</w:t>
      </w:r>
    </w:p>
    <w:p>
      <w:pPr>
        <w:pStyle w:val="ListBullet"/>
        <w:pageBreakBefore w:val="0"/>
        <w:widowControl/>
        <w:spacing w:after="40"/>
      </w:pPr>
      <w:r>
        <w:t>☐ UTM, click ID, first/last attribution, session ID и доступные CRM/коллтрекинг ID передаются.</w:t>
      </w:r>
    </w:p>
    <w:p>
      <w:pPr>
        <w:pStyle w:val="ListBullet"/>
        <w:pageBreakBefore w:val="0"/>
        <w:widowControl/>
        <w:spacing w:after="40"/>
      </w:pPr>
      <w:r>
        <w:t>☐ Один H1, корректные H2/H3, LocalBusiness, Service и FAQPage совпадают с видимым контентом.</w:t>
      </w:r>
    </w:p>
    <w:p>
      <w:pPr>
        <w:pStyle w:val="ListBullet"/>
        <w:pageBreakBefore w:val="0"/>
        <w:widowControl/>
        <w:spacing w:after="40"/>
      </w:pPr>
      <w:r>
        <w:t>☐ Стили изолированы #pz-kalk-obsluzhivanie-page и не меняют глобальные элементы Tilda.</w:t>
      </w:r>
    </w:p>
    <w:p>
      <w:pPr>
        <w:pStyle w:val="ListBullet"/>
        <w:pageBreakBefore w:val="0"/>
        <w:widowControl/>
        <w:spacing w:after="40"/>
      </w:pPr>
      <w:r>
        <w:t>☐ Нет горизонтальной прокрутки; мобильная CTA-панель учитывает Safe Area и не перекрывает страницу.</w:t>
      </w:r>
    </w:p>
    <w:p>
      <w:pPr>
        <w:pStyle w:val="ListBullet"/>
        <w:pageBreakBefore w:val="0"/>
        <w:widowControl/>
        <w:spacing w:after="40"/>
      </w:pPr>
      <w:r>
        <w:t>☐ У фото корректные alt, подписи, размеры и абсолютные HTTPS CDN-ссылки; модальное окно закрывается кнопкой, фоном и Esc.</w:t>
      </w:r>
    </w:p>
    <w:p>
      <w:pPr>
        <w:pStyle w:val="ListBullet"/>
        <w:pageBreakBefore w:val="0"/>
        <w:widowControl/>
        <w:spacing w:after="40"/>
      </w:pPr>
      <w:r>
        <w:t>☐ Если есть видео, Play активен, controls сохранены, ролик работает на desktop, Android и iPhone/Safari и соответствует лимитам.</w:t>
      </w:r>
    </w:p>
    <w:p>
      <w:pPr>
        <w:pStyle w:val="ListBullet"/>
        <w:pageBreakBefore w:val="0"/>
        <w:widowControl/>
        <w:spacing w:after="40"/>
      </w:pPr>
      <w:r>
        <w:t>☐ В HTML нет локальных путей, секретных токенов, jQuery, Bootstrap, внешних шрифтов и тяжёлых библиотек.</w:t>
      </w:r>
    </w:p>
    <w:p>
      <w:pPr>
        <w:pStyle w:val="ListBullet"/>
        <w:pageBreakBefore w:val="0"/>
        <w:widowControl/>
        <w:spacing w:after="40"/>
      </w:pPr>
      <w:r>
        <w:t>☐ Русская кодировка проверена в preview и после публикации; полный T123 сохранён без обрезания и незакрытых тегов.</w:t>
      </w:r>
    </w:p>
    <w:p>
      <w:pPr>
        <w:pStyle w:val="ListBullet"/>
        <w:pageBreakBefore w:val="0"/>
        <w:widowControl/>
        <w:spacing w:after="40"/>
      </w:pPr>
      <w:r>
        <w:t>☐ ZIP содержит README, HEAD, полный T123 и test-preview; CORS и HTTPS endpoint проверены.</w:t>
      </w:r>
    </w:p>
    <w:p>
      <w:pPr>
        <w:pStyle w:val="ListBullet"/>
        <w:pageBreakBefore w:val="0"/>
        <w:widowControl/>
        <w:spacing w:after="40"/>
      </w:pPr>
      <w:r>
        <w:t>☐ Финальную техническую корректность состава работ, документов, тарифов и SLA подтвердил пожарный инженер.</w:t>
      </w:r>
    </w:p>
    <w:p>
      <w:pPr>
        <w:pStyle w:val="Heading1"/>
        <w:pageBreakBefore w:val="0"/>
        <w:widowControl/>
      </w:pPr>
      <w:r>
        <w:rPr>
          <w:color w:val="000000"/>
        </w:rPr>
        <w:t>16 Контрольные сценарии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3288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6236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Малый типовой объект</w:t>
            </w:r>
          </w:p>
        </w:tc>
        <w:tc>
          <w:tcPr>
            <w:tcW w:type="dxa" w:w="623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После обязательных шагов показана утверждённая вилка; контакт не запрошен до результата</w:t>
            </w:r>
          </w:p>
        </w:tc>
      </w:tr>
      <w:tr>
        <w:trPr>
          <w:cantSplit/>
        </w:trPr>
        <w:tc>
          <w:tcPr>
            <w:tcW w:type="dxa" w:w="328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Объект 1500+ м² или несколько систем</w:t>
            </w:r>
          </w:p>
        </w:tc>
        <w:tc>
          <w:tcPr>
            <w:tcW w:type="dxa" w:w="623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Применены утверждённые коэффициенты либо предложен индивидуальный расчёт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Состояние неизвестно</w:t>
            </w:r>
          </w:p>
        </w:tc>
        <w:tc>
          <w:tcPr>
            <w:tcW w:type="dxa" w:w="623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Результат помечен как предварительный; CTA предлагает обследование</w:t>
            </w:r>
          </w:p>
        </w:tc>
      </w:tr>
      <w:tr>
        <w:trPr>
          <w:cantSplit/>
        </w:trPr>
        <w:tc>
          <w:tcPr>
            <w:tcW w:type="dxa" w:w="328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Назад и изменение ответа</w:t>
            </w:r>
          </w:p>
        </w:tc>
        <w:tc>
          <w:tcPr>
            <w:tcW w:type="dxa" w:w="623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Вилка и расшифровка пересчитаны; ответы сохранены; дубли событий исключены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Невалидный телефон/нет согласия</w:t>
            </w:r>
          </w:p>
        </w:tc>
        <w:tc>
          <w:tcPr>
            <w:tcW w:type="dxa" w:w="623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Нативная валидация останавливает отправку; данные не уходят</w:t>
            </w:r>
          </w:p>
        </w:tc>
      </w:tr>
      <w:tr>
        <w:trPr>
          <w:cantSplit/>
        </w:trPr>
        <w:tc>
          <w:tcPr>
            <w:tcW w:type="dxa" w:w="328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Основной webhook успешен, BigQuery недоступен</w:t>
            </w:r>
          </w:p>
        </w:tc>
        <w:tc>
          <w:tcPr>
            <w:tcW w:type="dxa" w:w="623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Показан успех заявки; аналитическая ошибка зарегистрирована отдельно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Основной webhook недоступен</w:t>
            </w:r>
          </w:p>
        </w:tc>
        <w:tc>
          <w:tcPr>
            <w:tcW w:type="dxa" w:w="623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Показана ошибка с повтором/WhatsApp; форма и ответы не очищены</w:t>
            </w:r>
          </w:p>
        </w:tc>
      </w:tr>
      <w:tr>
        <w:trPr>
          <w:cantSplit/>
        </w:trPr>
        <w:tc>
          <w:tcPr>
            <w:tcW w:type="dxa" w:w="328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Клавиатура и Esc</w:t>
            </w:r>
          </w:p>
        </w:tc>
        <w:tc>
          <w:tcPr>
            <w:tcW w:type="dxa" w:w="623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Шаги, форма и модальное окно доступны; Esc закрывает модальное окно, фокус возвращается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320 px и iPhone Safe Area</w:t>
            </w:r>
          </w:p>
        </w:tc>
        <w:tc>
          <w:tcPr>
            <w:tcW w:type="dxa" w:w="623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Нет горизонтального скролла и перекрытия контента нижней панелью</w:t>
            </w:r>
          </w:p>
        </w:tc>
      </w:tr>
      <w:tr>
        <w:trPr>
          <w:cantSplit/>
        </w:trPr>
        <w:tc>
          <w:tcPr>
            <w:tcW w:type="dxa" w:w="328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Tilda после публикации</w:t>
            </w:r>
          </w:p>
        </w:tc>
        <w:tc>
          <w:tcPr>
            <w:tcW w:type="dxa" w:w="623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Код не обрезан; CDN-медиа, формы, события, телефон и WhatsApp работают на опубликованном URL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17 Роли согласования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/>
          <w:cantSplit/>
          <w:tblHeader/>
          <w:tblHeader/>
        </w:trPr>
        <w:tc>
          <w:tcPr>
            <w:tcW w:type="dxa" w:w="2778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6746"/>
            <w:shd w:fill="14364B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7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Руководитель / продажи</w:t>
            </w:r>
          </w:p>
        </w:tc>
        <w:tc>
          <w:tcPr>
            <w:tcW w:type="dxa" w:w="674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Диапазоны цен, период расчёта, пакеты, зона, SLA и следующий шаг менеджера</w:t>
            </w:r>
          </w:p>
        </w:tc>
      </w:tr>
      <w:tr>
        <w:trPr>
          <w:cantSplit/>
        </w:trPr>
        <w:tc>
          <w:tcPr>
            <w:tcW w:type="dxa" w:w="277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Пожарный инженер</w:t>
            </w:r>
          </w:p>
        </w:tc>
        <w:tc>
          <w:tcPr>
            <w:tcW w:type="dxa" w:w="674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Состав систем, работ, документов, ограничения, технические формулировки и актуальность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Маркетолог</w:t>
            </w:r>
          </w:p>
        </w:tc>
        <w:tc>
          <w:tcPr>
            <w:tcW w:type="dxa" w:w="674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Тексты, SEO, конверсионный сценарий, UTM и события</w:t>
            </w:r>
          </w:p>
        </w:tc>
      </w:tr>
      <w:tr>
        <w:trPr>
          <w:cantSplit/>
        </w:trPr>
        <w:tc>
          <w:tcPr>
            <w:tcW w:type="dxa" w:w="2778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CRM / разработчик</w:t>
            </w:r>
          </w:p>
        </w:tc>
        <w:tc>
          <w:tcPr>
            <w:tcW w:type="dxa" w:w="6746"/>
            <w:shd w:fill="EDF4F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Поля, endpoints, формула, события, защита от дублей, корректная доставка данных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Дизайнер / QA</w:t>
            </w:r>
          </w:p>
        </w:tc>
        <w:tc>
          <w:tcPr>
            <w:tcW w:type="dxa" w:w="6746"/>
            <w:vAlign w:val="center"/>
            <w:tcBorders>
              <w:top w:val="single" w:sz="5" w:color="D9E1E4"/>
              <w:left w:val="single" w:sz="5" w:color="D9E1E4"/>
              <w:bottom w:val="single" w:sz="5" w:color="D9E1E4"/>
              <w:right w:val="single" w:sz="5" w:color="D9E1E4"/>
              <w:insideH w:val="single" w:sz="5" w:color="D9E1E4"/>
              <w:insideV w:val="single" w:sz="5" w:color="D9E1E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rFonts w:ascii="Arial" w:hAnsi="Arial"/>
                <w:color w:val="15212B"/>
                <w:sz w:val="16"/>
              </w:rPr>
              <w:t>Адаптивность, доступность, состояния интерфейса и визуальное соответствие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18 Основание и границы документа</w:t>
      </w:r>
    </w:p>
    <w:p>
      <w:pPr>
        <w:pageBreakBefore w:val="0"/>
        <w:widowControl/>
      </w:pPr>
      <w:r>
        <w:t>ТЗ составлено на основе утверждённой структуры медиаплана Pozharnik.kz и общих условий для страниц pozharnik.kz. Документ конкретизирует страницу калькулятора обслуживания, но не утверждает коммерческие значения вместо владельца проекта. При расхождении опубликованного контента с фактическим договором приоритет имеют подтверждённые условия компании и результат согласования с пожарным инженером.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984"/>
        <w:sz w:val="16"/>
      </w:rPr>
      <w:t>POZHARNIK.KZ  ·  ТЗ Калькулятор обслуживания  ·  08.10.2026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5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color w:val="14364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