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pageBreakBefore w:val="0"/>
        <w:widowControl/>
        <w:jc w:val="left"/>
      </w:pPr>
      <w:r>
        <w:rPr>
          <w:rFonts w:ascii="Arial" w:hAnsi="Arial"/>
          <w:color w:val="000000"/>
          <w:u w:val="none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>
      <w:pPr>
        <w:pStyle w:val="Subtitle"/>
        <w:pageBreakBefore w:val="0"/>
        <w:widowControl/>
      </w:pPr>
      <w:r>
        <w:rPr>
          <w:rFonts w:ascii="Arial" w:hAnsi="Arial"/>
        </w:rPr>
        <w:t>Страница POZHARNIK.KZ — «Хаб калькуляторов»</w:t>
      </w:r>
    </w:p>
    <w:p>
      <w:pPr>
        <w:pageBreakBefore w:val="0"/>
        <w:widowControl/>
      </w:pPr>
      <w:r>
        <w:rPr>
          <w:rFonts w:ascii="Arial" w:hAnsi="Arial"/>
          <w:b/>
        </w:rPr>
        <w:t>Версия: 08.10.2026 · медиаплан 4.5</w:t>
      </w:r>
      <w:r>
        <w:rPr>
          <w:rFonts w:ascii="Arial" w:hAnsi="Arial"/>
        </w:rPr>
      </w:r>
    </w:p>
    <w:p>
      <w:pPr>
        <w:pageBreakBefore w:val="0"/>
        <w:widowControl/>
      </w:pPr>
      <w:r>
        <w:rPr>
          <w:rFonts w:ascii="Arial" w:hAnsi="Arial"/>
          <w:b/>
        </w:rPr>
        <w:t>Целевой URL:</w:t>
      </w:r>
      <w:r>
        <w:rPr>
          <w:rFonts w:ascii="Arial" w:hAnsi="Arial"/>
        </w:rPr>
        <w:t xml:space="preserve"> https://pozharnik.kz/kalkulyatory/</w:t>
      </w:r>
    </w:p>
    <w:p>
      <w:pPr>
        <w:pageBreakBefore w:val="0"/>
        <w:widowControl/>
      </w:pPr>
      <w:r>
        <w:rPr>
          <w:rFonts w:ascii="Arial" w:hAnsi="Arial"/>
          <w:b/>
        </w:rPr>
        <w:t>География:</w:t>
      </w:r>
      <w:r>
        <w:rPr>
          <w:rFonts w:ascii="Arial" w:hAnsi="Arial"/>
        </w:rPr>
        <w:t xml:space="preserve"> Алматы и Алматинская область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1. ЦЕЛЬ И ПОЗИЦИОНИРОВАНИЕ</w:t>
      </w:r>
    </w:p>
    <w:p>
      <w:pPr>
        <w:pageBreakBefore w:val="0"/>
        <w:widowControl/>
      </w:pPr>
      <w:r>
        <w:rPr>
          <w:rFonts w:ascii="Arial" w:hAnsi="Arial"/>
        </w:rPr>
        <w:t>Страница объединяет калькуляторы Pozharnik.kz и направляет посетителя к подходящему сценарию предварительного расчета. Действие страницы (Secondary) — переход к расчету; бизнес-результат — отправленный персональный расчет или запись на аудит после квалификации объекта.</w:t>
      </w:r>
    </w:p>
    <w:p>
      <w:pPr>
        <w:pageBreakBefore w:val="0"/>
        <w:widowControl/>
      </w:pPr>
      <w:r>
        <w:rPr>
          <w:rFonts w:ascii="Arial" w:hAnsi="Arial"/>
        </w:rPr>
        <w:t>Хаб не подменяет отдельные калькуляторы и не рассчитывает итоговую стоимость на своей странице. Он помогает выбрать задачу, объясняет, какие исходные данные понадобятся, и переводит пользователя на соответствующий URL без лишнего запроса телефона.</w:t>
      </w:r>
    </w:p>
    <w:p>
      <w:pPr>
        <w:pageBreakBefore w:val="0"/>
        <w:widowControl/>
      </w:pPr>
      <w:r>
        <w:rPr>
          <w:rFonts w:ascii="Arial" w:hAnsi="Arial"/>
        </w:rPr>
        <w:t>Целевые сегменты: собственники новых и действующих объектов, директора и управляющие, инженеры и ответственные за пожарную безопасность, эксплуатирующие организации, HR и специалисты по охране труда.</w:t>
      </w:r>
    </w:p>
    <w:p>
      <w:pPr>
        <w:pageBreakBefore w:val="0"/>
        <w:widowControl/>
      </w:pPr>
      <w:r>
        <w:rPr>
          <w:rFonts w:ascii="Arial" w:hAnsi="Arial"/>
        </w:rPr>
        <w:t>Тон: деловой, конкретный, спокойный. Не использовать неподтвержденные цены, гарантии результата, обещания отсутствия штрафов или формулировки, заменяющие обследование и инженерный расчет.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2. ВИЗУАЛЬНАЯ СИСТЕМА</w:t>
      </w:r>
    </w:p>
    <w:p>
      <w:pPr>
        <w:pageBreakBefore w:val="0"/>
        <w:widowControl/>
      </w:pPr>
      <w:r>
        <w:rPr>
          <w:rFonts w:ascii="Arial" w:hAnsi="Arial"/>
        </w:rPr>
        <w:t>Использовать Industrial B2B / Engineering стиль шаблона: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основной текст — #15212b; muted-текст — #697984;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основная кнопка — #e54132, hover — #bd2f25;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инженерный синий — #14364b; фон секций — #f5f7f6; белый — #ffffff;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границы — #dfe6e8; светлый акцент — #ffc7bd.</w:t>
      </w:r>
    </w:p>
    <w:p>
      <w:pPr>
        <w:pageBreakBefore w:val="0"/>
        <w:widowControl/>
      </w:pPr>
      <w:r>
        <w:rPr>
          <w:rFonts w:ascii="Arial" w:hAnsi="Arial"/>
        </w:rPr>
        <w:t>Контейнер — около 1160px. Шрифт — Arial, Helvetica, sans-serif. Карточки калькуляторов: белый фон, граница 1px #dfe6e8, радиус 13px, внутренний отступ 24–32px. Ключевые панели — радиус 18px, кнопки — 8px.</w:t>
      </w:r>
    </w:p>
    <w:p>
      <w:pPr>
        <w:pageBreakBefore w:val="0"/>
        <w:widowControl/>
      </w:pPr>
      <w:r>
        <w:rPr>
          <w:rFonts w:ascii="Arial" w:hAnsi="Arial"/>
        </w:rPr>
        <w:t>Hero: полноширинный градиент linear-gradient(115deg, #112d3d 0%, #184b5d 55%, #1e596b 100%). Текст Hero — белый, поясняющий текст — #e4eef1. Справа допустима легкая схема вычислений или технический круговой паттерн без стоковой фотографии.</w:t>
      </w:r>
    </w:p>
    <w:p>
      <w:pPr>
        <w:pageBreakBefore w:val="0"/>
        <w:widowControl/>
      </w:pPr>
      <w:r>
        <w:rPr>
          <w:rFonts w:ascii="Arial" w:hAnsi="Arial"/>
        </w:rPr>
        <w:t>H1: 47px на desktop и 32px на mobile. H2: 34px на desktop и 28px на mobile. Красный использовать только для CTA, акцента и нумерации.</w:t>
      </w:r>
    </w:p>
    <w:p>
      <w:pPr>
        <w:pageBreakBefore w:val="0"/>
        <w:widowControl/>
      </w:pPr>
      <w:r>
        <w:rPr>
          <w:rFonts w:ascii="Arial" w:hAnsi="Arial"/>
        </w:rPr>
        <w:t>Сетки: 3 карточки в ряд на desktop, 2 — до 820px, 1 — до 500px. На mobile — одна колонка, боковые отступы 14px, без горизонтальной прокрутки. Нижняя CTA-панель учитывает env(safe-area-inset-bottom) и не перекрывает контент.</w:t>
      </w:r>
    </w:p>
    <w:p>
      <w:pPr>
        <w:pageBreakBefore w:val="0"/>
        <w:widowControl/>
      </w:pPr>
      <w:r>
        <w:rPr>
          <w:rFonts w:ascii="Arial" w:hAnsi="Arial"/>
        </w:rPr>
        <w:t>Все стили и скрипты изолировать корневым контейнером #pz-kalkulyatory-page. Не использовать jQuery, Bootstrap, внешние шрифты, тяжелые анимации и автозвук.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>
      <w:pPr>
        <w:pageBreakBefore w:val="0"/>
        <w:widowControl/>
      </w:pPr>
      <w:r>
        <w:rPr>
          <w:rFonts w:ascii="Arial" w:hAnsi="Arial"/>
        </w:rPr>
        <w:t>1) Технический отступ под глобальную шапку: --site-header-space, desktop 88px, mobile 64px.</w:t>
      </w:r>
    </w:p>
    <w:p>
      <w:pPr>
        <w:pageBreakBefore w:val="0"/>
        <w:widowControl/>
      </w:pPr>
      <w:r>
        <w:rPr>
          <w:rFonts w:ascii="Arial" w:hAnsi="Arial"/>
        </w:rPr>
        <w:t>2) Hero: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надзаголовок: «Алматы и Алматинская область»;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один H1: «Калькуляторы пожарной безопасности»;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подзаголовок: «Выберите задачу и получите предварительный расчет по параметрам объекта»;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пояснение: предварительный диапазон показывается до запроса телефона, точный расчет формируется после уточнения данных;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основной CTA «Выбрать калькулятор» ведет к #calculators; вторичный CTA «Нужна помощь с выбором» ведет к короткой форме;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чипсы только с проверяемыми тезисами: «3–4 шага», «Предварительная вилка сразу», «Данные для точного расчета».</w:t>
      </w:r>
    </w:p>
    <w:p>
      <w:pPr>
        <w:pageBreakBefore w:val="0"/>
        <w:widowControl/>
      </w:pPr>
      <w:r>
        <w:rPr>
          <w:rFonts w:ascii="Arial" w:hAnsi="Arial"/>
        </w:rPr>
        <w:t>3) Панель выбора задачи: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три быстрых фильтра: «Новая система», «Действующая система», «Отдельная услуга»;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фильтр меняет видимый набор карточек без перезагрузки и не скрывает возможность показать все;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вариант «Не знаю, что выбрать» открывает короткую квалификацию или переводит к форме консультации.</w:t>
      </w:r>
    </w:p>
    <w:p>
      <w:pPr>
        <w:pageBreakBefore w:val="0"/>
        <w:widowControl/>
      </w:pPr>
      <w:r>
        <w:rPr>
          <w:rFonts w:ascii="Arial" w:hAnsi="Arial"/>
        </w:rPr>
        <w:t>4) Основная сетка калькуляторов с якорем #calculators. На первом экране списка приоритетно показать три сценария этапа 1: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Обслуживание пожарной сигнализации — /kalkulyatory/obsluzhivanie/ — «Рассчитать тариф»;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Монтаж пожарной сигнализации — /kalkulyatory/montazh/ — «Рассчитать стоимость»;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Пожарный аудит — /kalkulyatory/audit/ — «Оценить задачу и записаться на аудит».</w:t>
      </w:r>
    </w:p>
    <w:p>
      <w:pPr>
        <w:pageBreakBefore w:val="0"/>
        <w:widowControl/>
      </w:pPr>
      <w:r>
        <w:rPr>
          <w:rFonts w:ascii="Arial" w:hAnsi="Arial"/>
        </w:rPr>
        <w:t>5) Второй ряд калькуляторов для входных продуктов этапа 2: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Перезарядка огнетушителей — /kalkulyatory/ognetushiteli/ — «Быстрый расчет»;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Планы эвакуации — /kalkulyatory/plany-evakuacii/ — «Рассчитать изготовление».</w:t>
      </w:r>
    </w:p>
    <w:p>
      <w:pPr>
        <w:pageBreakBefore w:val="0"/>
        <w:widowControl/>
      </w:pPr>
      <w:r>
        <w:rPr>
          <w:rFonts w:ascii="Arial" w:hAnsi="Arial"/>
        </w:rPr>
        <w:t>Для каждой карточки показать: название задачи, кому подходит, 3–4 исходных параметра, ожидаемый результат, ориентировочное время прохождения, статус доступности и одну основную кнопку. Не выводить неподтвержденную цену в карточке.</w:t>
      </w:r>
    </w:p>
    <w:p>
      <w:pPr>
        <w:pageBreakBefore w:val="0"/>
        <w:widowControl/>
      </w:pPr>
      <w:r>
        <w:rPr>
          <w:rFonts w:ascii="Arial" w:hAnsi="Arial"/>
        </w:rPr>
        <w:t>6) Как работает расчет — три шага: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выбор калькулятора;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ввод 3–4 параметров объекта;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предварительный диапазон и возможность запросить персональный расчет или аудит.</w:t>
      </w:r>
    </w:p>
    <w:p>
      <w:pPr>
        <w:pageBreakBefore w:val="0"/>
        <w:widowControl/>
      </w:pPr>
      <w:r>
        <w:rPr>
          <w:rFonts w:ascii="Arial" w:hAnsi="Arial"/>
        </w:rPr>
        <w:t>7) Какие данные понадобятся. Использовать компактные группы: тип объекта; площадь; состояние системы или наличие проекта; количество оборудования/планов; желаемые сроки. Подчеркнуть, что конкретный набор зависит от выбранного калькулятора.</w:t>
      </w:r>
    </w:p>
    <w:p>
      <w:pPr>
        <w:pageBreakBefore w:val="0"/>
        <w:widowControl/>
      </w:pPr>
      <w:r>
        <w:rPr>
          <w:rFonts w:ascii="Arial" w:hAnsi="Arial"/>
        </w:rPr>
        <w:t>8) Блок «Предварительный и персональный расчет». Ясно разделить результаты: автоматическая вилка не является сметой или КП; персональный расчет формируется по параметрам идентифицированного объекта и может потребовать уточнения или выезда.</w:t>
      </w:r>
    </w:p>
    <w:p>
      <w:pPr>
        <w:pageBreakBefore w:val="0"/>
        <w:widowControl/>
      </w:pPr>
      <w:r>
        <w:rPr>
          <w:rFonts w:ascii="Arial" w:hAnsi="Arial"/>
        </w:rPr>
        <w:t>9) Блок доверия. Допустимы только подтвержденные лицензии, реальные примеры расчетов/отчетов и 2–3 релевантных кейса. Документы показывать как обезличенные JPG/WebP-превью с alt и подписью; PDF не встраивать.</w:t>
      </w:r>
    </w:p>
    <w:p>
      <w:pPr>
        <w:pageBreakBefore w:val="0"/>
        <w:widowControl/>
      </w:pPr>
      <w:r>
        <w:rPr>
          <w:rFonts w:ascii="Arial" w:hAnsi="Arial"/>
        </w:rPr>
        <w:t>10) FAQ на &lt;details&gt;/&lt;summary&gt;, минимум 6 вопросов: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Насколько точен предварительный расчет?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Почему итоговая цена может отличаться?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Нужно ли оставлять телефон, чтобы увидеть диапазон?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Какие данные понадобятся?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Когда требуется выезд инженера?</w:t>
      </w:r>
    </w:p>
    <w:p>
      <w:pPr>
        <w:pageBreakBefore w:val="0"/>
        <w:widowControl/>
        <w:ind w:left="360" w:hanging="200"/>
      </w:pPr>
      <w:r>
        <w:rPr>
          <w:rFonts w:ascii="Arial" w:hAnsi="Arial"/>
        </w:rPr>
        <w:t xml:space="preserve">• </w:t>
      </w:r>
      <w:r>
        <w:rPr>
          <w:rFonts w:ascii="Arial" w:hAnsi="Arial"/>
        </w:rPr>
        <w:t>Можно ли получить расчет или КП для организации?</w:t>
      </w:r>
    </w:p>
    <w:p>
      <w:pPr>
        <w:pageBreakBefore w:val="0"/>
        <w:widowControl/>
      </w:pPr>
      <w:r>
        <w:rPr>
          <w:rFonts w:ascii="Arial" w:hAnsi="Arial"/>
        </w:rPr>
        <w:t>11) Финальный CTA: «Не нашли нужный расчет?» Короткая форма подбора сценария и кнопки телефона/WhatsApp.</w:t>
      </w:r>
    </w:p>
    <w:p>
      <w:pPr>
        <w:pageBreakBefore w:val="0"/>
        <w:widowControl/>
      </w:pPr>
      <w:r>
        <w:rPr>
          <w:rFonts w:ascii="Arial" w:hAnsi="Arial"/>
        </w:rPr>
        <w:t>12) Футер: телефон, WhatsApp, адрес, режим работы, политика конфиденциальности, ссылки на услуги и главные калькуляторы.</w:t>
      </w:r>
    </w:p>
    <w:p>
      <w:pPr>
        <w:pageBreakBefore w:val="0"/>
        <w:widowControl/>
      </w:pPr>
      <w:r>
        <w:rPr>
          <w:rFonts w:ascii="Arial" w:hAnsi="Arial"/>
        </w:rPr>
        <w:t>13) Мобильная панель «Позвонить / WhatsApp» и доступное модальное окно политики конфиденциальности.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4. ЛОГИКА КАРТОЧЕК И ПЕРЕХОДОВ</w:t>
      </w:r>
    </w:p>
    <w:p>
      <w:pPr>
        <w:pageBreakBefore w:val="0"/>
        <w:widowControl/>
      </w:pPr>
      <w:r>
        <w:rPr>
          <w:rFonts w:ascii="Arial" w:hAnsi="Arial"/>
        </w:rPr>
        <w:t>Карточка целиком не должна конкурировать с основной кнопкой. Клик по заголовку или CTA ведет на один и тот же URL. Открытие — в текущей вкладке. Состояния focus-visible, hover и active обязательны.</w:t>
      </w:r>
    </w:p>
    <w:p>
      <w:pPr>
        <w:pageBreakBefore w:val="0"/>
        <w:widowControl/>
      </w:pPr>
      <w:r>
        <w:rPr>
          <w:rFonts w:ascii="Arial" w:hAnsi="Arial"/>
        </w:rPr>
        <w:t>Если калькулятор еще не опубликован, не использовать неработающую ссылку. Показывать статус «Скоро» и CTA «Получить расчет», который ведет к форме с автоматически заполненным service_type. После публикации заменить CTA на прямую ссылку.</w:t>
      </w:r>
    </w:p>
    <w:p>
      <w:pPr>
        <w:pageBreakBefore w:val="0"/>
        <w:widowControl/>
      </w:pPr>
      <w:r>
        <w:rPr>
          <w:rFonts w:ascii="Arial" w:hAnsi="Arial"/>
        </w:rPr>
        <w:t>Рекомендуемая MVP-логика отдельных калькуляторов: 3–4 шага — тип объекта → площадь → состояние/наличие проекта → предварительная смета. Для огнетушителей и планов эвакуации параметры адаптируются к услуге. Сложные многофакторные сценарии на первом этапе не разрабатывать.</w:t>
      </w:r>
    </w:p>
    <w:p>
      <w:pPr>
        <w:pageBreakBefore w:val="0"/>
        <w:widowControl/>
      </w:pPr>
      <w:r>
        <w:rPr>
          <w:rFonts w:ascii="Arial" w:hAnsi="Arial"/>
        </w:rPr>
        <w:t>Порядок карточек фиксированный: обслуживание, монтаж, аудит, огнетушители, планы эвакуации. Сортировка фильтром не должна менять URL и не должна создавать индексируемые дубли.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5. SEO И СЕМАНТИКА</w:t>
      </w:r>
    </w:p>
    <w:p>
      <w:pPr>
        <w:pStyle w:val="Normal"/>
        <w:pageBreakBefore w:val="0"/>
        <w:widowControl/>
      </w:pPr>
      <w:r>
        <w:t>Для ритейла до 500 м² добавить отдельный переход /kuzet/ после публикации страницы. Основную линейку Контроль / Защита / Премиум сохранять. Базовый Кузет — наблюдение и аварийное реагирование без планового ТО; цены и аренда показываются только по отдельному ТЗ Кузет. Не снижать приоритет заявки автоматически из-за малой площади.</w:t>
      </w:r>
    </w:p>
    <w:p>
      <w:pPr>
        <w:pageBreakBefore w:val="0"/>
        <w:widowControl/>
      </w:pPr>
      <w:r>
        <w:rPr>
          <w:rFonts w:ascii="Arial" w:hAnsi="Arial"/>
        </w:rPr>
        <w:t>Title: «Калькуляторы пожарной безопасности в Алматы | Pozharnik.kz».</w:t>
      </w:r>
    </w:p>
    <w:p>
      <w:pPr>
        <w:pageBreakBefore w:val="0"/>
        <w:widowControl/>
      </w:pPr>
      <w:r>
        <w:rPr>
          <w:rFonts w:ascii="Arial" w:hAnsi="Arial"/>
        </w:rPr>
        <w:t>Description: «Выберите калькулятор обслуживания или монтажа АПС, пожарного аудита, огнетушителей и планов эвакуации. Предварительный расчет для объектов Алматы и области».</w:t>
      </w:r>
    </w:p>
    <w:p>
      <w:pPr>
        <w:pageBreakBefore w:val="0"/>
        <w:widowControl/>
      </w:pPr>
      <w:r>
        <w:rPr>
          <w:rFonts w:ascii="Arial" w:hAnsi="Arial"/>
        </w:rPr>
        <w:t>Canonical: https://pozharnik.kz/kalkulyatory/.</w:t>
      </w:r>
    </w:p>
    <w:p>
      <w:pPr>
        <w:pageBreakBefore w:val="0"/>
        <w:widowControl/>
      </w:pPr>
      <w:r>
        <w:rPr>
          <w:rFonts w:ascii="Arial" w:hAnsi="Arial"/>
        </w:rPr>
        <w:t>В &lt;head&gt; добавить og:type, og:locale, og:title, og:description, og:url, og:image, favicon и apple-touch-icon. Разметка: один H1, логичная иерархия H2/H3, main, nav/section, article, details. JSON-LD: CollectionPage, ItemList, BreadcrumbList и FAQPage. Не использовать Service для всего хаба как для одной услуги. Все URL и названия в JSON-LD должны совпадать с видимыми карточками.</w:t>
      </w:r>
    </w:p>
    <w:p>
      <w:pPr>
        <w:pageBreakBefore w:val="0"/>
        <w:widowControl/>
      </w:pPr>
      <w:r>
        <w:rPr>
          <w:rFonts w:ascii="Arial" w:hAnsi="Arial"/>
        </w:rPr>
        <w:t>Внутренние ссылки: на /obsluzhivanie/, /montazh/, /audit/, /perezaryadka-ognetushiteley/, /plany-evakuacii/ и релевантные материалы базы знаний. С отдельных услуг разместить обратные ссылки на соответствующий калькулятор и на хаб.</w:t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8. TILDA И ПАКЕТ ПЕРЕДАЧИ</w:t>
      </w:r>
    </w:p>
    <w:p>
      <w:pPr>
        <w:pageBreakBefore w:val="0"/>
        <w:widowControl/>
      </w:pPr>
      <w:r>
        <w:rPr>
          <w:rFonts w:ascii="Arial" w:hAnsi="Arial"/>
        </w:rPr>
        <w:t>Код страницы передать единым установочным пакетом:</w:t>
      </w:r>
    </w:p>
    <w:p>
      <w:pPr>
        <w:pageBreakBefore w:val="0"/>
        <w:widowControl/>
      </w:pPr>
      <w:r>
        <w:rPr>
          <w:rFonts w:ascii="Arial" w:hAnsi="Arial"/>
        </w:rPr>
        <w:t>1) 01_HEAD_SEO.html — только метатеги, canonical, Open Graph, favicon/apple-touch-icon и при необходимости изолированные стили.</w:t>
      </w:r>
    </w:p>
    <w:p>
      <w:pPr>
        <w:pageBreakBefore w:val="0"/>
        <w:widowControl/>
      </w:pPr>
      <w:r>
        <w:rPr>
          <w:rFonts w:ascii="Arial" w:hAnsi="Arial"/>
        </w:rPr>
        <w:t>2) 02_PAGE_FULL_T123.html — замкнутая разметка страницы, изолированные CSS, JSON-LD и JavaScript. Не разделять одну конструкцию, style/script или контейнер между блоками T123.</w:t>
      </w:r>
    </w:p>
    <w:p>
      <w:pPr>
        <w:pageBreakBefore w:val="0"/>
        <w:widowControl/>
      </w:pPr>
      <w:r>
        <w:rPr>
          <w:rFonts w:ascii="Arial" w:hAnsi="Arial"/>
        </w:rPr>
        <w:t>3) ZIP: 00_README.txt, 01_HEAD_SEO.html, 02_PAGE_FULL_T123.html и test-preview.html.</w:t>
      </w:r>
    </w:p>
    <w:p>
      <w:pPr>
        <w:pageBreakBefore w:val="0"/>
        <w:widowControl/>
      </w:pPr>
      <w:r>
        <w:rPr>
          <w:rFonts w:ascii="Arial" w:hAnsi="Arial"/>
        </w:rPr>
        <w:t>4) Кодировка UTF-8. В preview обязательны &lt;!doctype html&gt;, &lt;meta charset="utf-8"&gt; и viewport. Проверить отсутствие mojibake и символов замены.</w:t>
      </w:r>
    </w:p>
    <w:p>
      <w:pPr>
        <w:pageBreakBefore w:val="0"/>
        <w:widowControl/>
      </w:pPr>
      <w:r>
        <w:rPr>
          <w:rFonts w:ascii="Arial" w:hAnsi="Arial"/>
        </w:rPr>
        <w:t>5) Если Tilda ограничивает объем, делить только по завершенным независимым блокам. После вставки проверить сохранение, публикацию и конец кода.</w:t>
      </w:r>
    </w:p>
    <w:p>
      <w:pPr>
        <w:pageBreakBefore w:val="0"/>
        <w:widowControl/>
      </w:pPr>
      <w:r>
        <w:rPr>
          <w:rFonts w:ascii="Arial" w:hAnsi="Arial"/>
        </w:rPr>
        <w:t>6) Медиа сначала загрузить в отдельную папку Tilda, затем использовать абсолютные HTTPS CDN-URL. В итоговом коде не должно быть путей C:\..., assets/... или media/....</w:t>
      </w:r>
    </w:p>
    <w:p>
      <w:pPr>
        <w:pageBreakBefore w:val="0"/>
        <w:widowControl/>
      </w:pPr>
      <w:r>
        <w:rPr>
          <w:rFonts w:ascii="Arial" w:hAnsi="Arial"/>
        </w:rPr>
        <w:t>7) Все интерактивные элементы доступны с клавиатуры, имеют видимый focus, корректные aria-label/aria-expanded, а модальные окна закрываются кнопкой, фоном и Esc.</w:t>
      </w:r>
    </w:p>
    <w:p>
      <w:pPr>
        <w:pageBreakBefore w:val="0"/>
        <w:widowControl/>
      </w:pPr>
      <w:r>
        <w:rPr>
          <w:rFonts w:ascii="Arial" w:hAnsi="Arial"/>
        </w:rPr>
        <w:t>8) Проверить локальный preview и опубликованный URL: фильтры, ссылки, формы, телефон, WhatsApp, JSON-LD, аналитику, якоря, мобильную Safe Area и русскую кодировку.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9. ПРИЁМКА</w:t>
      </w:r>
    </w:p>
    <w:p>
      <w:pPr>
        <w:pageBreakBefore w:val="0"/>
        <w:widowControl/>
      </w:pPr>
      <w:r>
        <w:rPr>
          <w:rFonts w:ascii="Arial" w:hAnsi="Arial"/>
        </w:rPr>
        <w:t>☐ URL, H1, title, description и canonical совпадают с ТЗ.</w:t>
      </w:r>
    </w:p>
    <w:p>
      <w:pPr>
        <w:pageBreakBefore w:val="0"/>
        <w:widowControl/>
      </w:pPr>
      <w:r>
        <w:rPr>
          <w:rFonts w:ascii="Arial" w:hAnsi="Arial"/>
        </w:rPr>
        <w:t>☐ На странице один H1 и корректная иерархия H2/H3.</w:t>
      </w:r>
    </w:p>
    <w:p>
      <w:pPr>
        <w:pageBreakBefore w:val="0"/>
        <w:widowControl/>
      </w:pPr>
      <w:r>
        <w:rPr>
          <w:rFonts w:ascii="Arial" w:hAnsi="Arial"/>
        </w:rPr>
        <w:t>☐ Присутствуют пять карточек в заданном порядке и с корректными URL.</w:t>
      </w:r>
    </w:p>
    <w:p>
      <w:pPr>
        <w:pageBreakBefore w:val="0"/>
        <w:widowControl/>
      </w:pPr>
      <w:r>
        <w:rPr>
          <w:rFonts w:ascii="Arial" w:hAnsi="Arial"/>
        </w:rPr>
        <w:t>☐ Для неопубликованных калькуляторов нет неработающих ссылок; предусмотрен fallback-запрос расчета.</w:t>
      </w:r>
    </w:p>
    <w:p>
      <w:pPr>
        <w:pageBreakBefore w:val="0"/>
        <w:widowControl/>
      </w:pPr>
      <w:r>
        <w:rPr>
          <w:rFonts w:ascii="Arial" w:hAnsi="Arial"/>
        </w:rPr>
        <w:t>☐ Предварительный диапазон доступен в отдельных калькуляторах до запроса телефона.</w:t>
      </w:r>
    </w:p>
    <w:p>
      <w:pPr>
        <w:pageBreakBefore w:val="0"/>
        <w:widowControl/>
      </w:pPr>
      <w:r>
        <w:rPr>
          <w:rFonts w:ascii="Arial" w:hAnsi="Arial"/>
        </w:rPr>
        <w:t>☐ Фильтры работают с клавиатуры и не создают индексируемых дублей.</w:t>
      </w:r>
    </w:p>
    <w:p>
      <w:pPr>
        <w:pageBreakBefore w:val="0"/>
        <w:widowControl/>
      </w:pPr>
      <w:r>
        <w:rPr>
          <w:rFonts w:ascii="Arial" w:hAnsi="Arial"/>
        </w:rPr>
        <w:t>☐ Все изображения имеют alt, размеры и абсолютные HTTPS CDN-ссылки Tilda.</w:t>
      </w:r>
    </w:p>
    <w:p>
      <w:pPr>
        <w:pageBreakBefore w:val="0"/>
        <w:widowControl/>
      </w:pPr>
      <w:r>
        <w:rPr>
          <w:rFonts w:ascii="Arial" w:hAnsi="Arial"/>
        </w:rPr>
        <w:t>☐ Формы валидируют телефон и согласие; успешная заявка поступает в webhook/CRM.</w:t>
      </w:r>
    </w:p>
    <w:p>
      <w:pPr>
        <w:pageBreakBefore w:val="0"/>
        <w:widowControl/>
      </w:pPr>
      <w:r>
        <w:rPr>
          <w:rFonts w:ascii="Arial" w:hAnsi="Arial"/>
        </w:rPr>
        <w:t>☐ BigQuery получает события и расширенный payload независимо от отправки основной заявки.</w:t>
      </w:r>
    </w:p>
    <w:p>
      <w:pPr>
        <w:pageBreakBefore w:val="0"/>
        <w:widowControl/>
      </w:pPr>
      <w:r>
        <w:rPr>
          <w:rFonts w:ascii="Arial" w:hAnsi="Arial"/>
        </w:rPr>
        <w:t>☐ Сохраняются UTM, click ID, first/last attribution и доступные session/CRM/коллтрекинг ID.</w:t>
      </w:r>
    </w:p>
    <w:p>
      <w:pPr>
        <w:pageBreakBefore w:val="0"/>
        <w:widowControl/>
      </w:pPr>
      <w:r>
        <w:rPr>
          <w:rFonts w:ascii="Arial" w:hAnsi="Arial"/>
        </w:rPr>
        <w:t>☐ Проверены calculator_hub_view, calculator_filter_select, calculator_card_click и pz_calculator_complete.</w:t>
      </w:r>
    </w:p>
    <w:p>
      <w:pPr>
        <w:pageBreakBefore w:val="0"/>
        <w:widowControl/>
      </w:pPr>
      <w:r>
        <w:rPr>
          <w:rFonts w:ascii="Arial" w:hAnsi="Arial"/>
        </w:rPr>
        <w:t>☐ Проверены desktop, Android и iPhone/Safari; нет горизонтальной прокрутки и перекрытия контента.</w:t>
      </w:r>
    </w:p>
    <w:p>
      <w:pPr>
        <w:pageBreakBefore w:val="0"/>
        <w:widowControl/>
      </w:pPr>
      <w:r>
        <w:rPr>
          <w:rFonts w:ascii="Arial" w:hAnsi="Arial"/>
        </w:rPr>
        <w:t>☐ Проверены focus-visible, Tab-навигация, Esc, якоря и мобильная Safe Area.</w:t>
      </w:r>
    </w:p>
    <w:p>
      <w:pPr>
        <w:pageBreakBefore w:val="0"/>
        <w:widowControl/>
      </w:pPr>
      <w:r>
        <w:rPr>
          <w:rFonts w:ascii="Arial" w:hAnsi="Arial"/>
        </w:rPr>
        <w:t>☐ JSON-LD валиден и совпадает с видимыми карточками и FAQ.</w:t>
      </w:r>
    </w:p>
    <w:p>
      <w:pPr>
        <w:pageBreakBefore w:val="0"/>
        <w:widowControl/>
      </w:pPr>
      <w:r>
        <w:rPr>
          <w:rFonts w:ascii="Arial" w:hAnsi="Arial"/>
        </w:rPr>
        <w:t>☐ HTML сохранен в UTF-8, T123 не обрезан, теги и скрипты закрыты.</w:t>
      </w:r>
    </w:p>
    <w:p>
      <w:pPr>
        <w:pageBreakBefore w:val="0"/>
        <w:widowControl/>
      </w:pPr>
      <w:r>
        <w:rPr>
          <w:rFonts w:ascii="Arial" w:hAnsi="Arial"/>
        </w:rPr>
        <w:t>☐ ZIP содержит README, HEAD, полный T123 и тестовый preview.</w:t>
      </w:r>
    </w:p>
    <w:p>
      <w:pPr>
        <w:pageBreakBefore w:val="0"/>
        <w:widowControl/>
      </w:pPr>
      <w:r>
        <w:rPr>
          <w:rFonts w:ascii="Arial" w:hAnsi="Arial"/>
        </w:rPr>
        <w:t>☐ Проверены CORS и HTTPS для всех endpoint.</w:t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69" w:lineRule="auto"/>
    </w:pPr>
    <w:rPr>
      <w:sz w:val="22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40" w:before="280" w:lineRule="auto"/>
    </w:pPr>
    <w:rPr>
      <w:rFonts w:ascii="Arial" w:hAnsi="Arial" w:eastAsia="Arial"/>
      <w:b/>
      <w:color w:val="000000"/>
      <w:sz w:val="28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100" w:before="200" w:lineRule="auto"/>
    </w:pPr>
    <w:rPr>
      <w:rFonts w:ascii="Arial" w:hAnsi="Arial" w:eastAsia="Arial"/>
      <w:b/>
      <w:bCs w:val="0"/>
      <w:color w:val="000000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hAnsi="Arial" w:eastAsia="Arial"/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00" w:before="0" w:lineRule="auto"/>
    </w:pPr>
    <w:rPr>
      <w:rFonts w:ascii="Arial" w:hAnsi="Arial" w:eastAsia="Arial"/>
      <w:b/>
      <w:color w:val="000000"/>
      <w:sz w:val="36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40" w:before="0" w:lineRule="auto"/>
    </w:pPr>
    <w:rPr>
      <w:rFonts w:ascii="Arial" w:cs="Arial" w:eastAsia="Arial" w:hAnsi="Arial"/>
      <w:i w:val="0"/>
      <w:iCs w:val="0"/>
      <w:color w:val="000000"/>
      <w:sz w:val="24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