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widowControl/>
      </w:pPr>
      <w:r>
        <w:rPr>
          <w:color w:val="000000"/>
          <w:u w:val="none"/>
        </w:rPr>
        <w:t>Техническое задание на страницу Кузет для ритейла</w:t>
      </w:r>
    </w:p>
    <w:p>
      <w:pPr>
        <w:pageBreakBefore w:val="0"/>
        <w:widowControl/>
      </w:pPr>
      <w:r>
        <w:t>Редакция от 8 октября 2026 года по медиаплану 4.5. Этап 1. Технические основания: аналитика 1.7, Bitrix24 1.28, Google Ads 1.5, контракт данных 1.7. Данный документ задаёт требования; внедрение принимается отдельно.</w:t>
      </w:r>
    </w:p>
    <w:p>
      <w:pPr>
        <w:pageBreakBefore w:val="0"/>
        <w:widowControl/>
      </w:pPr>
      <w:r>
        <w:t>Pozharnik.kz · Версия 1.1 · 8 октября 2026 года</w:t>
      </w:r>
    </w:p>
    <w:p>
      <w:pPr>
        <w:pageBreakBefore w:val="0"/>
        <w:widowControl/>
      </w:pPr>
      <w:r>
        <w:t>Разработать текст и посадочную страницу /kuzet/ для торговых помещений до 500 м². Посетитель должен сравнить три варианта сопровождения, отдельно выбрать покупку или аренду оборудования и отправить заявку на персональный расчёт.</w:t>
      </w:r>
    </w:p>
    <w:p>
      <w:pPr>
        <w:pStyle w:val="Heading2"/>
        <w:pageBreakBefore w:val="0"/>
        <w:widowControl/>
      </w:pPr>
      <w:r>
        <w:rPr>
          <w:color w:val="000000"/>
        </w:rPr>
        <w:t>1 Назначение и источники</w:t>
      </w:r>
    </w:p>
    <w:p>
      <w:pPr>
        <w:pageBreakBefore w:val="0"/>
        <w:widowControl/>
      </w:pPr>
      <w:r>
        <w:t>Заказчик — Pozharnik.kz. Исполнители — автор текста, дизайнер, разработчик Tilda и специалист по CRM и аналитике. Основа — медиаплан v4.5, шаблон ТЗ страниц v1.6, единый контракт данных v1.7, ANALYTICS_AND_CONSENT_TEMPLATE.md, HEADER_STANDARD.md и CONTRACT_CONVERSION_SYNC_2026-10-07.md. При коллизии согласованный состав продукта из этого ТЗ имеет приоритет; глобальный стандарт имеет приоритет в архитектуре, событиях и согласии.</w:t>
      </w:r>
    </w:p>
    <w:p>
      <w:pPr>
        <w:pageBreakBefore w:val="0"/>
        <w:widowControl/>
      </w:pPr>
      <w:r>
        <w:t>Целевая аудитория: собственник или управляющий магазина, бутика, аптеки либо торгового помещения до 500 м². Ситуации: открытие точки, отсутствие систем, замена оборудования, подключение охраны, потребность в плановом контроле АПС. География — Алматы и согласованная зона выезда в области.</w:t>
      </w:r>
    </w:p>
    <w:p>
      <w:pPr>
        <w:pStyle w:val="Heading2"/>
        <w:pageBreakBefore w:val="0"/>
        <w:widowControl/>
      </w:pPr>
      <w:r>
        <w:rPr>
          <w:color w:val="000000"/>
        </w:rPr>
        <w:t>2 Позиционирование и задача автора</w:t>
      </w:r>
    </w:p>
    <w:p>
      <w:pPr>
        <w:pageBreakBefore w:val="0"/>
        <w:widowControl/>
      </w:pPr>
      <w:r>
        <w:t>Основной смысл: две системы безопасности и понятный выбор — аварийное сопровождение с Кузет, регулярное ТО АПС или их сочетание. Аренда уменьшает первоначальную покупку оборудования, но не означает бесплатное оборудование и не меняет состав выбранного пакета.</w:t>
      </w:r>
    </w:p>
    <w:p>
      <w:pPr>
        <w:pageBreakBefore w:val="0"/>
        <w:widowControl/>
      </w:pPr>
      <w:r>
        <w:t>Тон спокойный и конкретный. Не обещать полное соответствие законодательству без проверки объекта, отсутствие штрафов, предотвращение любого пожара, гарантированное время прибытия либо самый выгодный тариф. Не придумывать отзывы, статистику и сроки монтажа. В клиентский текст не включать внутреннюю себестоимость, расходы Кузет 14 000 ₸ и данные Clinik+.</w:t>
      </w:r>
    </w:p>
    <w:p>
      <w:pPr>
        <w:pageBreakBefore w:val="0"/>
        <w:widowControl/>
      </w:pPr>
      <w:r>
        <w:t>Главная цель бизнеса — подписанный договор. Основное действие на странице — Получить расчёт для магазина. Резервный канал — WhatsApp. Не выдавать отправку формы за заключённый договор.</w:t>
      </w:r>
    </w:p>
    <w:p>
      <w:pPr>
        <w:pageBreakBefore w:val="0"/>
        <w:widowControl/>
      </w:pPr>
      <w:r/>
    </w:p>
    <w:p>
      <w:pPr>
        <w:pStyle w:val="Heading1"/>
        <w:pageBreakBefore w:val="0"/>
        <w:widowControl/>
      </w:pPr>
      <w:r>
        <w:rPr>
          <w:color w:val="000000"/>
        </w:rPr>
        <w:t>3 Пакеты и рабочие цены</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tblHeader/>
          <w:tblHeader/>
        </w:trPr>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keepNext/>
              <w:pageBreakBefore w:val="0"/>
              <w:spacing w:after="60" w:line="252" w:lineRule="auto"/>
            </w:pPr>
            <w:r>
              <w:rPr>
                <w:b/>
                <w:color w:val="FFFFFF"/>
                <w:sz w:val="20"/>
              </w:rPr>
              <w:t>Пакет</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keepNext/>
              <w:pageBreakBefore w:val="0"/>
              <w:spacing w:after="60" w:line="252" w:lineRule="auto"/>
              <w:jc w:val="center"/>
            </w:pPr>
            <w:r>
              <w:rPr>
                <w:b/>
                <w:color w:val="FFFFFF"/>
                <w:sz w:val="20"/>
              </w:rPr>
              <w:t>Без аренды</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keepNext/>
              <w:pageBreakBefore w:val="0"/>
              <w:spacing w:after="60" w:line="252" w:lineRule="auto"/>
              <w:jc w:val="center"/>
            </w:pPr>
            <w:r>
              <w:rPr>
                <w:b/>
                <w:color w:val="FFFFFF"/>
                <w:sz w:val="20"/>
              </w:rPr>
              <w:t>Пример аренды</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keepNext/>
              <w:pageBreakBefore w:val="0"/>
              <w:spacing w:after="60" w:line="252" w:lineRule="auto"/>
              <w:jc w:val="center"/>
            </w:pPr>
            <w:r>
              <w:rPr>
                <w:b/>
                <w:color w:val="FFFFFF"/>
                <w:sz w:val="20"/>
              </w:rPr>
              <w:t>С арендой</w:t>
            </w:r>
          </w:p>
        </w:tc>
      </w:tr>
      <w:tr>
        <w:trPr>
          <w:cantSplit/>
        </w:trPr>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pageBreakBefore w:val="0"/>
              <w:spacing w:after="60" w:line="252" w:lineRule="auto"/>
            </w:pPr>
            <w:r>
              <w:rPr>
                <w:b w:val="0"/>
                <w:color w:val="15212B"/>
                <w:sz w:val="20"/>
              </w:rPr>
              <w:t>Базовый Кузет</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pageBreakBefore w:val="0"/>
              <w:spacing w:after="60" w:line="252" w:lineRule="auto"/>
              <w:jc w:val="center"/>
            </w:pPr>
            <w:r>
              <w:rPr>
                <w:b w:val="0"/>
                <w:color w:val="15212B"/>
                <w:sz w:val="20"/>
              </w:rPr>
              <w:t>44 000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pageBreakBefore w:val="0"/>
              <w:spacing w:after="60" w:line="252" w:lineRule="auto"/>
              <w:jc w:val="center"/>
            </w:pPr>
            <w:r>
              <w:rPr>
                <w:b w:val="0"/>
                <w:color w:val="15212B"/>
                <w:sz w:val="20"/>
              </w:rPr>
              <w:t>20 000</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pageBreakBefore w:val="0"/>
              <w:spacing w:after="60" w:line="252" w:lineRule="auto"/>
              <w:jc w:val="center"/>
            </w:pPr>
            <w:r>
              <w:rPr>
                <w:b w:val="0"/>
                <w:color w:val="15212B"/>
                <w:sz w:val="20"/>
              </w:rPr>
              <w:t>64 000</w:t>
            </w:r>
          </w:p>
        </w:tc>
      </w:tr>
      <w:tr>
        <w:trPr>
          <w:cantSplit/>
        </w:trPr>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keepNext w:val="0"/>
              <w:pageBreakBefore w:val="0"/>
              <w:spacing w:after="60" w:line="252" w:lineRule="auto"/>
            </w:pPr>
            <w:r>
              <w:rPr>
                <w:b w:val="0"/>
                <w:color w:val="15212B"/>
                <w:sz w:val="20"/>
              </w:rPr>
              <w:t>Расширенный ТО АПС</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keepNext w:val="0"/>
              <w:pageBreakBefore w:val="0"/>
              <w:spacing w:after="60" w:line="252" w:lineRule="auto"/>
              <w:jc w:val="center"/>
            </w:pPr>
            <w:r>
              <w:rPr>
                <w:b w:val="0"/>
                <w:color w:val="15212B"/>
                <w:sz w:val="20"/>
              </w:rPr>
              <w:t>90 000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keepNext w:val="0"/>
              <w:pageBreakBefore w:val="0"/>
              <w:spacing w:after="60" w:line="252" w:lineRule="auto"/>
              <w:jc w:val="center"/>
            </w:pPr>
            <w:r>
              <w:rPr>
                <w:b w:val="0"/>
                <w:color w:val="15212B"/>
                <w:sz w:val="20"/>
              </w:rPr>
              <w:t>20 000</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keepNext w:val="0"/>
              <w:pageBreakBefore w:val="0"/>
              <w:spacing w:after="60" w:line="252" w:lineRule="auto"/>
              <w:jc w:val="center"/>
            </w:pPr>
            <w:r>
              <w:rPr>
                <w:b w:val="0"/>
                <w:color w:val="15212B"/>
                <w:sz w:val="20"/>
              </w:rPr>
              <w:t>110 000</w:t>
            </w:r>
          </w:p>
        </w:tc>
      </w:tr>
      <w:tr>
        <w:trPr>
          <w:cantSplit/>
        </w:trPr>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pageBreakBefore w:val="0"/>
              <w:spacing w:after="60" w:line="252" w:lineRule="auto"/>
            </w:pPr>
            <w:r>
              <w:rPr>
                <w:b w:val="0"/>
                <w:color w:val="15212B"/>
                <w:sz w:val="20"/>
              </w:rPr>
              <w:t>PRO ТО АПС и Кузет</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pageBreakBefore w:val="0"/>
              <w:spacing w:after="60" w:line="252" w:lineRule="auto"/>
              <w:jc w:val="center"/>
            </w:pPr>
            <w:r>
              <w:rPr>
                <w:b w:val="0"/>
                <w:color w:val="15212B"/>
                <w:sz w:val="20"/>
              </w:rPr>
              <w:t>134 000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pageBreakBefore w:val="0"/>
              <w:spacing w:after="60" w:line="252" w:lineRule="auto"/>
              <w:jc w:val="center"/>
            </w:pPr>
            <w:r>
              <w:rPr>
                <w:b w:val="0"/>
                <w:color w:val="15212B"/>
                <w:sz w:val="20"/>
              </w:rPr>
              <w:t>20 000</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pageBreakBefore w:val="0"/>
              <w:spacing w:after="60" w:line="252" w:lineRule="auto"/>
              <w:jc w:val="center"/>
            </w:pPr>
            <w:r>
              <w:rPr>
                <w:b w:val="0"/>
                <w:color w:val="15212B"/>
                <w:sz w:val="20"/>
              </w:rPr>
              <w:t>154 000</w:t>
            </w:r>
          </w:p>
        </w:tc>
      </w:tr>
    </w:tbl>
    <w:p>
      <w:pPr>
        <w:pageBreakBefore w:val="0"/>
        <w:widowControl/>
      </w:pPr>
      <w:r/>
    </w:p>
    <w:p>
      <w:pPr>
        <w:pStyle w:val="Heading2"/>
        <w:pageBreakBefore w:val="0"/>
        <w:widowControl/>
      </w:pPr>
      <w:r>
        <w:rPr>
          <w:color w:val="000000"/>
        </w:rPr>
        <w:t>Базовый Кузет</w:t>
      </w:r>
    </w:p>
    <w:p>
      <w:pPr>
        <w:pageBreakBefore w:val="0"/>
        <w:widowControl/>
      </w:pPr>
      <w:r>
        <w:t>Пожарная и охранная сигнализация; подключение Кузет, круглосуточный мониторинг, реагирование вооружённой ГБР при охранной или пожарной тревоге и аварийные технические выезды. Плановых выездов, капитального ТО и периодических тестирований в пакете нет. Услуги — рабочий ориентир 44 000 ₸ в месяц.</w:t>
      </w:r>
    </w:p>
    <w:p>
      <w:pPr>
        <w:pStyle w:val="Heading2"/>
        <w:pageBreakBefore w:val="0"/>
        <w:widowControl/>
      </w:pPr>
      <w:r>
        <w:rPr>
          <w:color w:val="000000"/>
        </w:rPr>
        <w:t>Расширенный ТО АПС</w:t>
      </w:r>
    </w:p>
    <w:p>
      <w:pPr>
        <w:pageBreakBefore w:val="0"/>
        <w:widowControl/>
      </w:pPr>
      <w:r>
        <w:t>Пожарная сигнализация и регулярное ТО: ежемесячные осмотры в конце месяца с уточнением даты; два капитальных ТО с тестированием и два отдельных тестирования в год. Проверка доступных помещений по чек-листу, документация и фактические риски; отчёт на следующий рабочий день, приоритеты и динамика устранения замечаний. Кузет и охранная сигнализация не входят. Услуги — рабочий ориентир 90 000 ₸ в месяц.</w:t>
      </w:r>
    </w:p>
    <w:p>
      <w:pPr>
        <w:pStyle w:val="Heading2"/>
        <w:pageBreakBefore w:val="0"/>
        <w:widowControl/>
      </w:pPr>
      <w:r>
        <w:rPr>
          <w:color w:val="000000"/>
        </w:rPr>
        <w:t>PRO ТО АПС и Кузет</w:t>
      </w:r>
    </w:p>
    <w:p>
      <w:pPr>
        <w:pageBreakBefore w:val="0"/>
        <w:widowControl/>
      </w:pPr>
      <w:r>
        <w:t>Пожарная и охранная сигнализация, полный состав регулярного ТО из Расширенного и Кузет из Базового. Услуги 90 000 + 44 000 = 134 000 ₸ в месяц. Совпадающие аварийные работы не продавать повторно как дополнительную обязательную услугу.</w:t>
      </w:r>
    </w:p>
    <w:p>
      <w:pPr>
        <w:pageBreakBefore w:val="0"/>
        <w:widowControl/>
      </w:pPr>
      <w:r>
        <w:t>Базовый и Расширенный решают разные задачи. Таблица должна явно показать, что Расширенный не включает Кузет. Подпись Расширенного — Для регулярного контроля АПС; PRO — ТО АПС и охрана в одном решении. Не использовать Самый популярный или Рекомендуем всем. Можно выделить PRO визуально как наиболее полный вариант.</w:t>
      </w:r>
    </w:p>
    <w:p>
      <w:pPr>
        <w:pageBreakBefore w:val="0"/>
        <w:widowControl/>
      </w:pPr>
      <w:r>
        <w:t>Под таблицей: «Цены — предварительные ориентиры. Окончательный состав и стоимость определяются по планировке, комплектации и условиям объекта». До проверки фактической экономики тарифы не представлять как окончательную оферту для любого объекта до 500 м².</w:t>
      </w:r>
    </w:p>
    <w:p>
      <w:pPr>
        <w:pageBreakBefore w:val="0"/>
        <w:widowControl/>
      </w:pPr>
      <w:r/>
    </w:p>
    <w:p>
      <w:pPr>
        <w:pStyle w:val="Heading1"/>
        <w:pageBreakBefore w:val="0"/>
        <w:widowControl/>
      </w:pPr>
      <w:r>
        <w:rPr>
          <w:color w:val="000000"/>
        </w:rPr>
        <w:t>4 Покупка аренда и расчёт платежей</w:t>
      </w:r>
    </w:p>
    <w:p>
      <w:pPr>
        <w:pStyle w:val="Heading2"/>
        <w:pageBreakBefore w:val="0"/>
        <w:widowControl/>
      </w:pPr>
      <w:r>
        <w:rPr>
          <w:color w:val="000000"/>
        </w:rPr>
        <w:t>Выбор способа получения оборудования</w:t>
      </w:r>
    </w:p>
    <w:p>
      <w:pPr>
        <w:pageBreakBefore w:val="0"/>
        <w:widowControl/>
      </w:pPr>
      <w:r>
        <w:t>Покупка: проектирование, оборудование, монтаж и пусконаладка оплачиваются при подключении по согласованной смете. Оборудование принадлежит клиенту. Ежемесячно оплачиваются услуги выбранного пакета.</w:t>
      </w:r>
    </w:p>
    <w:p>
      <w:pPr>
        <w:pageBreakBefore w:val="0"/>
        <w:widowControl/>
      </w:pPr>
      <w:r>
        <w:t>Аренда для всех пакетов: клиент оплачивает монтаж и пусконаладку. Проектирование без отдельной оплаты. Оборудование принадлежит Pozharnik.kz. Ежемесячно оплачиваются услуги и аренда. Замена вышедшего из строя арендованного оборудования без доплаты независимо от причины, включая повреждения клиентом. Автоматический выкуп не предусмотрен. При прекращении договора всё арендованное оборудование возвращается Pozharnik.kz.</w:t>
      </w:r>
    </w:p>
    <w:p>
      <w:pPr>
        <w:pageBreakBefore w:val="0"/>
        <w:widowControl/>
      </w:pPr>
      <w:r>
        <w:t>Аренда действует пока продолжается сотрудничество, без заранее заданной даты окончания. Подробности доступа, демонтажа, возврата и восстановления отделки определить в договоре до публикации; не придумывать на странице штрафы, сроки уведомления и плату за демонтаж.</w:t>
      </w:r>
    </w:p>
    <w:p>
      <w:pPr>
        <w:pStyle w:val="Heading2"/>
        <w:pageBreakBefore w:val="0"/>
        <w:widowControl/>
      </w:pPr>
      <w:r>
        <w:rPr>
          <w:color w:val="000000"/>
        </w:rPr>
        <w:t>Функция сравнения</w:t>
      </w:r>
    </w:p>
    <w:p>
      <w:pPr>
        <w:pageBreakBefore w:val="0"/>
        <w:widowControl/>
      </w:pPr>
      <w:r>
        <w:t>До середины страницы разместить переключатель Покупка / Аренда и выбор пакета. По умолчанию Покупка, пакет не выбран. Пока пакет не выбран, кнопка Получить расчёт доступна, но нельзя выдавать цену PRO за цену всех вариантов. Изменение аренды не должно менять наличие ТО или Кузет.</w:t>
      </w:r>
    </w:p>
    <w:p>
      <w:pPr>
        <w:pageBreakBefore w:val="0"/>
        <w:widowControl/>
      </w:pPr>
      <w:r>
        <w:t>Показать отдельно: платёж при подключении; услуги в месяц; аренда в месяц; итог в месяц. Для неизвестной комплектации первоначальная стоимость покупки — По смете, а не 0. Аренда 20 000 ₸ — пример, не универсальный тариф. Персональные расчёты не подменять простым умножением площади.</w:t>
      </w:r>
    </w:p>
    <w:tbl>
      <w:tblPr>
        <w:tblW w:type="auto" w:w="0"/>
        <w:jc w:val="center"/>
        <w:tblLayout w:type="fixed"/>
        <w:tblLook w:firstColumn="1" w:firstRow="1" w:lastColumn="0" w:lastRow="0" w:noHBand="0" w:noVBand="1" w:val="04A0"/>
      </w:tblPr>
      <w:tblGrid>
        <w:gridCol w:w="4986"/>
        <w:gridCol w:w="4986"/>
      </w:tblGrid>
      <w:tr>
        <w:trPr>
          <w:cantSplit/>
          <w:tblHeader/>
          <w:tblHeader/>
          <w:tblHeader/>
        </w:trPr>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keepNext/>
              <w:pageBreakBefore w:val="0"/>
              <w:spacing w:after="60" w:line="252" w:lineRule="auto"/>
            </w:pPr>
            <w:r>
              <w:rPr>
                <w:b/>
                <w:color w:val="FFFFFF"/>
                <w:sz w:val="20"/>
              </w:rPr>
              <w:t>Проверка примера</w:t>
            </w:r>
          </w:p>
        </w:tc>
        <w:tc>
          <w:tcPr>
            <w:tcW w:type="dxa" w:w="55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keepNext/>
              <w:pageBreakBefore w:val="0"/>
              <w:spacing w:after="60" w:line="252" w:lineRule="auto"/>
              <w:jc w:val="center"/>
            </w:pPr>
            <w:r>
              <w:rPr>
                <w:b/>
                <w:color w:val="FFFFFF"/>
                <w:sz w:val="20"/>
              </w:rPr>
              <w:t>Результат</w:t>
            </w:r>
          </w:p>
        </w:tc>
      </w:tr>
      <w:tr>
        <w:trPr>
          <w:cantSplit/>
        </w:trPr>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pageBreakBefore w:val="0"/>
              <w:spacing w:after="60" w:line="252" w:lineRule="auto"/>
            </w:pPr>
            <w:r>
              <w:rPr>
                <w:b w:val="0"/>
                <w:color w:val="15212B"/>
                <w:sz w:val="20"/>
              </w:rPr>
              <w:t>Кузет с арендой</w:t>
            </w:r>
          </w:p>
        </w:tc>
        <w:tc>
          <w:tcPr>
            <w:tcW w:type="dxa" w:w="55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pageBreakBefore w:val="0"/>
              <w:spacing w:after="60" w:line="252" w:lineRule="auto"/>
              <w:jc w:val="center"/>
            </w:pPr>
            <w:r>
              <w:rPr>
                <w:b w:val="0"/>
                <w:color w:val="15212B"/>
                <w:sz w:val="20"/>
              </w:rPr>
              <w:t>44 000 + 20 000 = 64 000 ₸/мес.</w:t>
            </w:r>
          </w:p>
        </w:tc>
      </w:tr>
      <w:tr>
        <w:trPr>
          <w:cantSplit/>
        </w:trPr>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keepNext w:val="0"/>
              <w:pageBreakBefore w:val="0"/>
              <w:spacing w:after="60" w:line="252" w:lineRule="auto"/>
            </w:pPr>
            <w:r>
              <w:rPr>
                <w:b w:val="0"/>
                <w:color w:val="15212B"/>
                <w:sz w:val="20"/>
              </w:rPr>
              <w:t>ТО с арендой</w:t>
            </w:r>
          </w:p>
        </w:tc>
        <w:tc>
          <w:tcPr>
            <w:tcW w:type="dxa" w:w="55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keepNext w:val="0"/>
              <w:pageBreakBefore w:val="0"/>
              <w:spacing w:after="60" w:line="252" w:lineRule="auto"/>
              <w:jc w:val="center"/>
            </w:pPr>
            <w:r>
              <w:rPr>
                <w:b w:val="0"/>
                <w:color w:val="15212B"/>
                <w:sz w:val="20"/>
              </w:rPr>
              <w:t>90 000 + 20 000 = 110 000 ₸/мес.</w:t>
            </w:r>
          </w:p>
        </w:tc>
      </w:tr>
      <w:tr>
        <w:trPr>
          <w:cantSplit/>
        </w:trPr>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pageBreakBefore w:val="0"/>
              <w:spacing w:after="60" w:line="252" w:lineRule="auto"/>
            </w:pPr>
            <w:r>
              <w:rPr>
                <w:b w:val="0"/>
                <w:color w:val="15212B"/>
                <w:sz w:val="20"/>
              </w:rPr>
              <w:t>PRO с арендой</w:t>
            </w:r>
          </w:p>
        </w:tc>
        <w:tc>
          <w:tcPr>
            <w:tcW w:type="dxa" w:w="55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pageBreakBefore w:val="0"/>
              <w:spacing w:after="60" w:line="252" w:lineRule="auto"/>
              <w:jc w:val="center"/>
            </w:pPr>
            <w:r>
              <w:rPr>
                <w:b w:val="0"/>
                <w:color w:val="15212B"/>
                <w:sz w:val="20"/>
              </w:rPr>
              <w:t>134 000 + 20 000 = 154 000 ₸/мес.</w:t>
            </w:r>
          </w:p>
        </w:tc>
      </w:tr>
      <w:tr>
        <w:trPr>
          <w:cantSplit/>
        </w:trPr>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keepNext w:val="0"/>
              <w:pageBreakBefore w:val="0"/>
              <w:spacing w:after="60" w:line="252" w:lineRule="auto"/>
            </w:pPr>
            <w:r>
              <w:rPr>
                <w:b w:val="0"/>
                <w:color w:val="15212B"/>
                <w:sz w:val="20"/>
              </w:rPr>
              <w:t>Подключение PRO в аренде</w:t>
            </w:r>
          </w:p>
        </w:tc>
        <w:tc>
          <w:tcPr>
            <w:tcW w:type="dxa" w:w="55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keepNext w:val="0"/>
              <w:pageBreakBefore w:val="0"/>
              <w:spacing w:after="60" w:line="252" w:lineRule="auto"/>
              <w:jc w:val="center"/>
            </w:pPr>
            <w:r>
              <w:rPr>
                <w:b w:val="0"/>
                <w:color w:val="15212B"/>
                <w:sz w:val="20"/>
              </w:rPr>
              <w:t>240 000 ₸ за монтаж в примере</w:t>
            </w:r>
          </w:p>
        </w:tc>
      </w:tr>
      <w:tr>
        <w:trPr>
          <w:cantSplit/>
        </w:trPr>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pageBreakBefore w:val="0"/>
              <w:spacing w:after="60" w:line="252" w:lineRule="auto"/>
            </w:pPr>
            <w:r>
              <w:rPr>
                <w:b w:val="0"/>
                <w:color w:val="15212B"/>
                <w:sz w:val="20"/>
              </w:rPr>
              <w:t>Покупка комплекта из примера</w:t>
            </w:r>
          </w:p>
        </w:tc>
        <w:tc>
          <w:tcPr>
            <w:tcW w:type="dxa" w:w="55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val="0"/>
              <w:pageBreakBefore w:val="0"/>
              <w:spacing w:after="60" w:line="252" w:lineRule="auto"/>
              <w:jc w:val="center"/>
            </w:pPr>
            <w:r>
              <w:rPr>
                <w:b w:val="0"/>
                <w:color w:val="15212B"/>
                <w:sz w:val="20"/>
              </w:rPr>
              <w:t>360 000 + 240 000 + 280 000 = 880 000 ₸</w:t>
            </w:r>
          </w:p>
        </w:tc>
      </w:tr>
    </w:tbl>
    <w:p>
      <w:pPr>
        <w:pageBreakBefore w:val="0"/>
        <w:widowControl/>
      </w:pPr>
      <w:r/>
    </w:p>
    <w:p>
      <w:pPr>
        <w:pageBreakBefore w:val="0"/>
        <w:widowControl/>
      </w:pPr>
      <w:r>
        <w:t>Последняя сумма относится только к приведённому комплекту. Не копировать 880 000 ₸ и аренду 20 000 ₸ в Базовый и Расширенный как доказанную цену их различной комплектации. При смене состава пользователь видит По индивидуальному расчёту и ориентир услуг выбранного пакета.</w:t>
      </w:r>
    </w:p>
    <w:p>
      <w:pPr>
        <w:pageBreakBefore w:val="0"/>
        <w:widowControl/>
      </w:pPr>
      <w:r/>
    </w:p>
    <w:p>
      <w:pPr>
        <w:pStyle w:val="Heading1"/>
        <w:pageBreakBefore w:val="0"/>
        <w:widowControl/>
      </w:pPr>
      <w:r>
        <w:rPr>
          <w:color w:val="000000"/>
        </w:rPr>
        <w:t>5 Структура страницы и тексты</w:t>
      </w:r>
    </w:p>
    <w:p>
      <w:pPr>
        <w:pageBreakBefore w:val="0"/>
        <w:widowControl/>
      </w:pPr>
      <w:r>
        <w:t>На странице один доминирующий CTA; телефон и WhatsApp визуально вторичны. Калькулятор или короткая форма доступны не позднее третьего–четвёртого мобильного экрана. Пересекающиеся блоки ситуаций и услуг объединяются; доказательства компактны, кейс содержит до трёх согласованных фотографий, повторные галереи удаляются, FAQ в аккордеоне. Для существующей переработанной страницы сохраняется контрольный снимок и ориентир сокращения высоты 20–25%; для новой страницы применяется ранний доступ к форме, без сокращения от несуществующей базы. Основной CTA — «Получить расчёт», requested_action=calculate.</w:t>
      </w:r>
    </w:p>
    <w:p>
      <w:pPr>
        <w:pStyle w:val="Heading2"/>
        <w:pageBreakBefore w:val="0"/>
        <w:widowControl/>
      </w:pPr>
      <w:r>
        <w:rPr>
          <w:color w:val="000000"/>
        </w:rPr>
        <w:t>Первый экран</w:t>
      </w:r>
    </w:p>
    <w:p>
      <w:pPr>
        <w:pageBreakBefore w:val="0"/>
        <w:widowControl/>
      </w:pPr>
      <w:r>
        <w:t>H1: «Пожарная и охранная сигнализация для магазинов до 500 м² в Алматы». Подзаголовок: «Выберите Кузет с аварийными выездами, регулярное ТО АПС или оба решения. Оборудование можно купить или взять в аренду». Основная кнопка: «Получить расчёт для магазина». Вторичная: «Обсудить в WhatsApp». Краткая подпись: «Монтаж оплачивается отдельно. Комплектацию подбираем по объекту».</w:t>
      </w:r>
    </w:p>
    <w:p>
      <w:pPr>
        <w:pStyle w:val="Heading2"/>
        <w:pageBreakBefore w:val="0"/>
        <w:widowControl/>
      </w:pPr>
      <w:r>
        <w:rPr>
          <w:color w:val="000000"/>
        </w:rPr>
        <w:t>Порядок блоков</w:t>
      </w:r>
    </w:p>
    <w:p>
      <w:pPr>
        <w:pStyle w:val="ListBullet"/>
        <w:pageBreakBefore w:val="0"/>
        <w:widowControl/>
      </w:pPr>
      <w:r>
        <w:t>Первый экран с одним главным CTA и проверяемыми сведениями о компании.</w:t>
      </w:r>
    </w:p>
    <w:p>
      <w:pPr>
        <w:pStyle w:val="ListBullet"/>
        <w:pageBreakBefore w:val="0"/>
        <w:widowControl/>
      </w:pPr>
      <w:r>
        <w:t>Сравнение трёх пакетов и выбор Покупка / Аренда; итог расчёта до третьего или четвёртого мобильного экрана.</w:t>
      </w:r>
    </w:p>
    <w:p>
      <w:pPr>
        <w:pStyle w:val="ListBullet"/>
        <w:pageBreakBefore w:val="0"/>
        <w:widowControl/>
      </w:pPr>
      <w:r>
        <w:t>Компактное пояснение реагирования Кузет и технических выездов; цикл ТО показывать только для Расширенного и PRO.</w:t>
      </w:r>
    </w:p>
    <w:p>
      <w:pPr>
        <w:pStyle w:val="ListBullet"/>
        <w:pageBreakBefore w:val="0"/>
        <w:widowControl/>
      </w:pPr>
      <w:r>
        <w:t>Условия аренды, собственность, бесплатная замена и возврат оборудования.</w:t>
      </w:r>
    </w:p>
    <w:p>
      <w:pPr>
        <w:pStyle w:val="ListBullet"/>
        <w:pageBreakBefore w:val="0"/>
        <w:widowControl/>
      </w:pPr>
      <w:r>
        <w:t>Путь подключения: исходные данные → обследование при необходимости → смета и договор → проект и монтаж → подключение и передача документов.</w:t>
      </w:r>
    </w:p>
    <w:p>
      <w:pPr>
        <w:pStyle w:val="ListBullet"/>
        <w:pageBreakBefore w:val="0"/>
        <w:widowControl/>
      </w:pPr>
      <w:r>
        <w:t>Один медиаблок выполненных работ из трёх фотографий и трёх видео.</w:t>
      </w:r>
    </w:p>
    <w:p>
      <w:pPr>
        <w:pStyle w:val="ListBullet"/>
        <w:pageBreakBefore w:val="0"/>
        <w:widowControl/>
      </w:pPr>
      <w:r>
        <w:t>Краткий FAQ и одна единая форма персонального расчёта; глобальный подвал.</w:t>
      </w:r>
    </w:p>
    <w:p>
      <w:pPr>
        <w:pStyle w:val="Heading2"/>
        <w:pageBreakBefore w:val="0"/>
        <w:widowControl/>
      </w:pPr>
      <w:r>
        <w:rPr>
          <w:color w:val="000000"/>
        </w:rPr>
        <w:t>Документы</w:t>
      </w:r>
    </w:p>
    <w:p>
      <w:pPr>
        <w:pageBreakBefore w:val="0"/>
        <w:widowControl/>
      </w:pPr>
      <w:r>
        <w:t>Подготовить текст о стартовом комплекте: одна схема эвакуации и три журнала по одному экземпляру — противопожарных инструктажей, эксплуатации систем пожарной автоматики, учёта и технического обслуживания огнетушителей. Количество схем и формат изготовления подтвердить по объекту. Не называть журналы разрешениями и не обещать ведение документации за клиента.</w:t>
      </w:r>
    </w:p>
    <w:p>
      <w:pPr>
        <w:pageBreakBefore w:val="0"/>
        <w:widowControl/>
      </w:pPr>
      <w:r>
        <w:t>Распределение стартового комплекта по пакетам не согласовано. В макете предусмотреть место, в публичном тексте до согласования писать «Состав стартовых документов укажем в расчёте», без значков бесплатного подарка во всех пакетах.</w:t>
      </w:r>
    </w:p>
    <w:p>
      <w:pPr>
        <w:pStyle w:val="Heading2"/>
        <w:pageBreakBefore w:val="0"/>
        <w:widowControl/>
      </w:pPr>
      <w:r>
        <w:rPr>
          <w:color w:val="000000"/>
        </w:rPr>
        <w:t>Границы услуги</w:t>
      </w:r>
    </w:p>
    <w:p>
      <w:pPr>
        <w:pageBreakBefore w:val="0"/>
        <w:widowControl/>
      </w:pPr>
      <w:r>
        <w:t>Клиентский текст: «Кузет обеспечивает круглосуточный мониторинг и реагирование ГБР по тревоге. Плановое ТО АПС входит только в Расширенный и PRO». Не обещать постоянный вооружённый пост, тушение пожара силами ГБР, вызов ДЧС или нормативное время реагирования без подтверждённого порядка партнёра.</w:t>
      </w:r>
    </w:p>
    <w:p>
      <w:pPr>
        <w:pageBreakBefore w:val="0"/>
        <w:widowControl/>
      </w:pPr>
      <w:r/>
    </w:p>
    <w:p>
      <w:pPr>
        <w:pStyle w:val="Heading1"/>
        <w:pageBreakBefore w:val="0"/>
        <w:widowControl/>
      </w:pPr>
      <w:r>
        <w:rPr>
          <w:color w:val="000000"/>
        </w:rPr>
        <w:t>6 Вопросы клиента форма и SEO</w:t>
      </w:r>
    </w:p>
    <w:p>
      <w:pPr>
        <w:pStyle w:val="Heading2"/>
        <w:pageBreakBefore w:val="0"/>
        <w:widowControl/>
      </w:pPr>
      <w:r>
        <w:rPr>
          <w:color w:val="000000"/>
        </w:rPr>
        <w:t>FAQ с готовыми ответами</w:t>
      </w:r>
    </w:p>
    <w:p>
      <w:pPr>
        <w:pageBreakBefore w:val="0"/>
        <w:widowControl/>
      </w:pPr>
      <w:r>
        <w:t>Почему Расширенный дороже Базового? — В Расширенном предусмотрен регулярный цикл ТО АПС. Базовый включает Кузет и аварийные выезды; планового ТО в нём нет.</w:t>
      </w:r>
    </w:p>
    <w:p>
      <w:pPr>
        <w:pageBreakBefore w:val="0"/>
        <w:widowControl/>
      </w:pPr>
      <w:r>
        <w:t>Входит ли Кузет в Расширенный? — Нет. Для ТО АПС вместе с Кузет выберите PRO.</w:t>
      </w:r>
    </w:p>
    <w:p>
      <w:pPr>
        <w:pageBreakBefore w:val="0"/>
        <w:widowControl/>
      </w:pPr>
      <w:r>
        <w:t>Можно ли арендовать оборудование в любом пакете? — Да. Сумму аренды рассчитываем по комплектации отдельно от услуг.</w:t>
      </w:r>
    </w:p>
    <w:p>
      <w:pPr>
        <w:pageBreakBefore w:val="0"/>
        <w:widowControl/>
      </w:pPr>
      <w:r>
        <w:t>Кому принадлежит арендованное оборудование? — Pozharnik.kz. При прекращении договора оно возвращается компании.</w:t>
      </w:r>
    </w:p>
    <w:p>
      <w:pPr>
        <w:pageBreakBefore w:val="0"/>
        <w:widowControl/>
      </w:pPr>
      <w:r>
        <w:t>Что делать, если арендованный датчик вышел из строя? — Сообщить о неисправности. Замена вышедшего из строя арендованного оборудования выполняется без дополнительной оплаты.</w:t>
      </w:r>
    </w:p>
    <w:p>
      <w:pPr>
        <w:pageBreakBefore w:val="0"/>
        <w:widowControl/>
      </w:pPr>
      <w:r>
        <w:t>Нужно ли платить за проект? — При покупке проектирование входит в смету отдельной стоимостью. При аренде предоставляется без отдельной оплаты.</w:t>
      </w:r>
    </w:p>
    <w:p>
      <w:pPr>
        <w:pageBreakBefore w:val="0"/>
        <w:widowControl/>
      </w:pPr>
      <w:r>
        <w:t>Цена одинаковая для всех помещений до 500 м²? — Нет. На расчёт влияют планировка, количество помещений и устройств, условия монтажа и выбранный пакет.</w:t>
      </w:r>
    </w:p>
    <w:p>
      <w:pPr>
        <w:pStyle w:val="Heading2"/>
        <w:pageBreakBefore w:val="0"/>
        <w:widowControl/>
      </w:pPr>
      <w:r>
        <w:rPr>
          <w:color w:val="000000"/>
        </w:rPr>
        <w:t>Единая форма заявки</w:t>
      </w:r>
    </w:p>
    <w:p>
      <w:pPr>
        <w:pageBreakBefore w:val="0"/>
        <w:widowControl/>
      </w:pPr>
      <w:r>
        <w:t>Обязательны телефон, площадь и согласие на обработку данных для ответа. Имя, название организации, район или адрес, тип помещения, наличие систем и комментарий — дополнительные сведения без избыточных обязательных полей. Пакет и Покупка / Аренда сохраняются из выбора; разрешён ответ Нужна консультация. При площади более 500 м² не блокировать контакт — предложить индивидуальный расчёт.</w:t>
      </w:r>
    </w:p>
    <w:p>
      <w:pPr>
        <w:pageBreakBefore w:val="0"/>
        <w:widowControl/>
      </w:pPr>
      <w:r>
        <w:t>Показывать итог без запроса телефона. CTA прокручивает к единственной форме с учётом фиксированной шапки; не создавать копии формы. Телефон и WhatsApp доступны постоянно. Номер: +7 771 193 4976. Сообщение успеха: «Заявка принята. Свяжемся с вами, чтобы уточнить данные объекта и подготовить расчёт». Срок ответа не придумывать.</w:t>
      </w:r>
    </w:p>
    <w:p>
      <w:pPr>
        <w:pStyle w:val="Heading2"/>
        <w:pageBreakBefore w:val="0"/>
        <w:widowControl/>
      </w:pPr>
      <w:r>
        <w:rPr>
          <w:color w:val="000000"/>
        </w:rPr>
        <w:t>SEO</w:t>
      </w:r>
    </w:p>
    <w:p>
      <w:pPr>
        <w:pageBreakBefore w:val="0"/>
        <w:widowControl/>
      </w:pPr>
      <w:r>
        <w:t>URL: https://pozharnik.kz/kuzet/; canonical тот же. Настроить один канонический вариант с завершающим слешем средствами платформы; проверять фактическую нормализацию, не создавать параллельные индексируемые страницы.</w:t>
      </w:r>
    </w:p>
    <w:p>
      <w:pPr>
        <w:pageBreakBefore w:val="0"/>
        <w:widowControl/>
      </w:pPr>
      <w:r>
        <w:t>Title: «Кузет и сигнализация для магазина в Алматы | Pozharnik.kz». Description: «Пожарная и охранная сигнализация для магазинов до 500 м² в Алматы. Три пакета, покупка или аренда оборудования, Кузет и ТО АПС. Получите расчёт для вашего объекта».</w:t>
      </w:r>
    </w:p>
    <w:p>
      <w:pPr>
        <w:pageBreakBefore w:val="0"/>
        <w:widowControl/>
      </w:pPr>
      <w:r>
        <w:t>Один H1, логичные H2 и H3, Open Graph с реальным изображением. Service и данные компании в JSON-LD совпадают с видимым текстом. Не добавлять рейтинги и отзывы без подтверждения. Упоминать Кузет для магазина, сигнализацию для ритейла, аренду оборудования и ТО АПС естественно, без повторов ключевых слов.</w:t>
      </w:r>
    </w:p>
    <w:p>
      <w:pPr>
        <w:pageBreakBefore w:val="0"/>
        <w:widowControl/>
      </w:pPr>
      <w:r/>
    </w:p>
    <w:p>
      <w:pPr>
        <w:pStyle w:val="Heading2"/>
        <w:pageBreakBefore w:val="0"/>
        <w:widowControl/>
      </w:pPr>
      <w:r>
        <w:rPr>
          <w:color w:val="000000"/>
        </w:rPr>
        <w:t>7 Состав данных заявки и маршрут CRM</w:t>
      </w:r>
    </w:p>
    <w:p>
      <w:pPr>
        <w:pageBreakBefore w:val="0"/>
        <w:widowControl/>
      </w:pPr>
      <w:r>
        <w:t>Проверка формы: обязательные поля валидируются до запроса; телефон — в согласованном формате Казахстана, ошибки рядом с полем. На время отправки кнопка заблокирована, при сбое введённые данные сохраняются. Повторный клик не создаёт вторую заявку. Пустые необязательные аналитические ID не блокируют форму.</w:t>
      </w:r>
    </w:p>
    <w:p>
      <w:pPr>
        <w:pageBreakBefore w:val="0"/>
        <w:widowControl/>
      </w:pPr>
      <w:r>
        <w:t>Контекст страницы: page_url, page_path, page_title, page_type, page_name, source_page; формы: form_id, form_name, form_location. Предмет обращения — service_type; отдельное поле service не создавать. Для этой страницы service_type=kuzet_retail; requested_action=calculate. customer_type=new по умолчанию; existing — только явно обозначенная форма действующего клиента или подтверждение сервером.</w:t>
      </w:r>
    </w:p>
    <w:p>
      <w:pPr>
        <w:pageBreakBefore w:val="0"/>
        <w:widowControl/>
      </w:pPr>
      <w:r>
        <w:t>Действие CTA: requested_action, cta_location (hero, after_proof, calculator, emergency_block, final_form, sticky_mobile), cta_text. Успешная отправка: event_name, schema_version=2.1, source_system, event_id, sent_at; один event_id создаётся до запроса и сохраняется в форме, dataLayer, Cloud Run, BigQuery и CRM. Новый осмысленный запрос получает новый ID; повтор доставки сохраняет прежний.</w:t>
      </w:r>
    </w:p>
    <w:p>
      <w:pPr>
        <w:pageBreakBefore w:val="0"/>
        <w:widowControl/>
      </w:pPr>
      <w:r>
        <w:t>Атрибуция: utm_source, utm_medium, utm_campaign, utm_id, utm_content, utm_term, search_term и referrer; first_utm_*, first_gclid, first_landing_page, first_referrer, first_visit_at; last_utm_*, last_gclid, last_landing_page, last_referrer, last_visit_at. Первое касание не перезаписывать, последнее обновлять при новом внешнем размеченном заходе; внутренние переходы источник не меняют.</w:t>
      </w:r>
    </w:p>
    <w:p>
      <w:pPr>
        <w:pageBreakBefore w:val="0"/>
        <w:widowControl/>
      </w:pPr>
      <w:r>
        <w:t>Click ID: gclid, gbraid, wbraid, dclid, fbclid, yclid, gad_source — при наличии. Технический контекст: visitor_id, ga_client_id, ga_session_id, ga_session_number, device_type, os, platform, screen_resolution, browser_language, timezone, time_on_page_seconds, max_scroll_percent. ga_client_id получать gtag get с ограниченным ожиданием до 1,5 секунды; отсутствие ID при denied не блокирует запрос.</w:t>
      </w:r>
    </w:p>
    <w:p>
      <w:pPr>
        <w:pageBreakBefore w:val="0"/>
        <w:widowControl/>
      </w:pPr>
      <w:r>
        <w:t>Контактные данные и ответы формы передаются только в защищённый приёмщик и CRM. Сохранять организацию, должность, регион и назначение объекта, площадь object_area, выбранный пакет и полный результат/версию калькулятора, если применимо. Не принуждать к неизвестным ответам и не подставлять вымышленные значения. GA4 и dataLayer не получают имя, телефон, email, БИН, точный адрес, файлы и свободный текст.</w:t>
      </w:r>
    </w:p>
    <w:p>
      <w:pPr>
        <w:pageBreakBefore w:val="0"/>
        <w:widowControl/>
      </w:pPr>
      <w:r>
        <w:t>CRM: ga_client_id → UF_CRM_GA_CLIENT_ID; requested_action → UF_CRM_REQUESTED_ACTION; cta_location/cta_text → одноимённые UF_CRM поля. service_type сохраняется в исходном payload и преобразуется по утверждённой карте в категорию UF_CRM_SERVICE_TYPE; ос → UF_CRM_DEVICE_OS. Физические коды проверить по реестру, не создавать дубли полей. IP/GeoIP определять сервером только в рамках политики.</w:t>
      </w:r>
    </w:p>
    <w:p>
      <w:pPr>
        <w:pageBreakBefore w:val="0"/>
        <w:widowControl/>
      </w:pPr>
      <w:r>
        <w:t>Общий модуль аналитики подключается один раз через действующий GTM-WVGQ5BZ4 и Google tag G-K3055R6Y7X. Главная — эталон подключения. Источник конфигурации — реестр pathname в GTM; window.PZ_PAGE_CONFIG является необязательным переопределением. Для маршрута задать page_type, page_name, source_page, service_type, customer_type, form_name и form_location. Атрибуты CTA: data-requested-action, data-cta-location; формы: data-form-id, data-form-name, data-form-location. Не копировать общий код аналитики в каждую страницу.</w:t>
      </w:r>
    </w:p>
    <w:p>
      <w:pPr>
        <w:pageBreakBefore w:val="0"/>
        <w:widowControl/>
      </w:pPr>
      <w:r>
        <w:t>Один глобальный интерфейс согласия: до выбора consent_analytics, consent_ads и consent_marketing=denied; четыре сигнала Google Consent Mode v2 также denied. «Принять все» допустимо с явным перечислением аналитики, рекламы и рекламных коммуникаций; рядом равнозначная кнопка «Только необходимые» и настройки для изменения выбора. Сохранять consent_timestamp и consent_version. Обязательное согласие на обработку конкретной заявки отдельно в форме; отказ от необязательных согласий не блокирует заявку, скачивание, телефон или WhatsApp. Необязательные системы не загружать и постоянную атрибуцию не сохранять до соответствующего согласия.</w:t>
      </w:r>
    </w:p>
    <w:p>
      <w:pPr>
        <w:pageBreakBefore w:val="0"/>
        <w:widowControl/>
      </w:pPr>
      <w:r>
        <w:t>Рабочий путь коммерческой заявки: страница → прямой запрос в Cloud Run → журнал BigQuery → одна сделка в Общей воронке на стадии «Новая заявка». Первый контакт — 30 минут в рабочее время. Категория обращения не определяет воронку: координатор уточняет потребность и меняет воронку той же сделки, сохраняя исходную услугу, ID обращения и атрибуцию. Второй мост через скрытую форму Tilda не добавлять. Ошибка аналитики или Telegram не меняет успешный статус принятой заявки.</w:t>
      </w:r>
    </w:p>
    <w:p>
      <w:pPr>
        <w:pageBreakBefore w:val="0"/>
        <w:widowControl/>
      </w:pPr>
      <w:r>
        <w:t>Обследование по Кузет проводится только при необходимости. Договор можно зафиксировать без обязательного выезда; обязательные обследовательские поля не блокируют этот подтверждённый сценарий. Назначение исключения фиксирует координатор, а не браузер.</w:t>
      </w:r>
    </w:p>
    <w:p>
      <w:pPr>
        <w:pageBreakBefore w:val="0"/>
        <w:widowControl/>
      </w:pPr>
      <w:r>
        <w:t>pz_cta_click — клик по CTA, телефону или WhatsApp; передаёт requested_action, cta_location, cta_text, service_type и канал. pz_calculator_start — первое взаимодействие; pz_calculator_complete — полученный результат с calculator_id и result_band. pz_form_start — первое взаимодействие с формой; pz_form_submit — попытка; pz_form_success — только после успешного приёма фактическим сервером; pz_form_error — ошибка без PII.</w:t>
      </w:r>
    </w:p>
    <w:p>
      <w:pPr>
        <w:pageBreakBefore w:val="0"/>
        <w:widowControl/>
      </w:pPr>
      <w:r>
        <w:t>generate_lead формируется отдельным тегом GTM только из pz_form_success с тем же event_id. Клик, ошибка валидации, показ предварительного диапазона, переход на страницу результата и открытие /success/ лидом не являются. Дополнительные события используют pz_* и заранее зарегистрированную карту; не создавать параллельные старые события.</w:t>
      </w:r>
    </w:p>
    <w:p>
      <w:pPr>
        <w:pageBreakBefore w:val="0"/>
        <w:widowControl/>
      </w:pPr>
      <w:r>
        <w:t>Единственная основная конверсия Google Ads — contract_won из CRM по факту заключения договора, с фактической датой заключения. Форма, квалификация, назначение и проведение выезда, КП, счёт, оплата и завершение работ — Secondary и не включаются в цели кампании для ставок, включая custom goals. Начало обучения рекламы — после 10 уникальных подтверждённых contract_won, успешно переданных в Google Ads; промежуточные стадии в этот порог не входят.</w:t>
      </w:r>
    </w:p>
    <w:p>
      <w:pPr>
        <w:pageBreakBefore w:val="0"/>
        <w:widowControl/>
      </w:pPr>
      <w:r>
        <w:t>Договорный результат дедуплицируется по подтверждённому ID договора и типу события. Несколько объектных сделок одного договора, повтор вебхука и смена воронки не создают повторную конверсию. Отдельный договор монтажа и отдельный договор ТО учитываются отдельно с сохранением исходного обращения. Продление, допсоглашение, выезд и смена версии адаптера не являются новым привлечением автоматически. Неизвестная прибыль, MRR или value не заменяются нулём; договорный факт сохраняется независимо от готовности финансовых данных.</w:t>
      </w:r>
    </w:p>
    <w:p>
      <w:pPr>
        <w:pageBreakBefore w:val="0"/>
        <w:widowControl/>
      </w:pPr>
      <w:r>
        <w:t>Приёмка: granted/denied, desktop/mobile, повтор event_id, сбой GA4 и Telegram; одна принятая заявка — одна сделка. Проверить точный контекст страницы и значения во всех получателях. Тестовые обращения test_data=true/«TEST — НЕ ЗВОНИТЬ» исключаются из ставок и отчётов. Офлайн-импорт проверяется отдельно; правка ТЗ не подтверждает внедрение.</w:t>
      </w:r>
    </w:p>
    <w:p>
      <w:pPr>
        <w:pStyle w:val="Heading1"/>
        <w:pageBreakBefore w:val="0"/>
        <w:widowControl/>
      </w:pPr>
      <w:r>
        <w:rPr>
          <w:color w:val="000000"/>
        </w:rPr>
        <w:t>8 Приёмка и порядок выпуска</w:t>
      </w:r>
    </w:p>
    <w:p>
      <w:pPr>
        <w:pStyle w:val="ListBullet"/>
        <w:pageBreakBefore w:val="0"/>
        <w:widowControl/>
      </w:pPr>
      <w:r>
        <w:t>Тексты и таблица точно различают ТО и Кузет. PRO без аренды 134 000 ₸; с примерной арендой 154 000 ₸. Основа 59 000 ₸ не используется.</w:t>
      </w:r>
    </w:p>
    <w:p>
      <w:pPr>
        <w:pStyle w:val="ListBullet"/>
        <w:pageBreakBefore w:val="0"/>
        <w:widowControl/>
      </w:pPr>
      <w:r>
        <w:t>Аренда доступна всем пакетам; 20 000 ₸ и монтаж 240 000 ₸ маркированы как пример. Нет бесплатного перехода оборудования в собственность и скрытых обязательных платежей.</w:t>
      </w:r>
    </w:p>
    <w:p>
      <w:pPr>
        <w:pStyle w:val="ListBullet"/>
        <w:pageBreakBefore w:val="0"/>
        <w:widowControl/>
      </w:pPr>
      <w:r>
        <w:t>Покупка не показывает неизвестную стоимость проекта, оборудования или монтажа равной нулю. Переключение меняет только способ получения оборудования, а не услуги.</w:t>
      </w:r>
    </w:p>
    <w:p>
      <w:pPr>
        <w:pStyle w:val="ListBullet"/>
        <w:pageBreakBefore w:val="0"/>
        <w:widowControl/>
      </w:pPr>
      <w:r>
        <w:t>Пакет, покупка или аренда и ориентиры сохраняются в форме и поступают в CRM вместе с источником. После ошибки введённые данные остаются, повторная доставка не создаёт дубль.</w:t>
      </w:r>
    </w:p>
    <w:p>
      <w:pPr>
        <w:pStyle w:val="ListBullet"/>
        <w:pageBreakBefore w:val="0"/>
        <w:widowControl/>
      </w:pPr>
      <w:r>
        <w:t>Проверены ширины 360, 390, 768, 1024 и 1440 px, клавиатура, видимый фокус, подписи полей, доступный переключатель, отсутствие перекрытия форм шапкой и мобильным CTA.</w:t>
      </w:r>
    </w:p>
    <w:p>
      <w:pPr>
        <w:pStyle w:val="ListBullet"/>
        <w:pageBreakBefore w:val="0"/>
        <w:widowControl/>
      </w:pPr>
      <w:r>
        <w:t>Медиа реальны, три фото и три видео, превью 8:5; YouTube не загружается до клика. Нет ошибок JavaScript и битых ссылок.</w:t>
      </w:r>
    </w:p>
    <w:p>
      <w:pPr>
        <w:pStyle w:val="ListBullet"/>
        <w:pageBreakBefore w:val="0"/>
        <w:widowControl/>
      </w:pPr>
      <w:r>
        <w:t>На чистой сессии необязательные согласия denied. При отказе от аналитики заявка работает; cookies и рекламные коммуникации не включаются скрыто.</w:t>
      </w:r>
    </w:p>
    <w:p>
      <w:pPr>
        <w:pStyle w:val="ListBullet"/>
        <w:pageBreakBefore w:val="0"/>
        <w:widowControl/>
      </w:pPr>
      <w:r>
        <w:t>Для теста каждого пакета и каждого способа подключения найдено по одной корректной заявке в Общей воронке. Зафиксированы event_id и сохранённая атрибуция. Проверки Ads оформлены отдельно, без фиктивного договора в рабочем кабинете.</w:t>
      </w:r>
    </w:p>
    <w:p>
      <w:pPr>
        <w:pStyle w:val="ListBullet"/>
        <w:pageBreakBefore w:val="0"/>
        <w:widowControl/>
      </w:pPr>
      <w:r>
        <w:t>Ссылки из /uslugi/, /montazh/, /obsluzhivanie/ и /pakety/ направляют на /kuzet/; основная линейка Контроль / Защита / Премиум сохраняется.</w:t>
      </w:r>
    </w:p>
    <w:p>
      <w:pPr>
        <w:pStyle w:val="ListBullet"/>
        <w:pageBreakBefore w:val="0"/>
        <w:widowControl/>
      </w:pPr>
      <w:r>
        <w:t>Проверены занятость URL, прежние страницы Кузет и карта переноса. Старые адреса не удаляются автоматически.</w:t>
      </w:r>
    </w:p>
    <w:p>
      <w:pPr>
        <w:pStyle w:val="Heading2"/>
        <w:pageBreakBefore w:val="0"/>
        <w:widowControl/>
      </w:pPr>
      <w:r>
        <w:rPr>
          <w:color w:val="000000"/>
        </w:rPr>
        <w:t>Что подтвердить перед публикацией</w:t>
      </w:r>
    </w:p>
    <w:p>
      <w:pPr>
        <w:pageBreakBefore w:val="0"/>
        <w:widowControl/>
      </w:pPr>
      <w:r>
        <w:t>Подтвердить комплектации для трёх пакетов, окончательные тарифы по фактической экономике и налоговое представление цены; принадлежность стартового комплекта документов каждому пакету; договорные правила возврата и демонтажа; зону и порядок реагирования партнёра; регистрацию новых значений аналитики и единственный приёмщик Cloud Run. Эти пункты не препятствуют написанию текста и подготовке макета, но неподтверждённые обещания не публиковать.</w:t>
      </w:r>
    </w:p>
    <w:p>
      <w:pPr>
        <w:pStyle w:val="Heading2"/>
        <w:pageBreakBefore w:val="0"/>
        <w:widowControl/>
      </w:pPr>
      <w:r>
        <w:rPr>
          <w:color w:val="000000"/>
        </w:rPr>
        <w:t>Порядок работ</w:t>
      </w:r>
    </w:p>
    <w:p>
      <w:pPr>
        <w:pageBreakBefore w:val="0"/>
        <w:widowControl/>
      </w:pPr>
      <w:r>
        <w:t>1. Автор готовит текст и сравнение по этому ТЗ. 2. Дизайнер и разработчик собирают предпросмотр, единый выбор пакета и покупки либо аренды. 3. Ответственные подтверждают цены, документы и договорные условия. 4. Проверяется форма и сохранение данных в CRM. 5. Публикуется /kuzet/ и согласованные внутренние ссылки. 6. Рекламный тест в пределах существующего бюджета; результат оценивается по договору и доходности.</w:t>
      </w:r>
    </w:p>
    <w:p>
      <w:pPr>
        <w:pStyle w:val="Heading2"/>
        <w:pageBreakBefore w:val="0"/>
        <w:widowControl/>
      </w:pPr>
      <w:r>
        <w:rPr>
          <w:color w:val="000000"/>
        </w:rPr>
        <w:t>Источники</w:t>
      </w:r>
    </w:p>
    <w:p>
      <w:pPr>
        <w:pageBreakBefore w:val="0"/>
        <w:widowControl/>
      </w:pPr>
      <w:r>
        <w:t>Медиаплан v4.5 и согласованные решения владельца от 8 октября 2026 года. Репозиторий: https://github.com/alnuzh-cmyk/pozharnik-kz-site/tree/main/docs/technical-specifications. Глобальные стандарты и контракт данных перечислены в разделе 1.</w:t>
      </w:r>
    </w:p>
    <w:p>
      <w:pPr>
        <w:pageBreakBefore w:val="0"/>
        <w:widowControl/>
      </w:pPr>
      <w:r>
        <w:t>Правила пожарной безопасности РК, пункты 68–70: https://old.adilet.zan.kz/rus/docs/V2200026867. Мониторинг и аварийное реагирование не подменяют требуемое регламентное ТО; в Базовом его организация определяется отдельно.</w:t>
      </w:r>
    </w:p>
    <w:sectPr w:rsidR="00FC693F" w:rsidRPr="0006063C" w:rsidSect="00034616">
      <w:footerReference w:type="default" r:id="rId9"/>
      <w:head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Pozharnik.kz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pageBreakBefore w:val="0"/>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pageBreakBefore w:val="0"/>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pageBreakBefore w:val="0"/>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pageBreakBefore w:val="0"/>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pageBreakBefore w:val="0"/>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pageBreakBefore w:val="0"/>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