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pageBreakBefore w:val="0"/>
        <w:widowControl/>
        <w:jc w:val="left"/>
      </w:pPr>
      <w:r>
        <w:rPr>
          <w:rFonts w:ascii="Arial" w:hAnsi="Arial" w:eastAsia="Arial"/>
          <w:b/>
          <w:color w:val="000000"/>
          <w:sz w:val="44"/>
          <w:u w:val="none"/>
        </w:rPr>
        <w:t>Техническое задание на страницу Перезарядка огнетушителей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2.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>
      <w:pPr>
        <w:pageBreakBefore w:val="0"/>
        <w:widowControl/>
        <w:spacing w:after="400"/>
      </w:pPr>
      <w:r>
        <w:rPr>
          <w:rFonts w:ascii="Arial" w:hAnsi="Arial" w:eastAsia="Arial"/>
          <w:b/>
          <w:color w:val="000000"/>
          <w:sz w:val="24"/>
        </w:rPr>
        <w:t>Посадочная страница POZHARNIK.KZ для быстрого расчета и выставления счета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13"/>
        <w:gridCol w:w="4513"/>
      </w:tblGrid>
      <w:tr>
        <w:trPr>
          <w:tblHeader w:val="true"/>
          <w:tblHeader/>
          <w:tblHeader/>
        </w:trPr>
        <w:tc>
          <w:tcPr>
            <w:tcW w:type="dxa" w:w="2608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350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Версия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08.10.2026 · медиаплан 4.5</w:t>
            </w:r>
          </w:p>
        </w:tc>
      </w:tr>
      <w:tr>
        <w:tc>
          <w:tcPr>
            <w:tcW w:type="dxa" w:w="2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Целевой URL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https://pozharnik.kz/perezaryadka-ognetushiteley/</w:t>
            </w:r>
          </w:p>
        </w:tc>
      </w:tr>
      <w:tr>
        <w:tc>
          <w:tcPr>
            <w:tcW w:type="dxa" w:w="2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География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Алматы и Алматинская область</w:t>
            </w:r>
          </w:p>
        </w:tc>
      </w:tr>
      <w:tr>
        <w:tc>
          <w:tcPr>
            <w:tcW w:type="dxa" w:w="2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Этап медиаплана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Этап 2. Входные продукты; неделя 7</w:t>
            </w:r>
          </w:p>
        </w:tc>
      </w:tr>
      <w:tr>
        <w:tc>
          <w:tcPr>
            <w:tcW w:type="dxa" w:w="2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Действие страницы (Secondary)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Предварительный расчет → подтверждение количества → персональный расчет или счет</w:t>
            </w:r>
          </w:p>
        </w:tc>
      </w:tr>
      <w:tr>
        <w:tc>
          <w:tcPr>
            <w:tcW w:type="dxa" w:w="2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SLA обработки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До 2 часов после получения целевой заявки</w:t>
            </w:r>
          </w:p>
        </w:tc>
      </w:tr>
    </w:tbl>
    <w:p>
      <w:pPr>
        <w:pageBreakBefore w:val="0"/>
        <w:widowControl/>
        <w:spacing w:after="0"/>
      </w:pPr>
    </w:p>
    <w:p>
      <w:pPr>
        <w:pStyle w:val="Heading1"/>
        <w:pageBreakBefore w:val="0"/>
        <w:widowControl/>
      </w:pPr>
      <w:r>
        <w:rPr>
          <w:rFonts w:ascii="Arial" w:hAnsi="Arial" w:eastAsia="Arial"/>
          <w:b/>
          <w:color w:val="000000"/>
          <w:sz w:val="28"/>
        </w:rPr>
        <w:t>1. ЦЕЛЬ И ПОЗИЦИОНИРОВАНИЕ</w:t>
      </w:r>
    </w:p>
    <w:p>
      <w:pPr>
        <w:pStyle w:val="BodyText"/>
        <w:pageBreakBefore w:val="0"/>
        <w:widowControl/>
      </w:pPr>
      <w:r>
        <w:rPr>
          <w:rFonts w:ascii="Arial" w:hAnsi="Arial" w:eastAsia="Arial"/>
          <w:color w:val="000000"/>
          <w:sz w:val="21"/>
        </w:rPr>
        <w:t>Страница продает услугу перезарядки огнетушителей для организаций Алматы и Алматинской области. Она должна быстро квалифицировать заявку по типам и количеству огнетушителей, показать ориентировочную стоимость до запроса телефона и довести пользователя до персонального расчета или счета.</w:t>
      </w:r>
    </w:p>
    <w:p>
      <w:pPr>
        <w:pStyle w:val="BodyText"/>
        <w:pageBreakBefore w:val="0"/>
        <w:widowControl/>
      </w:pPr>
      <w:r>
        <w:rPr>
          <w:rFonts w:ascii="Arial" w:hAnsi="Arial" w:eastAsia="Arial"/>
          <w:color w:val="000000"/>
          <w:sz w:val="21"/>
        </w:rPr>
        <w:t>Роль страницы в воронке: коммерческий входной продукт с небольшим, но конкретным городским спросом. После выполнения основной задачи страница предлагает проверку остальных средств пожарной безопасности или пожарный аудит как следующий шаг, без навязывания и без смешения целей первого экрана.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9"/>
        <w:gridCol w:w="3009"/>
        <w:gridCol w:w="3009"/>
      </w:tblGrid>
      <w:tr>
        <w:trPr>
          <w:tblHeader w:val="true"/>
          <w:tblHeader/>
          <w:tblHeader/>
        </w:trPr>
        <w:tc>
          <w:tcPr>
            <w:tcW w:type="dxa" w:w="2891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Аудитория</w:t>
            </w:r>
          </w:p>
        </w:tc>
        <w:tc>
          <w:tcPr>
            <w:tcW w:type="dxa" w:w="3231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2835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Нужный результат</w:t>
            </w:r>
          </w:p>
        </w:tc>
      </w:tr>
      <w:tr>
        <w:tc>
          <w:tcPr>
            <w:tcW w:type="dxa" w:w="28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Офис, магазин, кафе, склад, производство, медицинский и другой коммерческий объект</w:t>
            </w:r>
          </w:p>
        </w:tc>
        <w:tc>
          <w:tcPr>
            <w:tcW w:type="dxa" w:w="32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Приближается срок обслуживания или неизвестна дата последней перезарядки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Понять объем, срок, логистику и получить расчет</w:t>
            </w:r>
          </w:p>
        </w:tc>
      </w:tr>
      <w:tr>
        <w:tc>
          <w:tcPr>
            <w:tcW w:type="dxa" w:w="28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Ответственный за пожарную безопасность, АХО, управляющий объектом</w:t>
            </w:r>
          </w:p>
        </w:tc>
        <w:tc>
          <w:tcPr>
            <w:tcW w:type="dxa" w:w="32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Нужно обслужить партию и оформить документы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Подтвердить номенклатуру, согласовать передачу и получить счет</w:t>
            </w:r>
          </w:p>
        </w:tc>
      </w:tr>
      <w:tr>
        <w:tc>
          <w:tcPr>
            <w:tcW w:type="dxa" w:w="28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Подрядчик или управляющая компания</w:t>
            </w:r>
          </w:p>
        </w:tc>
        <w:tc>
          <w:tcPr>
            <w:tcW w:type="dxa" w:w="323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Несколько объектов или регулярные партии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Получить понятную схему приемки, маркировки, доставки и отчетных документов</w:t>
            </w:r>
          </w:p>
        </w:tc>
      </w:tr>
    </w:tbl>
    <w:p>
      <w:pPr>
        <w:pageBreakBefore w:val="0"/>
        <w:widowControl/>
        <w:spacing w:after="0"/>
      </w:pPr>
    </w:p>
    <w:p>
      <w:pPr>
        <w:pStyle w:val="BodyText"/>
        <w:pageBreakBefore w:val="0"/>
        <w:widowControl/>
      </w:pPr>
      <w:r>
        <w:rPr>
          <w:rFonts w:ascii="Arial" w:hAnsi="Arial" w:eastAsia="Arial"/>
          <w:color w:val="000000"/>
          <w:sz w:val="21"/>
        </w:rPr>
        <w:t>Тон: деловой, конкретный, спокойный. Не использовать стоковые фотографии, неподтвержденные цифры, фиктивные сертификаты, обещания отсутствия штрафов, гарантированного результата или обязательного выезда специалиста, если это не подтверждено условиями услуги.</w:t>
      </w:r>
    </w:p>
    <w:p>
      <w:pPr>
        <w:pStyle w:val="Heading1"/>
        <w:pageBreakBefore w:val="0"/>
        <w:widowControl/>
      </w:pPr>
      <w:r>
        <w:rPr>
          <w:rFonts w:ascii="Arial" w:hAnsi="Arial" w:eastAsia="Arial"/>
          <w:b/>
          <w:color w:val="000000"/>
          <w:sz w:val="28"/>
        </w:rPr>
        <w:t>2. ВИЗУАЛЬНАЯ СИСТЕМА</w:t>
      </w:r>
    </w:p>
    <w:p>
      <w:pPr>
        <w:pStyle w:val="BodyText"/>
        <w:pageBreakBefore w:val="0"/>
        <w:widowControl/>
      </w:pPr>
      <w:r>
        <w:rPr>
          <w:rFonts w:ascii="Arial" w:hAnsi="Arial" w:eastAsia="Arial"/>
          <w:color w:val="000000"/>
          <w:sz w:val="21"/>
        </w:rPr>
        <w:t>Использовать Industrial B2B / Engineering стиль из шаблона POZHARNIK.KZ.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13"/>
        <w:gridCol w:w="4513"/>
      </w:tblGrid>
      <w:tr>
        <w:trPr>
          <w:tblHeader w:val="true"/>
          <w:tblHeader/>
          <w:tblHeader/>
        </w:trPr>
        <w:tc>
          <w:tcPr>
            <w:tcW w:type="dxa" w:w="4252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4706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2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Основной текст</w:t>
            </w:r>
          </w:p>
        </w:tc>
        <w:tc>
          <w:tcPr>
            <w:tcW w:type="dxa" w:w="470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#15212b</w:t>
            </w:r>
          </w:p>
        </w:tc>
      </w:tr>
      <w:tr>
        <w:tc>
          <w:tcPr>
            <w:tcW w:type="dxa" w:w="42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Вторичный текст</w:t>
            </w:r>
          </w:p>
        </w:tc>
        <w:tc>
          <w:tcPr>
            <w:tcW w:type="dxa" w:w="470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#697984</w:t>
            </w:r>
          </w:p>
        </w:tc>
      </w:tr>
      <w:tr>
        <w:tc>
          <w:tcPr>
            <w:tcW w:type="dxa" w:w="42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Основная кнопка</w:t>
            </w:r>
          </w:p>
        </w:tc>
        <w:tc>
          <w:tcPr>
            <w:tcW w:type="dxa" w:w="470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#e54132</w:t>
            </w:r>
          </w:p>
        </w:tc>
      </w:tr>
      <w:tr>
        <w:tc>
          <w:tcPr>
            <w:tcW w:type="dxa" w:w="42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Hover CTA</w:t>
            </w:r>
          </w:p>
        </w:tc>
        <w:tc>
          <w:tcPr>
            <w:tcW w:type="dxa" w:w="470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#bd2f25</w:t>
            </w:r>
          </w:p>
        </w:tc>
      </w:tr>
      <w:tr>
        <w:tc>
          <w:tcPr>
            <w:tcW w:type="dxa" w:w="42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Инженерный синий</w:t>
            </w:r>
          </w:p>
        </w:tc>
        <w:tc>
          <w:tcPr>
            <w:tcW w:type="dxa" w:w="470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#14364b</w:t>
            </w:r>
          </w:p>
        </w:tc>
      </w:tr>
      <w:tr>
        <w:tc>
          <w:tcPr>
            <w:tcW w:type="dxa" w:w="42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Фон секций</w:t>
            </w:r>
          </w:p>
        </w:tc>
        <w:tc>
          <w:tcPr>
            <w:tcW w:type="dxa" w:w="470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#f5f7f6</w:t>
            </w:r>
          </w:p>
        </w:tc>
      </w:tr>
      <w:tr>
        <w:tc>
          <w:tcPr>
            <w:tcW w:type="dxa" w:w="42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Белый</w:t>
            </w:r>
          </w:p>
        </w:tc>
        <w:tc>
          <w:tcPr>
            <w:tcW w:type="dxa" w:w="470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#ffffff</w:t>
            </w:r>
          </w:p>
        </w:tc>
      </w:tr>
      <w:tr>
        <w:tc>
          <w:tcPr>
            <w:tcW w:type="dxa" w:w="42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Границы</w:t>
            </w:r>
          </w:p>
        </w:tc>
        <w:tc>
          <w:tcPr>
            <w:tcW w:type="dxa" w:w="470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#dfe6e8</w:t>
            </w:r>
          </w:p>
        </w:tc>
      </w:tr>
      <w:tr>
        <w:tc>
          <w:tcPr>
            <w:tcW w:type="dxa" w:w="42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Светлый акцент</w:t>
            </w:r>
          </w:p>
        </w:tc>
        <w:tc>
          <w:tcPr>
            <w:tcW w:type="dxa" w:w="470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#ffc7bd</w:t>
            </w:r>
          </w:p>
        </w:tc>
      </w:tr>
    </w:tbl>
    <w:p>
      <w:pPr>
        <w:pageBreakBefore w:val="0"/>
        <w:widowControl/>
        <w:spacing w:after="0"/>
      </w:pP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Контейнер около 1160 px; Arial, Helvetica, sans-serif; карточки 13 px, ключевые панели 18 px, кнопки 8 px.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Hero: linear-gradient(115deg, #112d3d 0%, #184b5d 55%, #1e596b 100%); белый H1 и текст #e4eef1; технический круговой паттерн справа; desktop-сетка 1.2fr/0.8fr.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H1 47 px desktop и 32 px mobile; H2 34 px desktop и 28 px mobile; line-height 1.08–1.16.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Красный использовать только для CTA, акцента и нумерации. Светлые секции чередовать с белыми.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Форма Hero — белая карточка 18 px; поля с границей #cfd9dc и радиусом 7 px.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Все стили изолировать корневым контейнером #pz-ognetushiteli-page.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Desktop: 3 карточки в ряд; до 820 px — 2; до 500 px — 1. Не допускать горизонтальной прокрутки.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Mobile: одна колонка, боковые отступы 14 px, нижняя CTA-панель с env(safe-area-inset-bottom); контент не перекрывается.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Не использовать jQuery, Bootstrap, внешние шрифты, тяжелые анимации и видео с автозвуком.</w:t>
      </w:r>
    </w:p>
    <w:p>
      <w:pPr>
        <w:pStyle w:val="Heading1"/>
        <w:pageBreakBefore w:val="0"/>
        <w:widowControl/>
      </w:pPr>
      <w:r>
        <w:rPr>
          <w:rFonts w:ascii="Arial" w:hAnsi="Arial" w:eastAsia="Arial"/>
          <w:b/>
          <w:color w:val="000000"/>
          <w:sz w:val="28"/>
        </w:rPr>
        <w:t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3.1 Первый экран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Технический отступ под глобальную шапку: --site-header-space, 88 px desktop и 64 px mobile.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Геометка: Алматы и Алматинская область.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Единственный H1: «Перезарядка огнетушителей в Алматы».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Подзаголовок: расчет по типу и количеству, согласование доставки, документы и счет для организаций.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Основная CTA: «Рассчитать стоимость» — прокрутка к быстрому калькулятору.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Запасная CTA: «Написать в WhatsApp».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Чипсы: только подтверждаемые преимущества, например «Для организаций», «Самовывоз или доставка», «Документы по согласованному перечню».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Форма экспресс-оценки: типы огнетушителей, количество, дата последней перезарядки, доставка; телефон запрашивается после показа ориентировочного результата.</w:t>
      </w: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3.2 Proof bar</w:t>
      </w:r>
    </w:p>
    <w:p>
      <w:pPr>
        <w:pStyle w:val="BodyText"/>
        <w:pageBreakBefore w:val="0"/>
        <w:widowControl/>
      </w:pPr>
      <w:r>
        <w:rPr>
          <w:rFonts w:ascii="Arial" w:hAnsi="Arial" w:eastAsia="Arial"/>
          <w:color w:val="000000"/>
          <w:sz w:val="21"/>
        </w:rPr>
        <w:t>Показать четыре фактических показателя с разделителями. Значения публиковать только после подтверждения владельцем бизнеса: обслуживаемые типы огнетушителей; минимальная партия или отсутствие минимума; реальный срок; фактическая зона доставки. До подтверждения использовать нейтральные подписи без чисел.</w:t>
      </w: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3.3 Быстрый калькулятор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9"/>
        <w:gridCol w:w="3009"/>
        <w:gridCol w:w="3009"/>
      </w:tblGrid>
      <w:tr>
        <w:trPr>
          <w:tblHeader w:val="true"/>
          <w:tblHeader/>
          <w:tblHeader/>
        </w:trPr>
        <w:tc>
          <w:tcPr>
            <w:tcW w:type="dxa" w:w="1020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2835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216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Логика</w:t>
            </w:r>
          </w:p>
        </w:tc>
      </w:tr>
      <w:tr>
        <w:tc>
          <w:tcPr>
            <w:tcW w:type="dxa" w:w="10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Типы огнетушителей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Множественный выбор из реально обслуживаемых типов; список утверждает инженер</w:t>
            </w:r>
          </w:p>
        </w:tc>
      </w:tr>
      <w:tr>
        <w:tc>
          <w:tcPr>
            <w:tcW w:type="dxa" w:w="10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Количество по каждому типу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Целое число; разрешить добавить строку; валидировать &gt; 0</w:t>
            </w:r>
          </w:p>
        </w:tc>
      </w:tr>
      <w:tr>
        <w:tc>
          <w:tcPr>
            <w:tcW w:type="dxa" w:w="10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Дата последней перезарядки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Дата / не знаю; не блокировать расчет при неизвестной дате</w:t>
            </w:r>
          </w:p>
        </w:tc>
      </w:tr>
      <w:tr>
        <w:tc>
          <w:tcPr>
            <w:tcW w:type="dxa" w:w="10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4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Логистика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Самовывоз / нужна доставка; при доставке — район или адрес после ориентировочного расчета</w:t>
            </w:r>
          </w:p>
        </w:tc>
      </w:tr>
      <w:tr>
        <w:tc>
          <w:tcPr>
            <w:tcW w:type="dxa" w:w="10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Результат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Ориентировочная вилка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Показать до запроса телефона; отдельно вывести доставку и оговорку о подтверждении номенклатуры</w:t>
            </w:r>
          </w:p>
        </w:tc>
      </w:tr>
      <w:tr>
        <w:tc>
          <w:tcPr>
            <w:tcW w:type="dxa" w:w="10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Контакт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Телефон и согласие</w:t>
            </w:r>
          </w:p>
        </w:tc>
        <w:tc>
          <w:tcPr>
            <w:tcW w:type="dxa" w:w="52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Нужны для точного расчета, счета или отправки результата</w:t>
            </w:r>
          </w:p>
        </w:tc>
      </w:tr>
    </w:tbl>
    <w:p>
      <w:pPr>
        <w:pageBreakBefore w:val="0"/>
        <w:widowControl/>
        <w:spacing w:after="0"/>
      </w:pP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Пересчет мгновенный, без перезагрузки страницы.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Кнопки результата: «Получить точный расчет», «Запросить счет», «Отправить в WhatsApp».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WhatsApp-сообщение формируется из выбранных типов, количества, даты, доставки и URL страницы; пользователь подтверждает отправку.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Обязательное событие pz_calculator_complete; дополнительно фиксировать pz_calculator_start и pz_calculator_complete для отчета медиаплана.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Отдельная страница полного калькулятора: /kalkulyatory/ognetushiteli/. Посадочная может содержать компактный встроенный сценарий и ссылку на полный расчет.</w:t>
      </w: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3.4 Проблемы и сценарии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9"/>
        <w:gridCol w:w="3009"/>
        <w:gridCol w:w="3009"/>
      </w:tblGrid>
      <w:tr>
        <w:trPr>
          <w:tblHeader w:val="true"/>
          <w:tblHeader/>
          <w:tblHeader/>
        </w:trPr>
        <w:tc>
          <w:tcPr>
            <w:tcW w:type="dxa" w:w="2268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Карточка</w:t>
            </w:r>
          </w:p>
        </w:tc>
        <w:tc>
          <w:tcPr>
            <w:tcW w:type="dxa" w:w="4479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2268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Визуальное доказательство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Истек или неизвестен срок</w:t>
            </w:r>
          </w:p>
        </w:tc>
        <w:tc>
          <w:tcPr>
            <w:tcW w:type="dxa" w:w="447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Объяснить порядок идентификации огнетушителя и уточнения даты обслуживания без утверждения нормативной периодичности в непроверенном тексте.</w:t>
            </w:r>
          </w:p>
        </w:tc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Реальное фото маркировки или бирки без персональных данных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Партия разных типов</w:t>
            </w:r>
          </w:p>
        </w:tc>
        <w:tc>
          <w:tcPr>
            <w:tcW w:type="dxa" w:w="447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Показать, что расчет ведется раздельно по типу и количеству; неподходящие позиции уточняются до выставления счета.</w:t>
            </w:r>
          </w:p>
        </w:tc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Реальная отсортированная партия на приемке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Нужна логистика и документы</w:t>
            </w:r>
          </w:p>
        </w:tc>
        <w:tc>
          <w:tcPr>
            <w:tcW w:type="dxa" w:w="447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Показать варианты самовывоза/доставки и согласованный перечень документов.</w:t>
            </w:r>
          </w:p>
        </w:tc>
        <w:tc>
          <w:tcPr>
            <w:tcW w:type="dxa" w:w="22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Фото упаковки, передачи или обезличенный образец документа</w:t>
            </w:r>
          </w:p>
        </w:tc>
      </w:tr>
    </w:tbl>
    <w:p>
      <w:pPr>
        <w:pageBreakBefore w:val="0"/>
        <w:widowControl/>
        <w:spacing w:after="0"/>
      </w:pPr>
    </w:p>
    <w:p>
      <w:pPr>
        <w:pStyle w:val="BodyText"/>
        <w:pageBreakBefore w:val="0"/>
        <w:widowControl/>
      </w:pPr>
      <w:r>
        <w:rPr>
          <w:rFonts w:ascii="Arial" w:hAnsi="Arial" w:eastAsia="Arial"/>
          <w:color w:val="000000"/>
          <w:sz w:val="21"/>
        </w:rPr>
        <w:t>Фото показывать одинаковыми компактными превью: до 360×360 px desktop и до 340×340 px mobile, object-fit: cover. Оригинал открывать в доступном модальном окне с закрытием кнопкой, по фону и Esc.</w:t>
      </w: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3.5 Состав услуги и порядок работ</w:t>
      </w:r>
    </w:p>
    <w:p>
      <w:pPr>
        <w:pStyle w:val="ListNumber"/>
        <w:pageBreakBefore w:val="0"/>
        <w:widowControl/>
        <w:ind w:left="397" w:hanging="227"/>
      </w:pPr>
      <w:r>
        <w:rPr>
          <w:rFonts w:ascii="Arial" w:hAnsi="Arial" w:eastAsia="Arial"/>
          <w:color w:val="000000"/>
          <w:sz w:val="21"/>
        </w:rPr>
        <w:t>Получение исходных данных: тип, маркировка, количество, дата последней перезарядки, адрес и потребность в доставке.</w:t>
      </w:r>
    </w:p>
    <w:p>
      <w:pPr>
        <w:pStyle w:val="ListNumber"/>
        <w:pageBreakBefore w:val="0"/>
        <w:widowControl/>
        <w:ind w:left="397" w:hanging="227"/>
      </w:pPr>
      <w:r>
        <w:rPr>
          <w:rFonts w:ascii="Arial" w:hAnsi="Arial" w:eastAsia="Arial"/>
          <w:color w:val="000000"/>
          <w:sz w:val="21"/>
        </w:rPr>
        <w:t>Предварительная группировка позиций и показ ориентировочной вилки без запроса телефона.</w:t>
      </w:r>
    </w:p>
    <w:p>
      <w:pPr>
        <w:pStyle w:val="ListNumber"/>
        <w:pageBreakBefore w:val="0"/>
        <w:widowControl/>
        <w:ind w:left="397" w:hanging="227"/>
      </w:pPr>
      <w:r>
        <w:rPr>
          <w:rFonts w:ascii="Arial" w:hAnsi="Arial" w:eastAsia="Arial"/>
          <w:color w:val="000000"/>
          <w:sz w:val="21"/>
        </w:rPr>
        <w:t>Контакт и подтверждение номенклатуры менеджером; при необходимости запрос фотографий маркировки.</w:t>
      </w:r>
    </w:p>
    <w:p>
      <w:pPr>
        <w:pStyle w:val="ListNumber"/>
        <w:pageBreakBefore w:val="0"/>
        <w:widowControl/>
        <w:ind w:left="397" w:hanging="227"/>
      </w:pPr>
      <w:r>
        <w:rPr>
          <w:rFonts w:ascii="Arial" w:hAnsi="Arial" w:eastAsia="Arial"/>
          <w:color w:val="000000"/>
          <w:sz w:val="21"/>
        </w:rPr>
        <w:t>Согласование способа передачи, срока и перечня документов.</w:t>
      </w:r>
    </w:p>
    <w:p>
      <w:pPr>
        <w:pStyle w:val="ListNumber"/>
        <w:pageBreakBefore w:val="0"/>
        <w:widowControl/>
        <w:ind w:left="397" w:hanging="227"/>
      </w:pPr>
      <w:r>
        <w:rPr>
          <w:rFonts w:ascii="Arial" w:hAnsi="Arial" w:eastAsia="Arial"/>
          <w:color w:val="000000"/>
          <w:sz w:val="21"/>
        </w:rPr>
        <w:t>Выполнение работ по утвержденной номенклатуре; непригодные или спорные позиции согласовываются отдельно.</w:t>
      </w:r>
    </w:p>
    <w:p>
      <w:pPr>
        <w:pStyle w:val="ListNumber"/>
        <w:pageBreakBefore w:val="0"/>
        <w:widowControl/>
        <w:ind w:left="397" w:hanging="227"/>
      </w:pPr>
      <w:r>
        <w:rPr>
          <w:rFonts w:ascii="Arial" w:hAnsi="Arial" w:eastAsia="Arial"/>
          <w:color w:val="000000"/>
          <w:sz w:val="21"/>
        </w:rPr>
        <w:t>Возврат партии, передача согласованных документов, фиксация результата и предложения по следующему шагу.</w:t>
      </w:r>
    </w:p>
    <w:p>
      <w:pPr>
        <w:pStyle w:val="BodyText"/>
        <w:pageBreakBefore w:val="0"/>
        <w:widowControl/>
      </w:pPr>
      <w:r>
        <w:rPr>
          <w:rFonts w:ascii="Arial" w:hAnsi="Arial" w:eastAsia="Arial"/>
          <w:color w:val="000000"/>
          <w:sz w:val="21"/>
        </w:rPr>
        <w:t>Чек-лист видимого состава услуги: приемка и идентификация; группировка по типам; согласование цены и срока; перезарядка/обслуживание в пределах подтвержденной компетенции; маркировка или пломбирование — только если реально выполняется; документы; возврат или доставка.</w:t>
      </w: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3.6 Варианты услуги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  <w:tblHeader/>
          <w:tblHeader/>
        </w:trPr>
        <w:tc>
          <w:tcPr>
            <w:tcW w:type="dxa" w:w="1417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1871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Кому подходит</w:t>
            </w:r>
          </w:p>
        </w:tc>
        <w:tc>
          <w:tcPr>
            <w:tcW w:type="dxa" w:w="2835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Состав</w:t>
            </w:r>
          </w:p>
        </w:tc>
        <w:tc>
          <w:tcPr>
            <w:tcW w:type="dxa" w:w="1871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Цена и срок</w:t>
            </w:r>
          </w:p>
        </w:tc>
        <w:tc>
          <w:tcPr>
            <w:tcW w:type="dxa" w:w="1191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141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Самовывоз</w:t>
            </w:r>
          </w:p>
        </w:tc>
        <w:tc>
          <w:tcPr>
            <w:tcW w:type="dxa" w:w="18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Небольшая партия и собственная логистика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Приемка, работы, согласованные документы, выдача</w:t>
            </w:r>
          </w:p>
        </w:tc>
        <w:tc>
          <w:tcPr>
            <w:tcW w:type="dxa" w:w="18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Показать утвержденный диапазон и срок</w:t>
            </w:r>
          </w:p>
        </w:tc>
        <w:tc>
          <w:tcPr>
            <w:tcW w:type="dxa" w:w="11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Рассчитать</w:t>
            </w:r>
          </w:p>
        </w:tc>
      </w:tr>
      <w:tr>
        <w:tc>
          <w:tcPr>
            <w:tcW w:type="dxa" w:w="141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 доставкой</w:t>
            </w:r>
          </w:p>
        </w:tc>
        <w:tc>
          <w:tcPr>
            <w:tcW w:type="dxa" w:w="18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Организациям, которым нужна логистика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Состав базового варианта + забор/возврат по согласованной зоне</w:t>
            </w:r>
          </w:p>
        </w:tc>
        <w:tc>
          <w:tcPr>
            <w:tcW w:type="dxa" w:w="18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Отдельно показать принцип расчета доставки</w:t>
            </w:r>
          </w:p>
        </w:tc>
        <w:tc>
          <w:tcPr>
            <w:tcW w:type="dxa" w:w="11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Уточнить доставку</w:t>
            </w:r>
          </w:p>
        </w:tc>
      </w:tr>
      <w:tr>
        <w:tc>
          <w:tcPr>
            <w:tcW w:type="dxa" w:w="141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Корпоративная партия</w:t>
            </w:r>
          </w:p>
        </w:tc>
        <w:tc>
          <w:tcPr>
            <w:tcW w:type="dxa" w:w="18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Несколько типов, объектов или регулярный объем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Сверка реестра, партиями, документы и персональный счет</w:t>
            </w:r>
          </w:p>
        </w:tc>
        <w:tc>
          <w:tcPr>
            <w:tcW w:type="dxa" w:w="18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Персональный расчет; не скрывать базовый принцип цены</w:t>
            </w:r>
          </w:p>
        </w:tc>
        <w:tc>
          <w:tcPr>
            <w:tcW w:type="dxa" w:w="119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Получить счет</w:t>
            </w:r>
          </w:p>
        </w:tc>
      </w:tr>
    </w:tbl>
    <w:p>
      <w:pPr>
        <w:pageBreakBefore w:val="0"/>
        <w:widowControl/>
        <w:spacing w:after="0"/>
      </w:pPr>
    </w:p>
    <w:p>
      <w:pPr>
        <w:pStyle w:val="BodyText"/>
        <w:pageBreakBefore w:val="0"/>
        <w:widowControl/>
      </w:pPr>
      <w:r>
        <w:rPr>
          <w:rFonts w:ascii="Arial" w:hAnsi="Arial" w:eastAsia="Arial"/>
          <w:color w:val="000000"/>
          <w:sz w:val="21"/>
        </w:rPr>
        <w:t>Не публиковать вымышленные цены. До разработки владелец услуги и инженер утверждают прайс или диапазоны, минимальную партию, доплаты за доставку, условия срочности и случаи отдельного расчета.</w:t>
      </w: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3.7 Сравнение вариантов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56"/>
        <w:gridCol w:w="2256"/>
        <w:gridCol w:w="2256"/>
        <w:gridCol w:w="2256"/>
      </w:tblGrid>
      <w:tr>
        <w:trPr>
          <w:tblHeader w:val="true"/>
          <w:tblHeader/>
          <w:tblHeader/>
        </w:trPr>
        <w:tc>
          <w:tcPr>
            <w:tcW w:type="dxa" w:w="2721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098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Самовывоз</w:t>
            </w:r>
          </w:p>
        </w:tc>
        <w:tc>
          <w:tcPr>
            <w:tcW w:type="dxa" w:w="2098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 доставкой</w:t>
            </w:r>
          </w:p>
        </w:tc>
        <w:tc>
          <w:tcPr>
            <w:tcW w:type="dxa" w:w="2324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Корпоративная партия</w:t>
            </w:r>
          </w:p>
        </w:tc>
      </w:tr>
      <w:tr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Предварительная цена на странице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Да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Да + доставка</w:t>
            </w:r>
          </w:p>
        </w:tc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Базовый принцип + расчет</w:t>
            </w:r>
          </w:p>
        </w:tc>
      </w:tr>
      <w:tr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Забор и возврат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Нет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Да, по зоне</w:t>
            </w:r>
          </w:p>
        </w:tc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 согласованному графику</w:t>
            </w:r>
          </w:p>
        </w:tc>
      </w:tr>
      <w:tr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Несколько типов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Да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Да</w:t>
            </w:r>
          </w:p>
        </w:tc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Да, с реестром</w:t>
            </w:r>
          </w:p>
        </w:tc>
      </w:tr>
      <w:tr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Счет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 запросу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 запросу</w:t>
            </w:r>
          </w:p>
        </w:tc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Основной результат</w:t>
            </w:r>
          </w:p>
        </w:tc>
      </w:tr>
      <w:tr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Кросс-аудит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Опционально</w:t>
            </w:r>
          </w:p>
        </w:tc>
        <w:tc>
          <w:tcPr>
            <w:tcW w:type="dxa" w:w="209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Опционально</w:t>
            </w:r>
          </w:p>
        </w:tc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Рекомендуемый следующий шаг</w:t>
            </w:r>
          </w:p>
        </w:tc>
      </w:tr>
    </w:tbl>
    <w:p>
      <w:pPr>
        <w:pageBreakBefore w:val="0"/>
        <w:widowControl/>
        <w:spacing w:after="0"/>
      </w:pP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3.8 Что фиксируется до начала работ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Номенклатура, типы и количество огнетушителей.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Цена или принцип расчета, доставка и дополнительные работы.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Срок и способ передачи партии.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Перечень выдаваемых документов и маркировки.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Порядок согласования непригодных, поврежденных или неидентифицированных позиций.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Границы ответственности и контактные лица.</w:t>
      </w: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3.9 Реальные работы и документы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до трёх согласованных фотографий JPG/WebP: приемка, сортировка, рабочий процесс, маркировка, готовая партия, передача/доставка.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К каждой фотографии: техническая подпись, корректный alt, loading="lazy", decoding="async", width/height при возможности.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Образцы документов — только обезличенные JPG/WebP с подписью, не PDF и не коллаж.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Если используется видео: реальное, до 20 секунд и строго менее 5 МБ; MP4/H.264, preload="metadata", playsinline, muted, controls и активная кнопка Play.</w:t>
      </w: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3.10 Кросс-аудит и внутренние ссылки</w:t>
      </w:r>
    </w:p>
    <w:p>
      <w:pPr>
        <w:pStyle w:val="BodyText"/>
        <w:pageBreakBefore w:val="0"/>
        <w:widowControl/>
      </w:pPr>
      <w:r>
        <w:rPr>
          <w:rFonts w:ascii="Arial" w:hAnsi="Arial" w:eastAsia="Arial"/>
          <w:color w:val="000000"/>
          <w:sz w:val="21"/>
        </w:rPr>
        <w:t>После расчета или в отдельном блоке предложить проверку комплектности, размещения и состояния средств пожарной безопасности на объекте. Формулировка должна описывать отдельную услугу или консультацию, а не обещать автоматическую проверку при перезарядке.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9"/>
        <w:gridCol w:w="3009"/>
        <w:gridCol w:w="3009"/>
      </w:tblGrid>
      <w:tr>
        <w:trPr>
          <w:tblHeader w:val="true"/>
          <w:tblHeader/>
          <w:tblHeader/>
        </w:trPr>
        <w:tc>
          <w:tcPr>
            <w:tcW w:type="dxa" w:w="2948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Ссылка</w:t>
            </w:r>
          </w:p>
        </w:tc>
        <w:tc>
          <w:tcPr>
            <w:tcW w:type="dxa" w:w="2948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175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Контекст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Калькулятор перезарядки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/kalkulyatory/ognetushiteli/</w:t>
            </w:r>
          </w:p>
        </w:tc>
        <w:tc>
          <w:tcPr>
            <w:tcW w:type="dxa" w:w="317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Подробный или повторный расчет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Пожарный аудит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/audit/</w:t>
            </w:r>
          </w:p>
        </w:tc>
        <w:tc>
          <w:tcPr>
            <w:tcW w:type="dxa" w:w="317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Проверка объекта как следующий шаг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Правила пожарной безопасности РК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/pravila-pb-rk/</w:t>
            </w:r>
          </w:p>
        </w:tc>
        <w:tc>
          <w:tcPr>
            <w:tcW w:type="dxa" w:w="317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Информационный контекст после инженерной проверки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Услуги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/uslugi/</w:t>
            </w:r>
          </w:p>
        </w:tc>
        <w:tc>
          <w:tcPr>
            <w:tcW w:type="dxa" w:w="317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Другие работы POZHARNIK.KZ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Контакты</w:t>
            </w:r>
          </w:p>
        </w:tc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/kontakty/</w:t>
            </w:r>
          </w:p>
        </w:tc>
        <w:tc>
          <w:tcPr>
            <w:tcW w:type="dxa" w:w="317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Телефон, WhatsApp, адрес и зона обслуживания</w:t>
            </w:r>
          </w:p>
        </w:tc>
      </w:tr>
    </w:tbl>
    <w:p>
      <w:pPr>
        <w:pageBreakBefore w:val="0"/>
        <w:widowControl/>
        <w:spacing w:after="0"/>
      </w:pP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3.11 FAQ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13"/>
        <w:gridCol w:w="4513"/>
      </w:tblGrid>
      <w:tr>
        <w:trPr>
          <w:tblHeader w:val="true"/>
          <w:tblHeader/>
          <w:tblHeader/>
        </w:trPr>
        <w:tc>
          <w:tcPr>
            <w:tcW w:type="dxa" w:w="3515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5669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Требование к ответу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Сколько стоит перезарядка огнетушителя?</w:t>
            </w:r>
          </w:p>
        </w:tc>
        <w:tc>
          <w:tcPr>
            <w:tcW w:type="dxa" w:w="56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Показать утвержденные цены или диапазоны по типам; объяснить влияние количества и доставки.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Какие огнетушители вы принимаете?</w:t>
            </w:r>
          </w:p>
        </w:tc>
        <w:tc>
          <w:tcPr>
            <w:tcW w:type="dxa" w:w="56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Перечислить только подтвержденные типы и ограничения.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Сколько времени занимает работа?</w:t>
            </w:r>
          </w:p>
        </w:tc>
        <w:tc>
          <w:tcPr>
            <w:tcW w:type="dxa" w:w="56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Указать реальный базовый срок и условия его изменения, без гарантии до приемки.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Можно ли заказать забор и доставку?</w:t>
            </w:r>
          </w:p>
        </w:tc>
        <w:tc>
          <w:tcPr>
            <w:tcW w:type="dxa" w:w="56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Описать географию, минимальные условия и принцип цены.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Какие документы выдаются?</w:t>
            </w:r>
          </w:p>
        </w:tc>
        <w:tc>
          <w:tcPr>
            <w:tcW w:type="dxa" w:w="56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Привести утвержденный перечень и уточнить, что он зависит от фактического состава услуги.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Что делать с поврежденным или непригодным огнетушителем?</w:t>
            </w:r>
          </w:p>
        </w:tc>
        <w:tc>
          <w:tcPr>
            <w:tcW w:type="dxa" w:w="56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Объяснить отдельное согласование без дистанционной диагностики и неподтвержденных обещаний.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Можно ли получить счет до передачи партии?</w:t>
            </w:r>
          </w:p>
        </w:tc>
        <w:tc>
          <w:tcPr>
            <w:tcW w:type="dxa" w:w="56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Да — после подтверждения типа, количества и логистики; описать необходимые реквизиты.</w:t>
            </w:r>
          </w:p>
        </w:tc>
      </w:tr>
    </w:tbl>
    <w:p>
      <w:pPr>
        <w:pageBreakBefore w:val="0"/>
        <w:widowControl/>
        <w:spacing w:after="0"/>
      </w:pPr>
    </w:p>
    <w:p>
      <w:pPr>
        <w:pStyle w:val="BodyText"/>
        <w:pageBreakBefore w:val="0"/>
        <w:widowControl/>
      </w:pPr>
      <w:r>
        <w:rPr>
          <w:rFonts w:ascii="Arial" w:hAnsi="Arial" w:eastAsia="Arial"/>
          <w:color w:val="000000"/>
          <w:sz w:val="21"/>
        </w:rPr>
        <w:t>Реализация FAQ: &lt;details&gt;/&lt;summary&gt;. Ответы с нормативными утверждениями проверяет пожарный инженер; на странице указываются дата актуализации и автор проверки.</w:t>
      </w: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3.12 Финальный CTA и футер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Финальный H2: «Получите расчет по вашей партии огнетушителей».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Форма: организация, имя, телефон, типы и количество, доставка, комментарий, согласие.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После отправки: конкретное сообщение «Менеджер подтвердит количество и свяжется 30 минут в рабочее время» — использовать только при утвержденном SLA.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Футер: телефон, WhatsApp, адрес, режим работы, /privacy/, /terms/, /uslugi/, /audit/ и /kontakty/.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Мобильная панель: «Позвонить» и «WhatsApp»; политика конфиденциальности открывается доступным модальным окном или отдельной страницей.</w:t>
      </w:r>
    </w:p>
    <w:p>
      <w:pPr>
        <w:pStyle w:val="Heading1"/>
        <w:pageBreakBefore w:val="0"/>
        <w:widowControl/>
      </w:pPr>
      <w:r>
        <w:rPr>
          <w:rFonts w:ascii="Arial" w:hAnsi="Arial" w:eastAsia="Arial"/>
          <w:b/>
          <w:color w:val="000000"/>
          <w:sz w:val="28"/>
        </w:rPr>
        <w:t>4. SEO И СЕМАНТИКА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513"/>
        <w:gridCol w:w="4513"/>
      </w:tblGrid>
      <w:tr>
        <w:trPr>
          <w:tblHeader w:val="true"/>
          <w:tblHeader/>
          <w:tblHeader/>
        </w:trPr>
        <w:tc>
          <w:tcPr>
            <w:tcW w:type="dxa" w:w="2381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803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Title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Перезарядка огнетушителей в Алматы | Pozharnik.kz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Description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Перезарядка огнетушителей для организаций в Алматы: расчет по типу и количеству, доставка, документы и счет. Получите предварительную стоимость.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Canonical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https://pozharnik.kz/perezaryadka-ognetushiteley/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H1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Перезарядка огнетушителей в Алматы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Основной кластер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перезарядка огнетушителей алматы; заправка огнетушителей алматы; цена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Намерение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Коммерческое</w:t>
            </w:r>
          </w:p>
        </w:tc>
      </w:tr>
    </w:tbl>
    <w:p>
      <w:pPr>
        <w:pageBreakBefore w:val="0"/>
        <w:widowControl/>
        <w:spacing w:after="0"/>
      </w:pP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Title — не более 60–65 символов; description — 140–170 символов.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В &lt;head&gt;: canonical, og:type, og:locale, og:title, og:description, og:url, og:image, favicon и apple-touch-icon.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Один H1; логичная иерархия H2/H3; использовать main, section, article, figure, figcaption, details.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JSON-LD: LocalBusiness, Service и FAQPage. Адрес, телефон, зона обслуживания, цена/offer и ответы должны совпадать с видимым текстом.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Не создавать отдельные тонкие страницы под «заправка» и «перезарядка»: одна сильная страница закрывает близкие формулировки.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Добавить дату актуализации и имя/роль пожарного инженера, проверившего технические и нормативные утверждения.</w:t>
      </w:r>
    </w:p>
    <w:p>
      <w:pPr>
        <w:pStyle w:val="Heading1"/>
        <w:pageBreakBefore w:val="0"/>
        <w:widowControl/>
      </w:pPr>
      <w:r>
        <w:rPr>
          <w:rFonts w:ascii="Arial" w:hAnsi="Arial" w:eastAsia="Arial"/>
          <w:b/>
          <w:color w:val="000000"/>
          <w:sz w:val="28"/>
        </w:rPr>
        <w:t>5. ФОРМЫ И ИНТЕГРАЦИИ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9"/>
        <w:gridCol w:w="3009"/>
        <w:gridCol w:w="3009"/>
      </w:tblGrid>
      <w:tr>
        <w:trPr>
          <w:tblHeader w:val="true"/>
          <w:tblHeader/>
          <w:tblHeader/>
        </w:trPr>
        <w:tc>
          <w:tcPr>
            <w:tcW w:type="dxa" w:w="2324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4422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Поля</w:t>
            </w:r>
          </w:p>
        </w:tc>
        <w:tc>
          <w:tcPr>
            <w:tcW w:type="dxa" w:w="2438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Экспресс-расчет в Hero</w:t>
            </w:r>
          </w:p>
        </w:tc>
        <w:tc>
          <w:tcPr>
            <w:tcW w:type="dxa" w:w="442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Типы, количество, дата последней перезарядки, доставка; затем телефон и согласие</w:t>
            </w:r>
          </w:p>
        </w:tc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Ориентировочная вилка → точный расчет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Калькулятор</w:t>
            </w:r>
          </w:p>
        </w:tc>
        <w:tc>
          <w:tcPr>
            <w:tcW w:type="dxa" w:w="442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Строки типов/количества, дата, логистика, организация, телефон, комментарий</w:t>
            </w:r>
          </w:p>
        </w:tc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Персональный расчет, WhatsApp или счет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Финальная заявка</w:t>
            </w:r>
          </w:p>
        </w:tc>
        <w:tc>
          <w:tcPr>
            <w:tcW w:type="dxa" w:w="442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Организация, имя, телефон, типы/количество, доставка, комментарий, согласие</w:t>
            </w:r>
          </w:p>
        </w:tc>
        <w:tc>
          <w:tcPr>
            <w:tcW w:type="dxa" w:w="243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Обратная связь по утвержденному SLA</w:t>
            </w:r>
          </w:p>
        </w:tc>
      </w:tr>
    </w:tbl>
    <w:p>
      <w:pPr>
        <w:pageBreakBefore w:val="0"/>
        <w:widowControl/>
        <w:spacing w:after="0"/>
      </w:pP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Все формы используют reportValidity(), требуют согласие с политикой, имеют маску +7 (7XX) XXX-XX-XX, autocomplete="tel" и inputmode="tel".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На время запроса кнопка блокируется; показываются .pz-success или .pz-error; после успеха форма очищается.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Основная заявка и аналитика независимы: ошибка аналитического endpoint не скрывает успешную заявку.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Endpoint задаются отдельными константами. Секретные токены и ключи нельзя размещать в клиентском HTML.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BigQuery: https://tilda-webhook-to-bigquery-324633937237.europe-west3.run.app; отдельный fetch с Content-Type: application/json и keepalive: true.</w:t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service_type=extinguisher_recharge;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>
      <w:pPr>
        <w:pStyle w:val="Heading1"/>
        <w:pageBreakBefore w:val="0"/>
        <w:widowControl/>
      </w:pPr>
      <w:r>
        <w:rPr>
          <w:rFonts w:ascii="Arial" w:hAnsi="Arial" w:eastAsia="Arial"/>
          <w:b/>
          <w:color w:val="000000"/>
          <w:sz w:val="28"/>
        </w:rPr>
        <w:t>8. TILDA И МЕДИА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В настройках страницы → Дополнительный HTML-код → HEAD вставить 01_HEAD_SEO.html: только метатеги, canonical, Open Graph, favicon/apple-touch-icon и при необходимости изолированные стили.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В один отдельный блок T123 вставить 02_PAGE_FULL_T123.html: замкнутая разметка, изолированный CSS, JSON-LD и JavaScript. Не разрывать HTML/style/script между блоками.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ZIP: 00_README.txt, 01_HEAD_SEO.html, 02_PAGE_FULL_T123.html и test-preview.html.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Все HTML-файлы — UTF-8; preview начинается с &lt;!doctype html&gt;, meta charset и viewport. Проверить отсутствие mojibake и символов замены.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Ограничение 20 000 символов не применять механически: проверить фактическое сохранение T123. При необходимости делить только по завершенным независимым блокам.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Медиа сначала загрузить в отдельную папку Tilda, затем подставить уникальные абсолютные HTTPS CDN-URL. Не оставлять C:\..., assets/... или media/....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Фото/документы — компактные одинаковые превью; оригинал — доступное модальное окно. PDF не встраивать; конвертировать в JPG/WebP без персональных данных.</w:t>
      </w:r>
    </w:p>
    <w:p>
      <w:pPr>
        <w:pStyle w:val="ListBullet"/>
        <w:pageBreakBefore w:val="0"/>
        <w:widowControl/>
        <w:ind w:left="369" w:hanging="198"/>
      </w:pPr>
      <w:r>
        <w:rPr>
          <w:rFonts w:ascii="Arial" w:hAnsi="Arial" w:eastAsia="Arial"/>
          <w:color w:val="000000"/>
          <w:sz w:val="21"/>
        </w:rPr>
        <w:t>Перед передачей проверить test-preview.html и опубликованный URL: стили, кодировку, CDN-медиа, Play, модальные окна, формы, телефон, аналитику, якоря и Safe Area. После изменений повторно опубликовать страницу.</w:t>
      </w:r>
    </w:p>
    <w:p>
      <w:pPr>
        <w:pStyle w:val="Heading1"/>
        <w:pageBreakBefore w:val="0"/>
        <w:widowControl/>
      </w:pPr>
      <w:r>
        <w:rPr>
          <w:rFonts w:ascii="Arial" w:hAnsi="Arial" w:eastAsia="Arial"/>
          <w:b/>
          <w:color w:val="000000"/>
          <w:sz w:val="28"/>
        </w:rPr>
        <w:t>9. ПРИЕМКА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Услуга, H1, title, description, canonical и URL совпадают с ТЗ.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Первый экран имеет одну основную цель — быстрый расчет — и запасной WhatsApp.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Ориентировочная вилка показана до запроса телефона.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Поля расчета: типы, количество, дата последней перезарядки и доставка.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На странице есть утвержденные цены или диапазоны, срок, доставка, документы и блок кросс-аудита.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Все цены, сроки, типы, документы и фактические показатели подтверждены владельцем услуги и инженером.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Нет неподтвержденных обещаний и нормативных утверждений без инженерной проверки.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Все обязательные блоки присутствуют; один H1 и корректная иерархия H2/H3.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Все изображения имеют alt, подписи, размеры и абсолютные HTTPS CDN-пути Tilda.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Фото показаны одинаковыми превью и открываются полностью в модальном окне; закрытие работает по кнопке, фону и Esc.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Видео, если есть, запускается кнопкой Play на desktop, Android и iPhone/Safari, не превышает 20 секунд и весит строго менее 5 МБ.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Калькулятор пересчитывает результат без перезагрузки и корректно формирует WhatsApp-сообщение.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Формы валидируют телефон и согласие; заявка приходит в webhook/Telegram/CRM.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BigQuery получает расширенный payload; ошибка аналитики не маскирует успешную заявку.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Сохраняются UTM, click ID, first/last attribution, session ID и доступные CRM/коллтрекинг ID.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GA clientId передается в UF_CRM_GA_CLIENT_ID; тестовый лид проходит по цепочке страница → CRM → расчет/счет.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События pz_calculator_start, pz_calculator_complete, pz_calculator_complete, generate_lead и ошибки проверены в отладчике.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Проверены мобильные отступы, Safe Area, якоря, формы, CTA, Esc и отсутствие горизонтальной прокрутки.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Файлы сохранены в UTF-8; русский текст проверен локально и после публикации.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Полный T123 сохранился без обрезания и незакрытых тегов; ZIP содержит README, HEAD, полный T123 и preview.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CORS и HTTPS проверены для всех endpoint; секретов в клиентском коде нет.</w:t>
      </w:r>
    </w:p>
    <w:p>
      <w:pPr>
        <w:pStyle w:val="BodyText"/>
        <w:pageBreakBefore w:val="0"/>
        <w:widowControl/>
        <w:ind w:left="369" w:firstLine="0"/>
      </w:pPr>
      <w:r>
        <w:rPr>
          <w:rFonts w:ascii="Arial" w:hAnsi="Arial" w:eastAsia="Arial"/>
          <w:color w:val="000000"/>
          <w:sz w:val="21"/>
        </w:rPr>
        <w:t>☐ Страница опубликована, звонок отслеживается, UTM и категория «Отдельная услуга» попадают в CRM, отправленный расчет/счет фиксируется.</w:t>
      </w:r>
    </w:p>
    <w:p>
      <w:pPr>
        <w:pStyle w:val="Heading2"/>
        <w:pageBreakBefore w:val="0"/>
        <w:widowControl/>
      </w:pPr>
      <w:r>
        <w:rPr>
          <w:rFonts w:ascii="Arial" w:hAnsi="Arial" w:eastAsia="Arial"/>
          <w:b/>
          <w:color w:val="000000"/>
          <w:sz w:val="23"/>
        </w:rPr>
        <w:t>9.1 Материалы до старта разработки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9"/>
        <w:gridCol w:w="3009"/>
        <w:gridCol w:w="3009"/>
      </w:tblGrid>
      <w:tr>
        <w:trPr>
          <w:tblHeader w:val="true"/>
          <w:tblHeader/>
          <w:tblHeader/>
        </w:trPr>
        <w:tc>
          <w:tcPr>
            <w:tcW w:type="dxa" w:w="4309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Материал</w:t>
            </w:r>
          </w:p>
        </w:tc>
        <w:tc>
          <w:tcPr>
            <w:tcW w:type="dxa" w:w="2721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Ответственный</w:t>
            </w:r>
          </w:p>
        </w:tc>
        <w:tc>
          <w:tcPr>
            <w:tcW w:type="dxa" w:w="2154"/>
            <w:vAlign w:val="center"/>
            <w:shd w:fill="1436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/>
              <w:pageBreakBefore w:val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Статус до верстки</w:t>
            </w:r>
          </w:p>
        </w:tc>
      </w:tr>
      <w:tr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Прайс/диапазоны по типам, минимальная партия, доставка и срочность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Руководитель + продажи + инженер</w:t>
            </w:r>
          </w:p>
        </w:tc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Утвердить</w:t>
            </w:r>
          </w:p>
        </w:tc>
      </w:tr>
      <w:tr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Перечень обслуживаемых типов и технические ограничения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Пожарный инженер</w:t>
            </w:r>
          </w:p>
        </w:tc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Утвердить</w:t>
            </w:r>
          </w:p>
        </w:tc>
      </w:tr>
      <w:tr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Реальные сроки и SLA ответа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Продажи + производство</w:t>
            </w:r>
          </w:p>
        </w:tc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Утвердить</w:t>
            </w:r>
          </w:p>
        </w:tc>
      </w:tr>
      <w:tr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Перечень выдаваемых документов и образцы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Инженер + юрист/руководитель</w:t>
            </w:r>
          </w:p>
        </w:tc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Подготовить и обезличить</w:t>
            </w:r>
          </w:p>
        </w:tc>
      </w:tr>
      <w:tr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до трёх согласованных фотографий и при необходимости видео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Маркетинг + инженер</w:t>
            </w:r>
          </w:p>
        </w:tc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Отобрать и подписать</w:t>
            </w:r>
          </w:p>
        </w:tc>
      </w:tr>
      <w:tr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Реквизиты, телефон, WhatsApp, адрес, режим работы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Руководитель</w:t>
            </w:r>
          </w:p>
        </w:tc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6"/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Проверить</w:t>
            </w:r>
          </w:p>
        </w:tc>
      </w:tr>
      <w:tr>
        <w:tc>
          <w:tcPr>
            <w:tcW w:type="dxa" w:w="430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Endpoint, Bitrix24-поля, GA4/Яндекс.Метрика и коллтрекинг</w:t>
            </w:r>
          </w:p>
        </w:tc>
        <w:tc>
          <w:tcPr>
            <w:tcW w:type="dxa" w:w="272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Разработчик + CRM</w:t>
            </w:r>
          </w:p>
        </w:tc>
        <w:tc>
          <w:tcPr>
            <w:tcW w:type="dxa" w:w="215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pageBreakBefore w:val="0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Настроить и протестировать</w:t>
            </w:r>
          </w:p>
        </w:tc>
      </w:tr>
    </w:tbl>
    <w:p>
      <w:pPr>
        <w:pageBreakBefore w:val="0"/>
        <w:widowControl/>
        <w:spacing w:after="0"/>
      </w:pPr>
    </w:p>
    <w:sectPr>
      <w:headerReference w:type="default" r:id="rId6"/>
      <w:footerReference w:type="default" r:id="rId7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120" w:before="280" w:lineRule="auto"/>
    </w:pPr>
    <w:rPr>
      <w:rFonts w:ascii="Arial" w:hAnsi="Arial"/>
      <w:b/>
      <w:color w:val="000000"/>
      <w:sz w:val="28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120" w:before="180" w:lineRule="auto"/>
    </w:pPr>
    <w:rPr>
      <w:rFonts w:ascii="Arial" w:hAnsi="Arial"/>
      <w:b/>
      <w:bCs w:val="0"/>
      <w:color w:val="000000"/>
      <w:sz w:val="23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80" w:before="0" w:lineRule="auto"/>
    </w:pPr>
    <w:rPr>
      <w:rFonts w:ascii="Arial" w:hAnsi="Arial"/>
      <w:b/>
      <w:color w:val="000000"/>
      <w:sz w:val="44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BodyText">
    <w:name w:val="Body Text"/>
    <w:pPr>
      <w:spacing w:after="100" w:line="259" w:lineRule="auto"/>
    </w:pPr>
    <w:rPr>
      <w:rFonts w:ascii="Arial" w:hAnsi="Arial"/>
      <w:color w:val="000000"/>
      <w:sz w:val="21"/>
    </w:rPr>
  </w:style>
  <w:style w:type="paragraph" w:customStyle="1" w:styleId="ListBullet">
    <w:name w:val="List Bullet"/>
    <w:pPr>
      <w:spacing w:after="100" w:line="259" w:lineRule="auto"/>
    </w:pPr>
    <w:rPr>
      <w:rFonts w:ascii="Arial" w:hAnsi="Arial"/>
      <w:color w:val="000000"/>
      <w:sz w:val="21"/>
    </w:rPr>
  </w:style>
  <w:style w:type="paragraph" w:customStyle="1" w:styleId="ListNumber">
    <w:name w:val="List Number"/>
    <w:pPr>
      <w:spacing w:after="100" w:line="259" w:lineRule="auto"/>
    </w:pPr>
    <w:rPr>
      <w:rFonts w:ascii="Arial" w:hAnsi="Arial"/>
      <w:color w:val="000000"/>
      <w:sz w:val="21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