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AB2031" w14:textId="77777777" w:rsidR="001B682C" w:rsidRPr="001B682C" w:rsidRDefault="001B682C" w:rsidP="001B682C">
      <w:pPr>
        <w:pStyle w:val="Title"/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u w:val="none"/>
          <w:lang w:eastAsia="ru-RU"/>
        </w:rPr>
        <w:t>ТЕХНИЧЕСКОЕ ЗАДАНИЕ</w:t>
      </w:r>
    </w:p>
    <w:p>
      <w:pPr>
        <w:pageBreakBefore w:val="0"/>
        <w:widowControl/>
      </w:pPr>
      <w:r>
        <w:t>Редакция от 8 октября 2026 года по медиаплану 4.5. Этап 7. Технические основания: аналитика 1.7, Bitrix24 1.28, Google Ads 1.5, контракт данных 1.7. Данный документ задаёт требования; внедрение принимается отдельно.</w:t>
      </w:r>
    </w:p>
    <w:p w14:paraId="58FED7EF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Коммерческая страница POZHARNIK.KZ — «Модернизация АПС»</w:t>
      </w:r>
    </w:p>
    <w:p w14:paraId="43AEC776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0C8C0F7D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Версия: 08.10.2026 · медиаплан 4.5</w:t>
      </w:r>
    </w:p>
    <w:p w14:paraId="743AF42A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Целевой URL: https://pozharnik.kz/modernizaciya/</w:t>
      </w:r>
    </w:p>
    <w:p w14:paraId="14B5F396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География услуги: Алматы и Алматинская область</w:t>
      </w:r>
    </w:p>
    <w:p w14:paraId="234E6C94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3B36BEB0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1. ЦЕЛЬ И ПОЗИЦИОНИРОВАНИЕ</w:t>
      </w:r>
    </w:p>
    <w:p w14:paraId="3E3E46D2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06F8D660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Создать SEO-страницу услуги «Модернизация АПС» на основе этапа 7 медиаплана. Задача страницы — объяснить применимость и результат услуги, собрать достаточные исходные данные и привести к целевому действию «Выезд».</w:t>
      </w:r>
    </w:p>
    <w:p w14:paraId="1344C5E5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7AC1020B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Не выдавать предварительную онлайн-оценку за проект, испытание, измерение, юридическое заключение или подтверждение соответствия. Не публиковать универсальные сроки, периодичность, нагрузки, состав работ либо нормативные выводы без проверки объекта и действующей редакции источников.</w:t>
      </w:r>
    </w:p>
    <w:p w14:paraId="59784CDE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20156196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2. ВИЗУАЛЬНАЯ СИСТЕМА</w:t>
      </w:r>
    </w:p>
    <w:p w14:paraId="6F4D68DE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54C2A74D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val="en-US"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Использовать</w:t>
      </w:r>
      <w:r w:rsidRPr="001B682C">
        <w:rPr>
          <w:rFonts w:ascii="Arial" w:eastAsia="Times New Roman" w:hAnsi="Arial" w:cs="Arial"/>
          <w:color w:val="000000"/>
          <w:lang w:val="en-US" w:eastAsia="ru-RU"/>
        </w:rPr>
        <w:t xml:space="preserve"> Industrial B2B / Engineering </w:t>
      </w:r>
      <w:r w:rsidRPr="001B682C">
        <w:rPr>
          <w:rFonts w:ascii="Arial" w:eastAsia="Times New Roman" w:hAnsi="Arial" w:cs="Arial"/>
          <w:color w:val="000000"/>
          <w:lang w:eastAsia="ru-RU"/>
        </w:rPr>
        <w:t>стиль</w:t>
      </w:r>
      <w:r w:rsidRPr="001B682C">
        <w:rPr>
          <w:rFonts w:ascii="Arial" w:eastAsia="Times New Roman" w:hAnsi="Arial" w:cs="Arial"/>
          <w:color w:val="000000"/>
          <w:lang w:val="en-US" w:eastAsia="ru-RU"/>
        </w:rPr>
        <w:t>:</w:t>
      </w:r>
    </w:p>
    <w:p w14:paraId="4A99297C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val="en-US" w:eastAsia="ru-RU"/>
        </w:rPr>
      </w:pPr>
    </w:p>
    <w:p w14:paraId="7CB2683E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основной текст: #15212b;</w:t>
      </w:r>
    </w:p>
    <w:p w14:paraId="63560982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muted-текст: #697984;</w:t>
      </w:r>
    </w:p>
    <w:p w14:paraId="76B7AB25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основная кнопка: #e54132;</w:t>
      </w:r>
    </w:p>
    <w:p w14:paraId="7F2DB25C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hover: #bd2f25;</w:t>
      </w:r>
    </w:p>
    <w:p w14:paraId="17206072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инженерный синий: #14364b;</w:t>
      </w:r>
    </w:p>
    <w:p w14:paraId="5020B3FB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фон секций: #f5f7f6;</w:t>
      </w:r>
    </w:p>
    <w:p w14:paraId="11A5715D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белый: #ffffff;</w:t>
      </w:r>
    </w:p>
    <w:p w14:paraId="12FAB3B6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границы: #dfe6e8;</w:t>
      </w:r>
    </w:p>
    <w:p w14:paraId="36CD0610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светлый акцент: #ffc7bd.</w:t>
      </w:r>
    </w:p>
    <w:p w14:paraId="726E6F72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28F0ADE9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Контейнер</w:t>
      </w:r>
      <w:r w:rsidRPr="001B682C">
        <w:rPr>
          <w:rFonts w:ascii="Arial" w:eastAsia="Times New Roman" w:hAnsi="Arial" w:cs="Arial"/>
          <w:color w:val="000000"/>
          <w:lang w:val="en-US" w:eastAsia="ru-RU"/>
        </w:rPr>
        <w:t xml:space="preserve">: </w:t>
      </w:r>
      <w:r w:rsidRPr="001B682C">
        <w:rPr>
          <w:rFonts w:ascii="Arial" w:eastAsia="Times New Roman" w:hAnsi="Arial" w:cs="Arial"/>
          <w:color w:val="000000"/>
          <w:lang w:eastAsia="ru-RU"/>
        </w:rPr>
        <w:t>около</w:t>
      </w:r>
      <w:r w:rsidRPr="001B682C">
        <w:rPr>
          <w:rFonts w:ascii="Arial" w:eastAsia="Times New Roman" w:hAnsi="Arial" w:cs="Arial"/>
          <w:color w:val="000000"/>
          <w:lang w:val="en-US" w:eastAsia="ru-RU"/>
        </w:rPr>
        <w:t xml:space="preserve"> 1160px. </w:t>
      </w:r>
      <w:r w:rsidRPr="001B682C">
        <w:rPr>
          <w:rFonts w:ascii="Arial" w:eastAsia="Times New Roman" w:hAnsi="Arial" w:cs="Arial"/>
          <w:color w:val="000000"/>
          <w:lang w:eastAsia="ru-RU"/>
        </w:rPr>
        <w:t>Шрифт</w:t>
      </w:r>
      <w:r w:rsidRPr="001B682C">
        <w:rPr>
          <w:rFonts w:ascii="Arial" w:eastAsia="Times New Roman" w:hAnsi="Arial" w:cs="Arial"/>
          <w:color w:val="000000"/>
          <w:lang w:val="en-US" w:eastAsia="ru-RU"/>
        </w:rPr>
        <w:t xml:space="preserve">: Arial, Helvetica, sans-serif. </w:t>
      </w:r>
      <w:r w:rsidRPr="001B682C">
        <w:rPr>
          <w:rFonts w:ascii="Arial" w:eastAsia="Times New Roman" w:hAnsi="Arial" w:cs="Arial"/>
          <w:color w:val="000000"/>
          <w:lang w:eastAsia="ru-RU"/>
        </w:rPr>
        <w:t>Карточки — радиус 13px, ключевые панели — 18px, кнопки — 8px, hover с подъёмом на 2px.</w:t>
      </w:r>
    </w:p>
    <w:p w14:paraId="344C8C8D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0199D403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Hero: полноширинный градиент #112d3d → #1e596b, тонкий технический круговой паттерн справа, сетка desktop 1.2fr/0.8fr.</w:t>
      </w:r>
    </w:p>
    <w:p w14:paraId="056716F0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180C9332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Мобильная версия: одна колонка, отступы 14px, нижняя CTA-панель с учётом env(safe-area-inset-bottom), контент не перекрывается.</w:t>
      </w:r>
    </w:p>
    <w:p w14:paraId="3577A1DB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30B28343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Обязательные правила реализации стиля:</w:t>
      </w:r>
    </w:p>
    <w:p w14:paraId="4B626466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14CC7B3B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фон Hero: linear-gradient(115deg, #112d3d 0%, #184b5d 55%, #1e596b 100%); текст Hero — белый, основной поясняющий текст — #e4eef1;</w:t>
      </w:r>
    </w:p>
    <w:p w14:paraId="03A055DD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красный использовать только как CTA/акцент/нумерацию; не делать красным большие текстовые блоки или фон всей страницы;</w:t>
      </w:r>
    </w:p>
    <w:p w14:paraId="390AA114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светлые секции чередовать с белыми. Карточки — белые, с тонкой границей #dfe6e8 и внутренним отступом 23–36px;</w:t>
      </w:r>
    </w:p>
    <w:p w14:paraId="67D25308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H1: 47px на desktop, 32px на mobile; H2: 34px на desktop, 28px на mobile. Межстрочный интервал заголовков — 1.08–1.16;</w:t>
      </w:r>
    </w:p>
    <w:p w14:paraId="0AC840C9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форма в Hero — белая карточка с радиусом 18px, без визуального шума; поля — 1px #cfd9dc, радиус 7px;</w:t>
      </w:r>
    </w:p>
    <w:p w14:paraId="3F6A218E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иллюстрации документов — небольшими превью с границей, alt-текстом и подписью. Не размещать документы коллажем и не показывать персональные сведения;</w:t>
      </w:r>
    </w:p>
    <w:p w14:paraId="659629D0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все стили страницы изолировать корневым контейнером #pz-aps-modernization-page, чтобы они не меняли глобальные элементы Tilda;</w:t>
      </w:r>
    </w:p>
    <w:p w14:paraId="4CCEF99D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не использовать jQuery, Bootstrap, внешние шрифты, тяжёлые анимации и видео с автозвуком. Движение допустимо только для hover кнопки и раскрытия FAQ;</w:t>
      </w:r>
    </w:p>
    <w:p w14:paraId="3B4AC8D6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в desktop использовать сетки 3 карточки в ряд, на ширине до 820px — 2, до 500px — 1. Не допускать горизонтальной прокрутки.</w:t>
      </w:r>
    </w:p>
    <w:p w14:paraId="3F079A8D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30819FB3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3. ОБЯЗАТЕЛЬНАЯ СТРУКТУРА</w:t>
      </w:r>
    </w:p>
    <w:p>
      <w:pPr>
        <w:pageBreakBefore w:val="0"/>
        <w:widowControl/>
      </w:pPr>
      <w:r>
        <w:t>На странице один доминирующий CTA; телефон и WhatsApp визуально вторичны. Калькулятор или короткая форма доступны не позднее третьего–четвёртого мобильного экрана. Пересекающиеся блоки ситуаций и услуг объединяются; доказательства компактны, кейс содержит до трёх согласованных фотографий, повторные галереи удаляются, FAQ в аккордеоне. Для существующей переработанной страницы сохраняется контрольный снимок и ориентир сокращения высоты 20–25%; для новой страницы применяется ранний доступ к форме, без сокращения от несуществующей базы. Основной CTA — «Получить расчёт», requested_action=calculate.</w:t>
      </w:r>
    </w:p>
    <w:p w14:paraId="77D8678C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1FD3DBD8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1) Технический отступ под глобальную шапку: --site-header-space, desktop 88px, mobile 64px.</w:t>
      </w:r>
    </w:p>
    <w:p w14:paraId="1DA59F99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/>
    </w:p>
    <w:p w14:paraId="2DA21E89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2) Hero: H1 «Модернизация АПС»; сформулировать проблему: действующая система устарела, расширяется, часто неисправна либо не поддерживает требуемые сценарии. Основной CTA «Выезд», вторичные — звонок и WhatsApp. Короткая форма собирает объект, задачу, сроки и телефон.</w:t>
      </w:r>
    </w:p>
    <w:p w14:paraId="3F7A3D58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</w:r>
    </w:p>
    <w:p w14:paraId="0499E6CB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3) Блок «Когда нужна услуга»: раскрыть реальные ситуации пользователя без запугивания и юридических обещаний. Основа: действующая система устарела, расширяется, часто неисправна либо не поддерживает требуемые сценарии.</w:t>
      </w:r>
    </w:p>
    <w:p w14:paraId="1F37A1C3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/>
    </w:p>
    <w:p w14:paraId="211B169D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4) Нормативная рамка: Закон №188-V и техрегламент №405; приказ №55 — для эксплуатации и состояния действующей/готовой системы. Давать ссылки на официальные источники Adilet; номера пунктов, редакцию и применимость проверять перед публикацией. КоАП не использовать как источник технических требований.</w:t>
      </w:r>
    </w:p>
    <w:p w14:paraId="273F3B83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/>
    </w:p>
    <w:p w14:paraId="302EBC13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5) Исходные данные: проект и исполнительная документация; состав и возраст оборудования; производитель/модели; зоны и линии; история неисправностей; планы изменений; связанные системы; режим объекта. Если ключевых данных нет, предлагать обследование/консультацию, а не выдавать окончательный вывод.</w:t>
      </w:r>
    </w:p>
    <w:p w14:paraId="0BF1EFE9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/>
    </w:p>
    <w:p w14:paraId="5DACDE26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6) Состав услуги: обследование существующей системы; оценка совместимости; варианты сохранения, частичной замены или полной модернизации; этапность; проектные изменения; смета. Разделить обязательный объем по применимым требованиям и дополнительные опции заказчика.</w:t>
      </w:r>
    </w:p>
    <w:p w14:paraId="4BD338B0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</w:r>
    </w:p>
    <w:p w14:paraId="01A816A2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7) Интерактивный квалификатор: тип объекта, текущая ситуация, исходные документы, объем, ограничения доступа, сроки и желаемый результат. Вывод — подходящий следующий шаг и перечень данных, не автоматическое заключение о соответствии.</w:t>
      </w:r>
    </w:p>
    <w:p w14:paraId="287905BE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/>
    </w:p>
    <w:p w14:paraId="33D123EE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8) Этапы работы: заявка → уточнение безопасности и задачи → анализ документов → обследование/замеры при необходимости → предложение и расчет → выполнение → контроль результата → документы и рекомендации.</w:t>
      </w:r>
    </w:p>
    <w:p w14:paraId="795C399C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/>
    </w:p>
    <w:p w14:paraId="1D3A357B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9) Матрица «ситуация → риск → решение → подтверждающий документ». Строки сформировать только для этой услуги; не переносить обязательные требования с других видов работ.</w:t>
      </w:r>
    </w:p>
    <w:p w14:paraId="5D225F09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</w:r>
    </w:p>
    <w:p w14:paraId="0D2F6DD7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10) Результат для заказчика: отчет обследования, дефектная ведомость, варианты решения, предварительный бюджет и дорожная карта. Не обещать согласование государственным органом или гарантированное отсутствие замечаний.</w:t>
      </w:r>
    </w:p>
    <w:p w14:paraId="6F95937D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/>
    </w:p>
    <w:p w14:paraId="5109400E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11) Стоимость: показать факторы расчета, что включено/не включено, допущения и необходимость уточнения после исходных данных. Цена/диапазон не является публичной офертой; не публиковать неподтвержденные тарифы.</w:t>
      </w:r>
    </w:p>
    <w:p w14:paraId="6AEB2908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/>
    </w:p>
    <w:p w14:paraId="6C95C678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12) Документы и качество: перечислить исходные и итоговые документы, контрольные точки, роли заказчика и исполнителя, правила хранения чувствительных данных. Добавить релевантные внутренние ссылки на смежные услуги.</w:t>
      </w:r>
    </w:p>
    <w:p w14:paraId="48EBD591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/>
    </w:p>
    <w:p w14:paraId="6CAE3D4E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13) FAQ минимум 12 вопросов: когда нужна модернизация; можно ли сохранить кабели; совместимы ли разные бренды; нужна ли адресная система; обязателен ли проект; можно ли работать поэтапно; как избежать остановки; что входит в обследование; сколько длится; что влияет на цену; какие документы выдаются; кто обслуживает после работ. Ответы различают нормативный факт, инженерную оценку, договорное условие и рекомендацию.</w:t>
      </w:r>
    </w:p>
    <w:p w14:paraId="7372BA97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/>
    </w:p>
    <w:p w14:paraId="0B2163B7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14) Финальный CTA «Выезд»: форма — адрес/регион, организация, тип объекта, задача, исходные документы, объем, сроки, имя, должность, телефон, согласие. В CRM передавать страницу и выбранный сценарий.</w:t>
      </w:r>
    </w:p>
    <w:p w14:paraId="1AFB153C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/>
    </w:p>
    <w:p w14:paraId="3727473B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15) Футер: телефон, WhatsApp, режим работы, Алматы и область, политика конфиденциальности, официальные источники и релевантные услуги. Не выводить нерелевантные законы только ради SEO.</w:t>
      </w:r>
    </w:p>
    <w:p w14:paraId="78E4833D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/>
    </w:p>
    <w:p w14:paraId="0A287AB6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16) Мобильная версия: первичный CTA и важные ограничения выше длинных блоков; форма в одну колонку; матрица карточками; липкая панель не перекрывает правовые оговорки и результат.</w:t>
      </w:r>
    </w:p>
    <w:p w14:paraId="4DF84825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/>
    </w:p>
    <w:p w14:paraId="2FEFC6D7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4. SEO И СЕМАНТИКА</w:t>
      </w:r>
    </w:p>
    <w:p w14:paraId="1CABE63F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3E477F43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В &lt;head&gt; обязательно:</w:t>
      </w:r>
    </w:p>
    <w:p w14:paraId="57EA0348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4C6A4ABD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title: «Модернизация АПС — выезд» (до 60–65 символов);</w:t>
      </w:r>
    </w:p>
    <w:p w14:paraId="24C2074F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description: «Модернизация АПС: когда нужна услуга, этапы, документы и факторы стоимости. Выезд для организаций Алматы и Алматинской области.» (проверить 140–170 символов);</w:t>
      </w:r>
    </w:p>
    <w:p w14:paraId="429F2296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val="en-US" w:eastAsia="ru-RU"/>
        </w:rPr>
      </w:pPr>
      <w:r w:rsidRPr="001B682C">
        <w:rPr>
          <w:rFonts w:ascii="Arial" w:eastAsia="Times New Roman" w:hAnsi="Arial" w:cs="Arial"/>
          <w:color w:val="000000"/>
          <w:lang w:val="en-US" w:eastAsia="ru-RU"/>
        </w:rPr>
        <w:t>- canonical: https://pozharnik.kz/modernizaciya/;</w:t>
      </w:r>
    </w:p>
    <w:p w14:paraId="6DFEB9DE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val="en-US" w:eastAsia="ru-RU"/>
        </w:rPr>
      </w:pPr>
      <w:r w:rsidRPr="001B682C">
        <w:rPr>
          <w:rFonts w:ascii="Arial" w:eastAsia="Times New Roman" w:hAnsi="Arial" w:cs="Arial"/>
          <w:color w:val="000000"/>
          <w:lang w:val="en-US" w:eastAsia="ru-RU"/>
        </w:rPr>
        <w:t>- og:type, og:locale, og:title, og:description, og:url, og:image;</w:t>
      </w:r>
    </w:p>
    <w:p w14:paraId="602D70A2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val="en-US" w:eastAsia="ru-RU"/>
        </w:rPr>
      </w:pPr>
      <w:r w:rsidRPr="001B682C">
        <w:rPr>
          <w:rFonts w:ascii="Arial" w:eastAsia="Times New Roman" w:hAnsi="Arial" w:cs="Arial"/>
          <w:color w:val="000000"/>
          <w:lang w:val="en-US" w:eastAsia="ru-RU"/>
        </w:rPr>
        <w:t xml:space="preserve">- favicon </w:t>
      </w:r>
      <w:r w:rsidRPr="001B682C">
        <w:rPr>
          <w:rFonts w:ascii="Arial" w:eastAsia="Times New Roman" w:hAnsi="Arial" w:cs="Arial"/>
          <w:color w:val="000000"/>
          <w:lang w:eastAsia="ru-RU"/>
        </w:rPr>
        <w:t>и</w:t>
      </w:r>
      <w:r w:rsidRPr="001B682C">
        <w:rPr>
          <w:rFonts w:ascii="Arial" w:eastAsia="Times New Roman" w:hAnsi="Arial" w:cs="Arial"/>
          <w:color w:val="000000"/>
          <w:lang w:val="en-US" w:eastAsia="ru-RU"/>
        </w:rPr>
        <w:t xml:space="preserve"> apple-touch-icon.</w:t>
      </w:r>
    </w:p>
    <w:p w14:paraId="4A46E1C6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val="en-US" w:eastAsia="ru-RU"/>
        </w:rPr>
      </w:pPr>
    </w:p>
    <w:p w14:paraId="13EF05A6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val="en-US"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Разметка</w:t>
      </w:r>
      <w:r w:rsidRPr="001B682C">
        <w:rPr>
          <w:rFonts w:ascii="Arial" w:eastAsia="Times New Roman" w:hAnsi="Arial" w:cs="Arial"/>
          <w:color w:val="000000"/>
          <w:lang w:val="en-US" w:eastAsia="ru-RU"/>
        </w:rPr>
        <w:t xml:space="preserve">: </w:t>
      </w:r>
      <w:r w:rsidRPr="001B682C">
        <w:rPr>
          <w:rFonts w:ascii="Arial" w:eastAsia="Times New Roman" w:hAnsi="Arial" w:cs="Arial"/>
          <w:color w:val="000000"/>
          <w:lang w:eastAsia="ru-RU"/>
        </w:rPr>
        <w:t>один</w:t>
      </w:r>
      <w:r w:rsidRPr="001B682C">
        <w:rPr>
          <w:rFonts w:ascii="Arial" w:eastAsia="Times New Roman" w:hAnsi="Arial" w:cs="Arial"/>
          <w:color w:val="000000"/>
          <w:lang w:val="en-US" w:eastAsia="ru-RU"/>
        </w:rPr>
        <w:t xml:space="preserve"> H1, </w:t>
      </w:r>
      <w:r w:rsidRPr="001B682C">
        <w:rPr>
          <w:rFonts w:ascii="Arial" w:eastAsia="Times New Roman" w:hAnsi="Arial" w:cs="Arial"/>
          <w:color w:val="000000"/>
          <w:lang w:eastAsia="ru-RU"/>
        </w:rPr>
        <w:t>логичная</w:t>
      </w:r>
      <w:r w:rsidRPr="001B682C">
        <w:rPr>
          <w:rFonts w:ascii="Arial" w:eastAsia="Times New Roman" w:hAnsi="Arial" w:cs="Arial"/>
          <w:color w:val="000000"/>
          <w:lang w:val="en-US" w:eastAsia="ru-RU"/>
        </w:rPr>
        <w:t xml:space="preserve"> </w:t>
      </w:r>
      <w:r w:rsidRPr="001B682C">
        <w:rPr>
          <w:rFonts w:ascii="Arial" w:eastAsia="Times New Roman" w:hAnsi="Arial" w:cs="Arial"/>
          <w:color w:val="000000"/>
          <w:lang w:eastAsia="ru-RU"/>
        </w:rPr>
        <w:t>иерархия</w:t>
      </w:r>
      <w:r w:rsidRPr="001B682C">
        <w:rPr>
          <w:rFonts w:ascii="Arial" w:eastAsia="Times New Roman" w:hAnsi="Arial" w:cs="Arial"/>
          <w:color w:val="000000"/>
          <w:lang w:val="en-US" w:eastAsia="ru-RU"/>
        </w:rPr>
        <w:t xml:space="preserve"> H2/H3, main/section/article/figure/figcaption/details.</w:t>
      </w:r>
    </w:p>
    <w:p w14:paraId="53B86F7F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val="en-US" w:eastAsia="ru-RU"/>
        </w:rPr>
      </w:pPr>
    </w:p>
    <w:p w14:paraId="07775A4D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val="en-US" w:eastAsia="ru-RU"/>
        </w:rPr>
        <w:t>JSON-LD: Service, Article, BreadcrumbList и FAQPage; Calculator/WebApplication — только при реально работающем расчете. Не размечать неподтвержденные цены, рейтинги, сроки или нормативные гарантии.</w:t>
      </w:r>
      <w:r w:rsidRPr="001B682C">
        <w:rPr>
          <w:rFonts w:ascii="Arial" w:eastAsia="Times New Roman" w:hAnsi="Arial" w:cs="Arial"/>
          <w:color w:val="000000"/>
          <w:lang w:eastAsia="ru-RU"/>
        </w:rPr>
      </w:r>
      <w:r w:rsidRPr="001B682C">
        <w:rPr>
          <w:rFonts w:ascii="Arial" w:eastAsia="Times New Roman" w:hAnsi="Arial" w:cs="Arial"/>
          <w:color w:val="000000"/>
          <w:lang w:val="en-US" w:eastAsia="ru-RU"/>
        </w:rPr>
      </w:r>
      <w:r w:rsidRPr="001B682C">
        <w:rPr>
          <w:rFonts w:ascii="Arial" w:eastAsia="Times New Roman" w:hAnsi="Arial" w:cs="Arial"/>
          <w:color w:val="000000"/>
          <w:lang w:eastAsia="ru-RU"/>
        </w:rPr>
      </w:r>
    </w:p>
    <w:p w14:paraId="08CFFAB1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5D43096C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5. ФОРМЫ И ИНТЕГРАЦИИ</w:t>
      </w:r>
    </w:p>
    <w:p w14:paraId="6FCD5723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75E2F2CD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Все формы:</w:t>
      </w:r>
    </w:p>
    <w:p w14:paraId="1E899437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7D172616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используют reportValidity();</w:t>
      </w:r>
    </w:p>
    <w:p w14:paraId="7C1D1EFD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требуют согласие с политикой;</w:t>
      </w:r>
    </w:p>
    <w:p w14:paraId="043AB9A3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имеют маску +7 (7XX) XXX-XX-XX;</w:t>
      </w:r>
    </w:p>
    <w:p w14:paraId="5BF06114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val="en-US" w:eastAsia="ru-RU"/>
        </w:rPr>
      </w:pPr>
      <w:r w:rsidRPr="001B682C">
        <w:rPr>
          <w:rFonts w:ascii="Arial" w:eastAsia="Times New Roman" w:hAnsi="Arial" w:cs="Arial"/>
          <w:color w:val="000000"/>
          <w:lang w:val="en-US" w:eastAsia="ru-RU"/>
        </w:rPr>
        <w:t xml:space="preserve">- </w:t>
      </w:r>
      <w:r w:rsidRPr="001B682C">
        <w:rPr>
          <w:rFonts w:ascii="Arial" w:eastAsia="Times New Roman" w:hAnsi="Arial" w:cs="Arial"/>
          <w:color w:val="000000"/>
          <w:lang w:eastAsia="ru-RU"/>
        </w:rPr>
        <w:t>используют</w:t>
      </w:r>
      <w:r w:rsidRPr="001B682C">
        <w:rPr>
          <w:rFonts w:ascii="Arial" w:eastAsia="Times New Roman" w:hAnsi="Arial" w:cs="Arial"/>
          <w:color w:val="000000"/>
          <w:lang w:val="en-US" w:eastAsia="ru-RU"/>
        </w:rPr>
        <w:t xml:space="preserve"> autocomplete="tel" </w:t>
      </w:r>
      <w:r w:rsidRPr="001B682C">
        <w:rPr>
          <w:rFonts w:ascii="Arial" w:eastAsia="Times New Roman" w:hAnsi="Arial" w:cs="Arial"/>
          <w:color w:val="000000"/>
          <w:lang w:eastAsia="ru-RU"/>
        </w:rPr>
        <w:t>и</w:t>
      </w:r>
      <w:r w:rsidRPr="001B682C">
        <w:rPr>
          <w:rFonts w:ascii="Arial" w:eastAsia="Times New Roman" w:hAnsi="Arial" w:cs="Arial"/>
          <w:color w:val="000000"/>
          <w:lang w:val="en-US" w:eastAsia="ru-RU"/>
        </w:rPr>
        <w:t xml:space="preserve"> inputmode="tel";</w:t>
      </w:r>
    </w:p>
    <w:p w14:paraId="2FC92551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блокируют кнопку на время запроса;</w:t>
      </w:r>
    </w:p>
    <w:p w14:paraId="52A9613A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показывают .pz-success или .pz-error;</w:t>
      </w:r>
    </w:p>
    <w:p w14:paraId="4703CEE1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очищаются после успешной отправки.</w:t>
      </w:r>
    </w:p>
    <w:p w14:paraId="78245B49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7D71F1E9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Рабочий путь коммерческой заявки: страница → прямой запрос в Cloud Run → журнал BigQuery → одна сделка в Общей воронке на стадии «Новая заявка». Первый контакт — 30 минут в рабочее время. Категория обращения не определяет воронку: координатор уточняет потребность и меняет воронку той же сделки, сохраняя исходную услугу, ID обращения и атрибуцию. Второй мост через скрытую форму Tilda не добавлять. Ошибка аналитики или Telegram не меняет успешный статус принятой заявки.</w:t>
      </w:r>
    </w:p>
    <w:p w14:paraId="175A6D96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4C989DC0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Основная заявка и аналитика отправляются независимо: ошибка аналитического endpoint не должна скрывать успешную отправку заявки. Адреса endpoint задаются отдельными константами. Нельзя размещать секретные токены, ключи Telegram или CRM в клиентском HTML.</w:t>
      </w:r>
    </w:p>
    <w:p w14:paraId="15E8B987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5CB0CBCA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BigQuery endpoint:</w:t>
      </w:r>
    </w:p>
    <w:p w14:paraId="0586F96D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https://tilda-webhook-to-bigquery-324633937237.europe-west3.run.app</w:t>
      </w:r>
    </w:p>
    <w:p w14:paraId="261B736F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35C89F15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Отдельный второй запрос с персональными данными в «аналитический endpoint» не отправлять. Cloud Run принимает одну заявку и выполняет серверную запись и доставку; обезличенные веб-события отправляет глобальный модуль.</w:t>
      </w:r>
    </w:p>
    <w:p w14:paraId="6C8BC071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>
      <w:pPr>
        <w:pStyle w:val="Heading2"/>
        <w:pageBreakBefore w:val="0"/>
        <w:widowControl/>
      </w:pPr>
      <w:r>
        <w:rPr>
          <w:color w:val="000000"/>
        </w:rPr>
        <w:t>6 Состав данных заявки и маршрут CRM</w:t>
      </w:r>
    </w:p>
    <w:p>
      <w:pPr>
        <w:pageBreakBefore w:val="0"/>
        <w:widowControl/>
      </w:pPr>
      <w:r>
        <w:t>Проверка формы: обязательные поля валидируются до запроса; телефон — в согласованном формате Казахстана, ошибки рядом с полем. На время отправки кнопка заблокирована, при сбое введённые данные сохраняются. Повторный клик не создаёт вторую заявку. Пустые необязательные аналитические ID не блокируют форму.</w:t>
      </w:r>
    </w:p>
    <w:p>
      <w:pPr>
        <w:pageBreakBefore w:val="0"/>
        <w:widowControl/>
      </w:pPr>
      <w:r>
        <w:t>Контекст страницы: page_url, page_path, page_title, page_type, page_name, source_page; формы: form_id, form_name, form_location. Предмет обращения — service_type; отдельное поле service не создавать. Для этой страницы service_type=aps_modernization; requested_action=calculate. customer_type=new по умолчанию; existing — только явно обозначенная форма действующего клиента или подтверждение сервером.</w:t>
      </w:r>
    </w:p>
    <w:p>
      <w:pPr>
        <w:pageBreakBefore w:val="0"/>
        <w:widowControl/>
      </w:pPr>
      <w:r>
        <w:t>Действие CTA: requested_action, cta_location (hero, after_proof, calculator, emergency_block, final_form, sticky_mobile), cta_text. Успешная отправка: event_name, schema_version=2.1, source_system, event_id, sent_at; один event_id создаётся до запроса и сохраняется в форме, dataLayer, Cloud Run, BigQuery и CRM. Новый осмысленный запрос получает новый ID; повтор доставки сохраняет прежний.</w:t>
      </w:r>
    </w:p>
    <w:p>
      <w:pPr>
        <w:pageBreakBefore w:val="0"/>
        <w:widowControl/>
      </w:pPr>
      <w:r>
        <w:t>Атрибуция: utm_source, utm_medium, utm_campaign, utm_id, utm_content, utm_term, search_term и referrer; first_utm_*, first_gclid, first_landing_page, first_referrer, first_visit_at; last_utm_*, last_gclid, last_landing_page, last_referrer, last_visit_at. Первое касание не перезаписывать, последнее обновлять при новом внешнем размеченном заходе; внутренние переходы источник не меняют.</w:t>
      </w:r>
    </w:p>
    <w:p>
      <w:pPr>
        <w:pageBreakBefore w:val="0"/>
        <w:widowControl/>
      </w:pPr>
      <w:r>
        <w:t>Click ID: gclid, gbraid, wbraid, dclid, fbclid, yclid, gad_source — при наличии. Технический контекст: visitor_id, ga_client_id, ga_session_id, ga_session_number, device_type, os, platform, screen_resolution, browser_language, timezone, time_on_page_seconds, max_scroll_percent. ga_client_id получать gtag get с ограниченным ожиданием до 1,5 секунды; отсутствие ID при denied не блокирует запрос.</w:t>
      </w:r>
    </w:p>
    <w:p>
      <w:pPr>
        <w:pageBreakBefore w:val="0"/>
        <w:widowControl/>
      </w:pPr>
      <w:r>
        <w:t>Контактные данные и ответы формы передаются только в защищённый приёмщик и CRM. Сохранять организацию, должность, регион и назначение объекта, площадь object_area, выбранный пакет и полный результат/версию калькулятора, если применимо. Не принуждать к неизвестным ответам и не подставлять вымышленные значения. GA4 и dataLayer не получают имя, телефон, email, БИН, точный адрес, файлы и свободный текст.</w:t>
      </w:r>
    </w:p>
    <w:p>
      <w:pPr>
        <w:pageBreakBefore w:val="0"/>
        <w:widowControl/>
      </w:pPr>
      <w:r>
        <w:t>CRM: ga_client_id → UF_CRM_GA_CLIENT_ID; requested_action → UF_CRM_REQUESTED_ACTION; cta_location/cta_text → одноимённые UF_CRM поля. service_type сохраняется в исходном payload и преобразуется по утверждённой карте в категорию UF_CRM_SERVICE_TYPE; ос → UF_CRM_DEVICE_OS. Физические коды проверить по реестру, не создавать дубли полей. IP/GeoIP определять сервером только в рамках политики.</w:t>
      </w:r>
    </w:p>
    <w:p>
      <w:pPr>
        <w:pageBreakBefore w:val="0"/>
        <w:widowControl/>
      </w:pPr>
      <w:r>
        <w:t>Общий модуль аналитики подключается один раз через действующий GTM-WVGQ5BZ4 и Google tag G-K3055R6Y7X. Главная — эталон подключения. Источник конфигурации — реестр pathname в GTM; window.PZ_PAGE_CONFIG является необязательным переопределением. Для маршрута задать page_type, page_name, source_page, service_type, customer_type, form_name и form_location. Атрибуты CTA: data-requested-action, data-cta-location; формы: data-form-id, data-form-name, data-form-location. Не копировать общий код аналитики в каждую страницу.</w:t>
      </w:r>
    </w:p>
    <w:p>
      <w:pPr>
        <w:pageBreakBefore w:val="0"/>
        <w:widowControl/>
      </w:pPr>
      <w:r>
        <w:t>Один глобальный интерфейс согласия: до выбора consent_analytics, consent_ads и consent_marketing=denied; четыре сигнала Google Consent Mode v2 также denied. «Принять все» допустимо с явным перечислением аналитики, рекламы и рекламных коммуникаций; рядом равнозначная кнопка «Только необходимые» и настройки для изменения выбора. Сохранять consent_timestamp и consent_version. Обязательное согласие на обработку конкретной заявки отдельно в форме; отказ от необязательных согласий не блокирует заявку, скачивание, телефон или WhatsApp. Необязательные системы не загружать и постоянную атрибуцию не сохранять до соответствующего согласия.</w:t>
      </w:r>
    </w:p>
    <w:p>
      <w:pPr>
        <w:pageBreakBefore w:val="0"/>
        <w:widowControl/>
      </w:pPr>
      <w:r>
        <w:t>Рабочий путь коммерческой заявки: страница → прямой запрос в Cloud Run → журнал BigQuery → одна сделка в Общей воронке на стадии «Новая заявка». Первый контакт — 30 минут в рабочее время. Категория обращения не определяет воронку: координатор уточняет потребность и меняет воронку той же сделки, сохраняя исходную услугу, ID обращения и атрибуцию. Второй мост через скрытую форму Tilda не добавлять. Ошибка аналитики или Telegram не меняет успешный статус принятой заявки.</w:t>
      </w:r>
    </w:p>
    <w:p>
      <w:pPr>
        <w:pStyle w:val="Heading2"/>
        <w:pageBreakBefore w:val="0"/>
        <w:widowControl/>
      </w:pPr>
      <w:r>
        <w:rPr>
          <w:color w:val="000000"/>
        </w:rPr>
        <w:t>7 События аналитики и договорная конверсия</w:t>
      </w:r>
    </w:p>
    <w:p>
      <w:pPr>
        <w:pageBreakBefore w:val="0"/>
        <w:widowControl/>
      </w:pPr>
      <w:r>
        <w:t>pz_cta_click — клик по CTA, телефону или WhatsApp; передаёт requested_action, cta_location, cta_text, service_type и канал. pz_calculator_start — первое взаимодействие; pz_calculator_complete — полученный результат с calculator_id и result_band. pz_form_start — первое взаимодействие с формой; pz_form_submit — попытка; pz_form_success — только после успешного приёма фактическим сервером; pz_form_error — ошибка без PII.</w:t>
      </w:r>
    </w:p>
    <w:p>
      <w:pPr>
        <w:pageBreakBefore w:val="0"/>
        <w:widowControl/>
      </w:pPr>
      <w:r>
        <w:t>generate_lead формируется отдельным тегом GTM только из pz_form_success с тем же event_id. Клик, ошибка валидации, показ предварительного диапазона, переход на страницу результата и открытие /success/ лидом не являются. Дополнительные события используют pz_* и заранее зарегистрированную карту; не создавать параллельные старые события.</w:t>
      </w:r>
    </w:p>
    <w:p>
      <w:pPr>
        <w:pageBreakBefore w:val="0"/>
        <w:widowControl/>
      </w:pPr>
      <w:r>
        <w:t>Единственная основная конверсия Google Ads — contract_won из CRM по факту заключения договора, с фактической датой заключения. Форма, квалификация, назначение и проведение выезда, КП, счёт, оплата и завершение работ — Secondary и не включаются в цели кампании для ставок, включая custom goals. Начало обучения рекламы — после 10 уникальных подтверждённых contract_won, успешно переданных в Google Ads; промежуточные стадии в этот порог не входят.</w:t>
      </w:r>
    </w:p>
    <w:p>
      <w:pPr>
        <w:pageBreakBefore w:val="0"/>
        <w:widowControl/>
      </w:pPr>
      <w:r>
        <w:t>Договорный результат дедуплицируется по подтверждённому ID договора и типу события. Несколько объектных сделок одного договора, повтор вебхука и смена воронки не создают повторную конверсию. Отдельный договор монтажа и отдельный договор ТО учитываются отдельно с сохранением исходного обращения. Продление, допсоглашение, выезд и смена версии адаптера не являются новым привлечением автоматически. Неизвестная прибыль, MRR или value не заменяются нулём; договорный факт сохраняется независимо от готовности финансовых данных.</w:t>
      </w:r>
    </w:p>
    <w:p>
      <w:pPr>
        <w:pageBreakBefore w:val="0"/>
        <w:widowControl/>
      </w:pPr>
      <w:r>
        <w:t>Приёмка: granted/denied, desktop/mobile, повтор event_id, сбой GA4 и Telegram; одна принятая заявка — одна сделка. Проверить точный контекст страницы и значения во всех получателях. Тестовые обращения test_data=true/«TEST — НЕ ЗВОНИТЬ» исключаются из ставок и отчётов. Офлайн-импорт проверяется отдельно; правка ТЗ не подтверждает внедрение.</w:t>
      </w:r>
    </w:p>
    <w:p w14:paraId="22B82D48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8. TILDA И МЕДИА</w:t>
      </w:r>
    </w:p>
    <w:p w14:paraId="0EADFA00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1B68CD20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Код страницы передаётся единым установочным пакетом pozharnik-modernization-tilda по правилам актуального шаблона:</w:t>
      </w:r>
    </w:p>
    <w:p w14:paraId="1E91FCD3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7227522B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1) В настройках страницы → Дополнительный HTML-код → HEAD вставить содержимое файла:</w:t>
      </w:r>
    </w:p>
    <w:p w14:paraId="69883454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   - 01_HEAD_SEO.html.</w:t>
      </w:r>
    </w:p>
    <w:p w14:paraId="294C6C55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   В этот файл включать только метатеги, canonical, Open Graph, favicon/apple-touch-icon и при необходимости изолированные стили страницы. Не вставлять в HEAD видимую HTML-разметку страницы.</w:t>
      </w:r>
    </w:p>
    <w:p w14:paraId="73E4CF58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05ECED35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2) В один отдельный блок T123 (HTML-код) вставить целиком содержимое файла:</w:t>
      </w:r>
    </w:p>
    <w:p w14:paraId="6D54B6C2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   - 02_PAGE_FULL_T123.html.</w:t>
      </w:r>
    </w:p>
    <w:p w14:paraId="65F42CA1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   Файл должен содержать полностью замкнутую разметку страницы, изолированные CSS-правила, JSON-LD и JavaScript. Не разделять одну логическую конструкцию, тег style/script или HTML-контейнер между разными блоками T123.</w:t>
      </w:r>
    </w:p>
    <w:p w14:paraId="63611BF1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197F8884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3) В ZIP обязательно включить:</w:t>
      </w:r>
    </w:p>
    <w:p w14:paraId="4CA4E3E1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   - 00_README.txt с точной инструкцией установки;</w:t>
      </w:r>
    </w:p>
    <w:p w14:paraId="6CC703DB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   - 01_HEAD_SEO.html;</w:t>
      </w:r>
    </w:p>
    <w:p w14:paraId="29EBCF96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   - 02_PAGE_FULL_T123.html;</w:t>
      </w:r>
    </w:p>
    <w:p w14:paraId="56877E0A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   - test-preview.html для локальной визуальной проверки.</w:t>
      </w:r>
    </w:p>
    <w:p w14:paraId="26FB2997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7F74424B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 xml:space="preserve">4) Все HTML-файлы сохранять в UTF-8 без повторного перекодирования. Перед передачей проверить отсутствие mojibake вида «РџРѕ...» и символов замены </w:t>
      </w:r>
      <w:r w:rsidRPr="001B682C">
        <w:rPr>
          <w:rFonts w:ascii="Tahoma" w:eastAsia="Times New Roman" w:hAnsi="Tahoma" w:cs="Tahoma"/>
          <w:color w:val="000000"/>
          <w:lang w:eastAsia="ru-RU"/>
        </w:rPr>
        <w:t>�</w:t>
      </w:r>
      <w:r w:rsidRPr="001B682C">
        <w:rPr>
          <w:rFonts w:ascii="Arial" w:eastAsia="Times New Roman" w:hAnsi="Arial" w:cs="Arial"/>
          <w:color w:val="000000"/>
          <w:lang w:eastAsia="ru-RU"/>
        </w:rPr>
        <w:t>. В начале полноценного preview-файла обязательно указать &lt;!doctype html&gt;, &lt;meta charset="utf-8"&gt; и viewport. Фрагмент для T123 также должен корректно вставляться и сохраняться редактором Tilda.</w:t>
      </w:r>
    </w:p>
    <w:p w14:paraId="2A203C65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2394AF25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5) Жёсткое ограничение 20 000 символов не считать обязательным, если текущий редактор Tilda принимает и сохраняет полный файл. После вставки обязательно проверить сохранение, публикацию и конец кода. Если конкретный блок или тариф Tilda отклоняет объём, делить код только по завершённым независимым блокам, не разрывая теги и JavaScript. Не подключать jQuery, Bootstrap и тяжёлые библиотеки.</w:t>
      </w:r>
    </w:p>
    <w:p w14:paraId="1A0FD5AB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4B012CE0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6) Медиа сначала загружать в отдельную папку Tilda, затем в HTML подставлять абсолютные HTTPS CDN-URL Tilda вместо локальных путей media/... Имена файлов должны быть уникальными и не повторяться между страницами. В итоговом коде не должно оставаться локальных путей C:\..., assets/... или media/.... Медиа другой страницы в пакет не добавлять.</w:t>
      </w:r>
    </w:p>
    <w:p w14:paraId="07235AC8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10D9EC39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7) Видео: MP4/H.264, preload="metadata", без автозапуска и автозвука, продолжительность до 20 секунд и размер строго менее 5 МБ. Для iPhone/Safari использовать playsinline и muted. У видео должны сохраняться нативные controls и быть отдельная активная кнопка Play поверх постера.</w:t>
      </w:r>
    </w:p>
    <w:p w14:paraId="1347EE59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01DB8BC6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8) Фото и документы показывать небольшими одинаковыми превью. Полное фото открывать в модальном окне с закрытием по кнопке, фону и Esc. Для ссылок на оригинал предусмотреть безопасный fallback. PDF на страницу не загружать и не встраивать: документы предварительно конвертировать в JPG/WebP без отображения персональных данных.</w:t>
      </w:r>
    </w:p>
    <w:p w14:paraId="5E8DCB4C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0119708E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9) Проверить preview и опубликованный URL: уникальную логику услуги, нормативные оговорки, форму/квалификатор, CTA, телефон, WhatsApp, аналитику, FAQ, внутренние ссылки, адаптивность и Safe Area.</w:t>
      </w:r>
    </w:p>
    <w:p w14:paraId="47FFB254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9. ПРИЁМКА</w:t>
      </w:r>
    </w:p>
    <w:p w14:paraId="376929F1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55F07E81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[ ] H1, title, description и canonical соответствуют странице «Модернизация АПС».</w:t>
      </w:r>
    </w:p>
    <w:p w14:paraId="0631F468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[ ] Целевое действие медиаплана реализовано как «Выезд».</w:t>
      </w:r>
    </w:p>
    <w:p w14:paraId="4579EF94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[ ] Нормативные источники относятся именно к услуге; КоАП не используется как технический источник.</w:t>
      </w:r>
    </w:p>
    <w:p w14:paraId="71E8EAA3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[ ] Действующая редакция, номера пунктов и применимость проверены профильным специалистом.</w:t>
      </w:r>
    </w:p>
    <w:p w14:paraId="0F7E624F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[ ] Страница не выдает онлайн-результат за проект, испытание, измерение или заключение о соответствии.</w:t>
      </w:r>
    </w:p>
    <w:p w14:paraId="7E8E242C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[ ] Универсальные сроки, периодичность, нагрузки и состав работ без основания отсутствуют.</w:t>
      </w:r>
    </w:p>
    <w:p w14:paraId="2E0EA405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[ ] Один H1; корректная иерархия H2/H3; FAQ содержит минимум 12 релевантных вопросов.</w:t>
      </w:r>
    </w:p>
    <w:p w14:paraId="02B72D5C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[ ] Квалификатор показывает следующий шаг, исходные данные и ограничения результата.</w:t>
      </w:r>
    </w:p>
    <w:p w14:paraId="4853D838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[ ] Стоимость сопровождается составом, исключениями и допущениями; это не публичная оферта.</w:t>
      </w:r>
    </w:p>
    <w:p w14:paraId="539AC638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[ ] Форма валидирует регион, телефон, согласие и обязательные поля; файлы передаются защищенно.</w:t>
      </w:r>
    </w:p>
    <w:p w14:paraId="73B33612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[ ] CRM получает page_slug, service_type, requested_action, параметры объекта и атрибуцию.</w:t>
      </w:r>
    </w:p>
    <w:p w14:paraId="3D2E47AD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[ ] Аналитика не получает документы, схемы защиты, PIN, ключи или иные чувствительные данные.</w:t>
      </w:r>
    </w:p>
    <w:p w14:paraId="33808A7F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val="en-US" w:eastAsia="ru-RU"/>
        </w:rPr>
      </w:pPr>
      <w:r w:rsidRPr="001B682C">
        <w:rPr>
          <w:rFonts w:ascii="Arial" w:eastAsia="Times New Roman" w:hAnsi="Arial" w:cs="Arial"/>
          <w:color w:val="000000"/>
          <w:lang w:val="en-US" w:eastAsia="ru-RU"/>
        </w:rPr>
        <w:t>[ ] Проверены телефон, WhatsApp, внутренние ссылки, мобильные отступы и Safe Area.</w:t>
      </w:r>
      <w:r w:rsidRPr="001B682C">
        <w:rPr>
          <w:rFonts w:ascii="Arial" w:eastAsia="Times New Roman" w:hAnsi="Arial" w:cs="Arial"/>
          <w:color w:val="000000"/>
          <w:lang w:eastAsia="ru-RU"/>
        </w:rPr>
      </w:r>
      <w:r w:rsidRPr="001B682C">
        <w:rPr>
          <w:rFonts w:ascii="Arial" w:eastAsia="Times New Roman" w:hAnsi="Arial" w:cs="Arial"/>
          <w:color w:val="000000"/>
          <w:lang w:val="en-US" w:eastAsia="ru-RU"/>
        </w:rPr>
      </w:r>
      <w:r w:rsidRPr="001B682C">
        <w:rPr>
          <w:rFonts w:ascii="Arial" w:eastAsia="Times New Roman" w:hAnsi="Arial" w:cs="Arial"/>
          <w:color w:val="000000"/>
          <w:lang w:eastAsia="ru-RU"/>
        </w:rPr>
      </w:r>
      <w:r w:rsidRPr="001B682C">
        <w:rPr>
          <w:rFonts w:ascii="Arial" w:eastAsia="Times New Roman" w:hAnsi="Arial" w:cs="Arial"/>
          <w:color w:val="000000"/>
          <w:lang w:val="en-US" w:eastAsia="ru-RU"/>
        </w:rPr>
      </w:r>
      <w:r w:rsidRPr="001B682C">
        <w:rPr>
          <w:rFonts w:ascii="Arial" w:eastAsia="Times New Roman" w:hAnsi="Arial" w:cs="Arial"/>
          <w:color w:val="000000"/>
          <w:lang w:eastAsia="ru-RU"/>
        </w:rPr>
      </w:r>
      <w:r w:rsidRPr="001B682C">
        <w:rPr>
          <w:rFonts w:ascii="Arial" w:eastAsia="Times New Roman" w:hAnsi="Arial" w:cs="Arial"/>
          <w:color w:val="000000"/>
          <w:lang w:val="en-US" w:eastAsia="ru-RU"/>
        </w:rPr>
      </w:r>
      <w:r w:rsidRPr="001B682C">
        <w:rPr>
          <w:rFonts w:ascii="Arial" w:eastAsia="Times New Roman" w:hAnsi="Arial" w:cs="Arial"/>
          <w:color w:val="000000"/>
          <w:lang w:eastAsia="ru-RU"/>
        </w:rPr>
      </w:r>
      <w:r w:rsidRPr="001B682C">
        <w:rPr>
          <w:rFonts w:ascii="Arial" w:eastAsia="Times New Roman" w:hAnsi="Arial" w:cs="Arial"/>
          <w:color w:val="000000"/>
          <w:lang w:val="en-US" w:eastAsia="ru-RU"/>
        </w:rPr>
      </w:r>
    </w:p>
    <w:p w14:paraId="654DEB06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[ ] Примеры не содержат вымышленных клиентов, разрешений, цен или результатов.</w:t>
      </w:r>
    </w:p>
    <w:p w14:paraId="793E2A8E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[ ] Файлы сохранены в UTF-8; русская кодировка проверена локально и после публикации.</w:t>
      </w:r>
    </w:p>
    <w:p w14:paraId="60F38092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[ ] Полный T123 сохранился без обрезания, незакрытых тегов и влияния на глобальные стили.</w:t>
      </w:r>
    </w:p>
    <w:p w14:paraId="78984BF5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[ ] ZIP содержит README, HEAD, полный T123 и тестовый preview.</w:t>
      </w:r>
    </w:p>
    <w:p w14:paraId="05A6FDED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[ ] Проверены CORS/HTTPS; контент принят редактором, профильным специалистом и продажами.</w:t>
      </w:r>
    </w:p>
    <w:p w14:paraId="43C54F5A" w14:textId="77777777" w:rsidR="00253708" w:rsidRDefault="00253708">
      <w:pPr>
        <w:pageBreakBefore w:val="0"/>
        <w:widowControl/>
      </w:pPr>
    </w:p>
    <w:sectPr w:rsidR="00253708">
      <w:headerReference w:type="default" r:id="rId7"/>
      <w:footerReference w:type="default" r:id="rId8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8EF44B8"/>
    <w:multiLevelType w:val="multilevel"/>
    <w:tmpl w:val="181C4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3083"/>
    <w:rsid w:val="001B682C"/>
    <w:rsid w:val="00253708"/>
    <w:rsid w:val="008230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8457085-75BF-4339-BE64-F57110574A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1B68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Heading2">
    <w:name w:val="heading 2"/>
    <w:pPr>
      <w:keepNext/>
      <w:pageBreakBefore w:val="0"/>
    </w:pPr>
    <w:rPr>
      <w:rFonts w:ascii="Arial" w:hAnsi="Arial"/>
      <w:b/>
      <w:color w:val="000000"/>
      <w:sz w:val="26"/>
    </w:rPr>
  </w:style>
  <w:style w:type="paragraph" w:customStyle="1" w:styleId="Title">
    <w:name w:val="Title"/>
    <w:rPr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6018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