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widowControl/>
        <w:jc w:val="left"/>
      </w:pPr>
      <w:r>
        <w:rPr>
          <w:color w:val="000000"/>
          <w:u w:val="none"/>
        </w:rPr>
        <w:t>Техническое задание</w:t>
      </w:r>
    </w:p>
    <w:p>
      <w:pPr>
        <w:pageBreakBefore w:val="0"/>
        <w:widowControl/>
      </w:pPr>
      <w:r>
        <w:t>Действующая редакция 1.7 от 08.10.2026. Основание — медиаплан 4.5 и решение владельца о начале обучения после 10 договоров. Изменения требований не означают изменения живых настроек. 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rPr>
          <w:b/>
          <w:sz w:val="32"/>
        </w:rPr>
        <w:t>Добавление аналитики на страницы pozharnik.kz</w:t>
      </w:r>
    </w:p>
    <w:p>
      <w:pPr>
        <w:pageBreakBefore w:val="0"/>
        <w:widowControl/>
      </w:pPr>
      <w:r>
        <w:rPr>
          <w:b/>
        </w:rPr>
        <w:t xml:space="preserve">Назначение документа: </w:t>
      </w:r>
      <w:r>
        <w:t>передача разработчику требований по внедрению GA4, GTM, атрибуции, форм, Bitrix24 и BigQuery.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71"/>
        <w:gridCol w:w="5071"/>
      </w:tblGrid>
      <w:tr>
        <w:trPr>
          <w:tblHeader w:val="true"/>
          <w:tblHeader/>
          <w:tblHeader/>
        </w:trPr>
        <w:tc>
          <w:tcPr>
            <w:tcW w:type="dxa" w:w="283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23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Сайт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https://pozharnik.kz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GA4 Measurement ID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G-K3055R6Y7X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Cloud Run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https://tilda-webhook-to-bigquery-324633937237.europe-west3.run.app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Google Cloud Project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project-84dd3e16-3878-4eea-bb3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Регион данных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europe-west3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BigQuery CRM dataset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pozharnik_leads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Версия ТЗ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t>1.7 от 08.10.2026</w:t>
            </w:r>
          </w:p>
        </w:tc>
      </w:tr>
    </w:tbl>
    <w:p>
      <w:pPr>
        <w:pageBreakBefore w:val="0"/>
        <w:widowControl/>
        <w:spacing w:after="20"/>
      </w:pPr>
    </w:p>
    <w:p>
      <w:pPr>
        <w:pageBreakBefore w:val="0"/>
        <w:widowControl/>
      </w:pPr>
      <w:r>
        <w:rPr>
          <w:b/>
        </w:rPr>
        <w:t xml:space="preserve">Результат работ. </w:t>
      </w:r>
      <w:r>
        <w:t>Каждая заявка должна быть связана с источником трафика, сессией GA4, записью BigQuery и сделкой Bitrix24. Повторная доставка формы не должна создавать дубли.</w:t>
      </w:r>
    </w:p>
    <w:p>
      <w:pPr>
        <w:pageBreakBefore w:val="0"/>
        <w:widowControl/>
      </w:pPr>
      <w:r>
        <w:br w:type="page"/>
      </w:r>
    </w:p>
    <w:p>
      <w:pPr>
        <w:pStyle w:val="Heading1"/>
        <w:pageBreakBefore w:val="0"/>
        <w:widowControl/>
      </w:pPr>
      <w:r>
        <w:rPr>
          <w:color w:val="000000"/>
        </w:rPr>
        <w:t>1 Цель и область работ</w:t>
      </w:r>
    </w:p>
    <w:p>
      <w:pPr>
        <w:pageBreakBefore w:val="0"/>
        <w:widowControl/>
      </w:pPr>
      <w:r>
        <w:t>На всех новых страницах pozharnik.kz необходимо реализовать единую систему аналитики. Решение должно работать на Tilda и сохранять возможность переноса на другую CMS.</w:t>
      </w:r>
    </w:p>
    <w:p>
      <w:pPr>
        <w:pStyle w:val="ListBullet"/>
        <w:pageBreakBefore w:val="0"/>
        <w:widowControl/>
      </w:pPr>
      <w:r>
        <w:t>Отправлять просмотры и целевые действия в GA4.</w:t>
      </w:r>
    </w:p>
    <w:p>
      <w:pPr>
        <w:pStyle w:val="ListBullet"/>
        <w:pageBreakBefore w:val="0"/>
        <w:widowControl/>
      </w:pPr>
      <w:r>
        <w:t>Сохранять источник первого и последнего визита.</w:t>
      </w:r>
    </w:p>
    <w:p>
      <w:pPr>
        <w:pStyle w:val="ListBullet"/>
        <w:pageBreakBefore w:val="0"/>
        <w:widowControl/>
      </w:pPr>
      <w:r>
        <w:t>Передавать рекламные и технические идентификаторы вместе с заявкой.</w:t>
      </w:r>
    </w:p>
    <w:p>
      <w:pPr>
        <w:pStyle w:val="ListBullet"/>
        <w:pageBreakBefore w:val="0"/>
        <w:widowControl/>
      </w:pPr>
      <w:r>
        <w:t>Связывать визит сайта, заявку, сделку Bitrix24 и CRM конверсии.</w:t>
      </w:r>
    </w:p>
    <w:p>
      <w:pPr>
        <w:pStyle w:val="ListBullet"/>
        <w:pageBreakBefore w:val="0"/>
        <w:widowControl/>
      </w:pPr>
      <w:r>
        <w:t>Исключать дубли лидов и событий.</w:t>
      </w:r>
    </w:p>
    <w:p>
      <w:pPr>
        <w:pStyle w:val="ListBullet"/>
        <w:pageBreakBefore w:val="0"/>
        <w:widowControl/>
      </w:pPr>
      <w:r>
        <w:t>Соблюдать выбор пользователя в Consent Mode v2.</w:t>
      </w:r>
    </w:p>
    <w:p>
      <w:pPr>
        <w:pStyle w:val="ListBullet"/>
        <w:pageBreakBefore w:val="0"/>
        <w:widowControl/>
      </w:pPr>
      <w:r>
        <w:t>Не блокировать отправку заявки при сбое аналитики.</w:t>
      </w:r>
    </w:p>
    <w:p>
      <w:pPr>
        <w:pStyle w:val="Heading1"/>
        <w:pageBreakBefore w:val="0"/>
        <w:widowControl/>
      </w:pPr>
      <w:r>
        <w:rPr>
          <w:color w:val="000000"/>
        </w:rPr>
        <w:t>2 Архитектура</w:t>
      </w:r>
    </w:p>
    <w:p>
      <w:pPr>
        <w:pStyle w:val="Code"/>
        <w:pageBreakBefore w:val="0"/>
        <w:widowControl/>
      </w:pPr>
      <w:r>
        <w:t>Страница -&gt; GTM -&gt; GA4</w:t>
        <w:br/>
        <w:t xml:space="preserve">        -&gt; форма Tilda или CMS -&gt; Cloud Run -&gt; BigQuery -&gt; Bitrix24</w:t>
        <w:br/>
        <w:t>Bitrix24 -&gt; Cloud Run -&gt; GA4 Measurement Protocol -&gt; BigQuery</w:t>
      </w:r>
    </w:p>
    <w:p>
      <w:pPr>
        <w:pageBreakBefore w:val="0"/>
        <w:widowControl/>
      </w:pPr>
      <w:r>
        <w:t>API Secret Measurement Protocol хранится только в Google Secret Manager. Запрещено размещать его в HTML, JavaScript, GTM, Tilda, URL или документации для публичного доступа.</w:t>
      </w:r>
    </w:p>
    <w:p>
      <w:pPr>
        <w:pStyle w:val="Heading1"/>
        <w:pageBreakBefore w:val="0"/>
        <w:widowControl/>
      </w:pPr>
      <w:r>
        <w:rPr>
          <w:color w:val="000000"/>
        </w:rPr>
        <w:t>3 Установка Google Tag Manager</w:t>
      </w:r>
    </w:p>
    <w:p>
      <w:pPr>
        <w:pStyle w:val="Heading2"/>
        <w:pageBreakBefore w:val="0"/>
        <w:widowControl/>
      </w:pPr>
      <w:r>
        <w:rPr>
          <w:color w:val="000000"/>
        </w:rPr>
        <w:t>3.1 Контейнер</w:t>
      </w:r>
    </w:p>
    <w:p>
      <w:pPr>
        <w:pageBreakBefore w:val="0"/>
        <w:widowControl/>
      </w:pPr>
      <w:r>
        <w:t>Использовать существующий production контейнер GTM-WVGQ5BZ4. Не создавать второй контейнер и не дублировать Google tag G-K3055R6Y7X; изменения публиковать одной проверенной версией.</w:t>
      </w:r>
    </w:p>
    <w:p>
      <w:pPr>
        <w:pStyle w:val="Heading2"/>
        <w:pageBreakBefore w:val="0"/>
        <w:widowControl/>
      </w:pPr>
      <w:r>
        <w:rPr>
          <w:color w:val="000000"/>
        </w:rPr>
        <w:t>3.2 Код в head</w:t>
      </w:r>
    </w:p>
    <w:p>
      <w:pPr>
        <w:pStyle w:val="Code"/>
        <w:pageBreakBefore w:val="0"/>
        <w:widowControl/>
      </w:pPr>
      <w:r>
        <w:t>&lt;!-- Google Tag Manager --&gt;</w:t>
        <w:br/>
        <w:t>&lt;script&gt;</w:t>
        <w:br/>
        <w:t>(function(w,d,s,l,i){w[l]=w[l]||[];w[l].push({'gtm.start':</w:t>
        <w:br/>
        <w:t>new Date().getTime(),event:'gtm.js'});var f=d.getElementsByTagName(s)[0],</w:t>
        <w:br/>
        <w:t>j=d.createElement(s),dl=l!='dataLayer'?'&amp;l='+l:'';j.async=true;j.src=</w:t>
        <w:br/>
        <w:t>'https://www.googletagmanager.com/gtm.js?id='+i+dl;f.parentNode.insertBefore(j,f);</w:t>
        <w:br/>
        <w:t>})(window,document,'script','dataLayer','GTM-WVGQ5BZ4');</w:t>
        <w:br/>
        <w:t>&lt;/script&gt;</w:t>
        <w:br/>
        <w:t>&lt;!-- End Google Tag Manager --&gt;</w:t>
      </w:r>
    </w:p>
    <w:p>
      <w:pPr>
        <w:pStyle w:val="Heading2"/>
        <w:pageBreakBefore w:val="0"/>
        <w:widowControl/>
      </w:pPr>
      <w:r>
        <w:rPr>
          <w:color w:val="000000"/>
        </w:rPr>
        <w:t>3.3 Код после открывающего body</w:t>
      </w:r>
    </w:p>
    <w:p>
      <w:pPr>
        <w:pStyle w:val="Code"/>
        <w:pageBreakBefore w:val="0"/>
        <w:widowControl/>
      </w:pPr>
      <w:r>
        <w:t>&lt;!-- Google Tag Manager (noscript) --&gt;</w:t>
        <w:br/>
        <w:t>&lt;noscript&gt;&lt;iframe src="https://www.googletagmanager.com/ns.html?id=GTM-WVGQ5BZ4"</w:t>
        <w:br/>
        <w:t>height="0" width="0" style="display:none;visibility:hidden"&gt;&lt;/iframe&gt;&lt;/noscript&gt;</w:t>
        <w:br/>
        <w:t>&lt;!-- End Google Tag Manager (noscript) --&gt;</w:t>
      </w:r>
    </w:p>
    <w:p>
      <w:pPr>
        <w:pageBreakBefore w:val="0"/>
        <w:widowControl/>
      </w:pPr>
      <w:r>
        <w:t>Для Tilda код head добавляется глобально в настройки сайта. Noscript размещается максимально близко к началу body. После изменений необходимо перепубликовать все страницы.</w:t>
      </w:r>
    </w:p>
    <w:p>
      <w:pPr>
        <w:pStyle w:val="Heading1"/>
        <w:pageBreakBefore w:val="0"/>
        <w:widowControl/>
      </w:pPr>
      <w:r>
        <w:rPr>
          <w:color w:val="000000"/>
        </w:rPr>
        <w:t>4 Настройка GA4 в GTM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71"/>
        <w:gridCol w:w="5071"/>
      </w:tblGrid>
      <w:tr>
        <w:trPr>
          <w:tblHeader w:val="true"/>
          <w:tblHeader/>
          <w:tblHeader/>
        </w:trPr>
        <w:tc>
          <w:tcPr>
            <w:tcW w:type="dxa" w:w="340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Настройка</w:t>
            </w:r>
          </w:p>
        </w:tc>
        <w:tc>
          <w:tcPr>
            <w:tcW w:type="dxa" w:w="5669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Тип тега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Google tag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Tag ID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G-K3055R6Y7X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Название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GA4 Google tag pozharnik.kz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Триггер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Initialization All Pages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Enhanced Measurement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Включено в GA4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Debug mode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Только GTM Preview</w:t>
            </w:r>
          </w:p>
        </w:tc>
      </w:tr>
    </w:tbl>
    <w:p>
      <w:pPr>
        <w:pageBreakBefore w:val="0"/>
        <w:widowControl/>
        <w:spacing w:after="20"/>
      </w:pPr>
    </w:p>
    <w:p>
      <w:pPr>
        <w:pageBreakBefore w:val="0"/>
        <w:widowControl/>
      </w:pPr>
      <w:r>
        <w:t>Нельзя одновременно устанавливать отдельный gtag.js и GA4 через GTM. Должен работать один способ загрузки Google tag, иначе возможны двойные page_view.</w:t>
      </w:r>
    </w:p>
    <w:p>
      <w:pPr>
        <w:pStyle w:val="Heading1"/>
        <w:pageBreakBefore w:val="0"/>
        <w:widowControl/>
      </w:pPr>
      <w:r>
        <w:rPr>
          <w:color w:val="000000"/>
        </w:rPr>
        <w:t>5 Consent Mode v2</w:t>
      </w:r>
    </w:p>
    <w:p>
      <w:pPr>
        <w:pageBreakBefore w:val="0"/>
        <w:widowControl/>
      </w:pPr>
      <w:r>
        <w:t>Consent Mode должен выполняться до основного GA4 тега. В GTM использовать Consent Initialization.</w:t>
      </w:r>
    </w:p>
    <w:p>
      <w:pPr>
        <w:pStyle w:val="Heading2"/>
        <w:pageBreakBefore w:val="0"/>
        <w:widowControl/>
      </w:pPr>
      <w:r>
        <w:rPr>
          <w:color w:val="000000"/>
        </w:rPr>
        <w:t>5.1 Состояние по умолчанию</w:t>
      </w:r>
    </w:p>
    <w:p>
      <w:pPr>
        <w:pStyle w:val="Code"/>
        <w:pageBreakBefore w:val="0"/>
        <w:widowControl/>
      </w:pPr>
      <w:r>
        <w:t>window.dataLayer = window.dataLayer || [];</w:t>
        <w:br/>
        <w:t>function gtag(){dataLayer.push(arguments);}</w:t>
        <w:br/>
        <w:t>gtag('consent', 'default', {</w:t>
        <w:br/>
        <w:t xml:space="preserve">  analytics_storage: 'denied',</w:t>
        <w:br/>
        <w:t xml:space="preserve">  ad_storage: 'denied',</w:t>
        <w:br/>
        <w:t xml:space="preserve">  ad_user_data: 'denied',</w:t>
        <w:br/>
        <w:t xml:space="preserve">  ad_personalization: 'denied',</w:t>
        <w:br/>
        <w:t xml:space="preserve">  functionality_storage: 'granted',</w:t>
        <w:br/>
        <w:t xml:space="preserve">  security_storage: 'granted',</w:t>
        <w:br/>
        <w:t xml:space="preserve">  wait_for_update: 500</w:t>
        <w:br/>
        <w:t>});</w:t>
      </w:r>
    </w:p>
    <w:p>
      <w:pPr>
        <w:pStyle w:val="Heading2"/>
        <w:pageBreakBefore w:val="0"/>
        <w:widowControl/>
      </w:pPr>
      <w:r>
        <w:rPr>
          <w:color w:val="000000"/>
        </w:rPr>
        <w:t>5.2 После согласия на аналитику и рекламу</w:t>
      </w:r>
    </w:p>
    <w:p>
      <w:pPr>
        <w:pStyle w:val="Code"/>
        <w:pageBreakBefore w:val="0"/>
        <w:widowControl/>
      </w:pPr>
      <w:r>
        <w:t>gtag('consent', 'update', {</w:t>
        <w:br/>
        <w:t xml:space="preserve">  analytics_storage: 'granted',</w:t>
        <w:br/>
        <w:t xml:space="preserve">  ad_storage: 'granted',</w:t>
        <w:br/>
        <w:t xml:space="preserve">  ad_user_data: 'granted',</w:t>
        <w:br/>
        <w:t xml:space="preserve">  ad_personalization: 'granted'</w:t>
        <w:br/>
        <w:t>});</w:t>
      </w:r>
    </w:p>
    <w:p>
      <w:pPr>
        <w:pStyle w:val="Heading2"/>
        <w:pageBreakBefore w:val="0"/>
        <w:widowControl/>
      </w:pPr>
      <w:r>
        <w:rPr>
          <w:color w:val="000000"/>
        </w:rPr>
        <w:t>5.3 После отказа</w:t>
      </w:r>
    </w:p>
    <w:p>
      <w:pPr>
        <w:pStyle w:val="Code"/>
        <w:pageBreakBefore w:val="0"/>
        <w:widowControl/>
      </w:pPr>
      <w:r>
        <w:t>gtag('consent', 'update', {</w:t>
        <w:br/>
        <w:t xml:space="preserve">  analytics_storage: 'denied',</w:t>
        <w:br/>
        <w:t xml:space="preserve">  ad_storage: 'denied',</w:t>
        <w:br/>
        <w:t xml:space="preserve">  ad_user_data: 'denied',</w:t>
        <w:br/>
        <w:t xml:space="preserve">  ad_personalization: 'denied'</w:t>
        <w:br/>
        <w:t>});</w:t>
      </w:r>
    </w:p>
    <w:p>
      <w:pPr>
        <w:pageBreakBefore w:val="0"/>
        <w:widowControl/>
      </w:pPr>
      <w:r>
        <w:t>Сохранять дату, версию и значения согласия. Рекомендуемая структура: consent_analytics, consent_ads, consent_timestamp, consent_version.</w:t>
      </w:r>
    </w:p>
    <w:p>
      <w:pPr>
        <w:pStyle w:val="Heading1"/>
        <w:pageBreakBefore w:val="0"/>
        <w:widowControl/>
      </w:pPr>
      <w:r>
        <w:rPr>
          <w:color w:val="000000"/>
        </w:rPr>
        <w:t>6 Собираемые параметры</w:t>
      </w:r>
    </w:p>
    <w:p>
      <w:pPr>
        <w:pStyle w:val="Heading2"/>
        <w:pageBreakBefore w:val="0"/>
        <w:widowControl/>
      </w:pPr>
      <w:r>
        <w:rPr>
          <w:color w:val="000000"/>
        </w:rPr>
        <w:t>6.1 Маркетинговые параметры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71"/>
        <w:gridCol w:w="5071"/>
      </w:tblGrid>
      <w:tr>
        <w:trPr>
          <w:tblHeader w:val="true"/>
          <w:tblHeader/>
          <w:tblHeader/>
        </w:trPr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Группа</w:t>
            </w:r>
          </w:p>
        </w:tc>
        <w:tc>
          <w:tcPr>
            <w:tcW w:type="dxa" w:w="680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Поля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UTM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utm_source, utm_medium, utm_campaign, utm_id, utm_content, utm_term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Click ID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gclid, gbraid, wbraid, gad_source, dclid, yclid, fbclid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Страница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t>referrer, last_landing_page, page_url, page_path, page_title</w:t>
            </w:r>
          </w:p>
        </w:tc>
      </w:tr>
    </w:tbl>
    <w:p>
      <w:pPr>
        <w:pageBreakBefore w:val="0"/>
        <w:widowControl/>
        <w:spacing w:after="20"/>
      </w:pPr>
    </w:p>
    <w:p>
      <w:pPr>
        <w:pStyle w:val="Heading2"/>
        <w:pageBreakBefore w:val="0"/>
        <w:widowControl/>
      </w:pPr>
      <w:r>
        <w:rPr>
          <w:color w:val="000000"/>
        </w:rPr>
        <w:t>6.2 Технические параметры</w:t>
      </w:r>
    </w:p>
    <w:p>
      <w:pPr>
        <w:pageBreakBefore w:val="0"/>
        <w:widowControl/>
      </w:pPr>
      <w:r>
        <w:t>ga_client_id, ga_session_id, ga_session_number, device_type, screen_resolution, browser_language, timezone, form_id, form_name, form_location, button_id, event_id, visit_type, first_visit_at, last_visit_at.</w:t>
      </w:r>
    </w:p>
    <w:p>
      <w:pPr>
        <w:pageBreakBefore w:val="0"/>
        <w:widowControl/>
      </w:pPr>
      <w:r>
        <w:t>IP адрес не получать JavaScript кодом. Определение IP, GeoIP и ip_hash выполняется на стороне Cloud Run.</w:t>
      </w:r>
    </w:p>
    <w:p>
      <w:pPr>
        <w:pStyle w:val="Heading1"/>
        <w:pageBreakBefore w:val="0"/>
        <w:widowControl/>
      </w:pPr>
      <w:r>
        <w:rPr>
          <w:color w:val="000000"/>
        </w:rPr>
        <w:t>7 Атрибуция first touch и last touch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71"/>
        <w:gridCol w:w="5071"/>
      </w:tblGrid>
      <w:tr>
        <w:trPr>
          <w:tblHeader w:val="true"/>
          <w:tblHeader/>
          <w:tblHeader/>
        </w:trPr>
        <w:tc>
          <w:tcPr>
            <w:tcW w:type="dxa" w:w="453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First touch</w:t>
            </w:r>
          </w:p>
        </w:tc>
        <w:tc>
          <w:tcPr>
            <w:tcW w:type="dxa" w:w="453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Last touch</w:t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first_utm_source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last_utm_source</w:t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first_utm_medium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last_utm_medium</w:t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first_utm_campaign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last_utm_campaign</w:t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first_utm_content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last_utm_content</w:t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first_utm_term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last_utm_term</w:t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first_gclid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last_gclid</w:t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first_landing_page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last_landing_page</w:t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first_referrer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last_referrer</w:t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first_visit_at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last_visit_at</w:t>
            </w:r>
          </w:p>
        </w:tc>
      </w:tr>
    </w:tbl>
    <w:p>
      <w:pPr>
        <w:pageBreakBefore w:val="0"/>
        <w:widowControl/>
        <w:spacing w:after="20"/>
      </w:pPr>
    </w:p>
    <w:p>
      <w:pPr>
        <w:pStyle w:val="ListBullet"/>
        <w:pageBreakBefore w:val="0"/>
        <w:widowControl/>
      </w:pPr>
      <w:r>
        <w:t>First touch записывается только один раз.</w:t>
      </w:r>
    </w:p>
    <w:p>
      <w:pPr>
        <w:pStyle w:val="ListBullet"/>
        <w:pageBreakBefore w:val="0"/>
        <w:widowControl/>
      </w:pPr>
      <w:r>
        <w:t>Last touch обновляется при каждом новом размеченном заходе.</w:t>
      </w:r>
    </w:p>
    <w:p>
      <w:pPr>
        <w:pStyle w:val="ListBullet"/>
        <w:pageBreakBefore w:val="0"/>
        <w:widowControl/>
      </w:pPr>
      <w:r>
        <w:t>Срок хранения 90 дней.</w:t>
      </w:r>
    </w:p>
    <w:p>
      <w:pPr>
        <w:pStyle w:val="ListBullet"/>
        <w:pageBreakBefore w:val="0"/>
        <w:widowControl/>
      </w:pPr>
      <w:r>
        <w:t>Внутренние переходы по pozharnik.kz не перезаписывают источник.</w:t>
      </w:r>
    </w:p>
    <w:p>
      <w:pPr>
        <w:pStyle w:val="ListBullet"/>
        <w:pageBreakBefore w:val="0"/>
        <w:widowControl/>
      </w:pPr>
      <w:r>
        <w:t>При отсутствии UTM используется внешний referrer.</w:t>
      </w:r>
    </w:p>
    <w:p>
      <w:pPr>
        <w:pStyle w:val="ListBullet"/>
        <w:pageBreakBefore w:val="0"/>
        <w:widowControl/>
      </w:pPr>
      <w:r>
        <w:t>При отсутствии UTM и referrer устанавливается direct / none.</w:t>
      </w:r>
    </w:p>
    <w:p>
      <w:pPr>
        <w:pStyle w:val="ListBullet"/>
        <w:pageBreakBefore w:val="0"/>
        <w:widowControl/>
      </w:pPr>
      <w:r>
        <w:t>Постоянное хранение выполняется только после требуемого согласия.</w:t>
      </w:r>
    </w:p>
    <w:p>
      <w:pPr>
        <w:pStyle w:val="Heading1"/>
        <w:pageBreakBefore w:val="0"/>
        <w:widowControl/>
      </w:pPr>
      <w:r>
        <w:rPr>
          <w:color w:val="000000"/>
        </w:rPr>
        <w:t>8 Получение GA4 Client ID и Session ID</w:t>
      </w:r>
    </w:p>
    <w:p>
      <w:pPr>
        <w:pageBreakBefore w:val="0"/>
        <w:widowControl/>
      </w:pPr>
      <w:r>
        <w:t>Идентификаторы получать через официальный gtag get, не разбирать внутренний формат cookie вручную.</w:t>
      </w:r>
    </w:p>
    <w:p>
      <w:pPr>
        <w:pStyle w:val="Code"/>
        <w:pageBreakBefore w:val="0"/>
        <w:widowControl/>
      </w:pPr>
      <w:r>
        <w:t>const GA4_ID = 'G-K3055R6Y7X';</w:t>
        <w:br/>
        <w:t>function getGaValue(fieldName) {</w:t>
        <w:br/>
        <w:t xml:space="preserve">  return new Promise((resolve) =&gt; {</w:t>
        <w:br/>
        <w:t xml:space="preserve">    if (typeof window.gtag !== 'function') return resolve('');</w:t>
        <w:br/>
        <w:t xml:space="preserve">    let done = false;</w:t>
        <w:br/>
        <w:t xml:space="preserve">    const timer = setTimeout(() =&gt; { if (!done) { done = true; resolve(''); } }, 1500);</w:t>
        <w:br/>
        <w:t xml:space="preserve">    gtag('get', GA4_ID, fieldName, function(value) {</w:t>
        <w:br/>
        <w:t xml:space="preserve">      if (done) return;</w:t>
        <w:br/>
        <w:t xml:space="preserve">      done = true; clearTimeout(timer);</w:t>
        <w:br/>
        <w:t xml:space="preserve">      resolve(value == null ? '' : String(value));</w:t>
        <w:br/>
        <w:t xml:space="preserve">    });</w:t>
        <w:br/>
        <w:t xml:space="preserve">  });</w:t>
        <w:br/>
        <w:t>}</w:t>
        <w:br/>
        <w:t>async function getGaIdentifiers() {</w:t>
        <w:br/>
        <w:t xml:space="preserve">  const [clientId, sessionId, sessionNumber] = await Promise.all([</w:t>
        <w:br/>
        <w:t xml:space="preserve">    getGaValue('client_id'), getGaValue('ga_session_id'), getGaValue('session_number')</w:t>
        <w:br/>
        <w:t xml:space="preserve">  ]);</w:t>
        <w:br/>
        <w:t xml:space="preserve">  return {ga_client_id: clientId, ga_session_id: sessionId,</w:t>
        <w:br/>
        <w:t xml:space="preserve">          ga_session_number: sessionNumber};</w:t>
        <w:br/>
        <w:t>}</w:t>
      </w:r>
    </w:p>
    <w:p>
      <w:pPr>
        <w:pageBreakBefore w:val="0"/>
        <w:widowControl/>
      </w:pPr>
      <w:r>
        <w:t>Если analytics_storage отклонён, отсутствие GA идентификаторов не должно блокировать отправку формы.</w:t>
      </w:r>
    </w:p>
    <w:p>
      <w:pPr>
        <w:pStyle w:val="Heading1"/>
        <w:pageBreakBefore w:val="0"/>
        <w:widowControl/>
      </w:pPr>
      <w:r>
        <w:rPr>
          <w:color w:val="000000"/>
        </w:rPr>
        <w:t>9 Уникальный идентификатор заявки</w:t>
      </w:r>
    </w:p>
    <w:p>
      <w:pPr>
        <w:pStyle w:val="Code"/>
        <w:pageBreakBefore w:val="0"/>
        <w:widowControl/>
      </w:pPr>
      <w:r>
        <w:t>function createEventId() {</w:t>
        <w:br/>
        <w:t xml:space="preserve">  if (window.crypto &amp;&amp; typeof window.crypto.randomUUID === 'function') {</w:t>
        <w:br/>
        <w:t xml:space="preserve">    return window.crypto.randomUUID();</w:t>
        <w:br/>
        <w:t xml:space="preserve">  }</w:t>
        <w:br/>
        <w:t xml:space="preserve">  return [Date.now().toString(36), Math.random().toString(36).slice(2),</w:t>
        <w:br/>
        <w:t xml:space="preserve">          Math.random().toString(36).slice(2)].join('-');</w:t>
        <w:br/>
        <w:t>}</w:t>
      </w:r>
    </w:p>
    <w:p>
      <w:pPr>
        <w:pageBreakBefore w:val="0"/>
        <w:widowControl/>
      </w:pPr>
      <w:r>
        <w:t>Один event_id должен использоваться в dataLayer, форме, webhook, Cloud Run, BigQuery и Bitrix24. Повторная доставка с тем же ID не создаёт новый лид или событие.</w:t>
      </w:r>
    </w:p>
    <w:p>
      <w:pPr>
        <w:pStyle w:val="Heading1"/>
        <w:pageBreakBefore w:val="0"/>
        <w:widowControl/>
      </w:pPr>
      <w:r>
        <w:rPr>
          <w:color w:val="000000"/>
        </w:rPr>
        <w:t>10 Скрытые поля всех форм</w:t>
      </w:r>
    </w:p>
    <w:p>
      <w:pPr>
        <w:pStyle w:val="ListBullet"/>
        <w:pageBreakBefore w:val="0"/>
        <w:widowControl/>
      </w:pPr>
      <w:r>
        <w:t>event_id, ga_client_id, ga_session_id, ga_session_number</w:t>
      </w:r>
    </w:p>
    <w:p>
      <w:pPr>
        <w:pStyle w:val="ListBullet"/>
        <w:pageBreakBefore w:val="0"/>
        <w:widowControl/>
      </w:pPr>
      <w:r>
        <w:t>utm_source, utm_medium, utm_campaign, utm_id, utm_content, utm_term</w:t>
      </w:r>
    </w:p>
    <w:p>
      <w:pPr>
        <w:pStyle w:val="ListBullet"/>
        <w:pageBreakBefore w:val="0"/>
        <w:widowControl/>
      </w:pPr>
      <w:r>
        <w:t>gclid, gbraid, wbraid, gad_source, dclid, yclid, fbclid</w:t>
      </w:r>
    </w:p>
    <w:p>
      <w:pPr>
        <w:pStyle w:val="ListBullet"/>
        <w:pageBreakBefore w:val="0"/>
        <w:widowControl/>
      </w:pPr>
      <w:r>
        <w:t>first_utm_source, first_utm_medium, first_utm_campaign, first_utm_content, first_utm_term, first_gclid, first_landing_page, first_referrer, first_visit_at</w:t>
      </w:r>
    </w:p>
    <w:p>
      <w:pPr>
        <w:pStyle w:val="ListBullet"/>
        <w:pageBreakBefore w:val="0"/>
        <w:widowControl/>
      </w:pPr>
      <w:r>
        <w:t>last_utm_source, last_utm_medium, last_utm_campaign, last_utm_content, last_utm_term, last_gclid, last_landing_page, last_referrer, last_visit_at</w:t>
      </w:r>
    </w:p>
    <w:p>
      <w:pPr>
        <w:pStyle w:val="ListBullet"/>
        <w:pageBreakBefore w:val="0"/>
        <w:widowControl/>
      </w:pPr>
      <w:r>
        <w:t>last_landing_page, page_url, page_path, page_title, referrer</w:t>
      </w:r>
    </w:p>
    <w:p>
      <w:pPr>
        <w:pStyle w:val="ListBullet"/>
        <w:pageBreakBefore w:val="0"/>
        <w:widowControl/>
      </w:pPr>
      <w:r>
        <w:t>form_id, form_name, form_location, button_id, device_type, screen_resolution, browser_language, timezone, visit_type</w:t>
      </w:r>
    </w:p>
    <w:p>
      <w:pPr>
        <w:pStyle w:val="ListBullet"/>
        <w:pageBreakBefore w:val="0"/>
        <w:widowControl/>
      </w:pPr>
      <w:r>
        <w:t>consent_analytics, consent_ads, consent_timestamp, consent_version</w:t>
      </w:r>
    </w:p>
    <w:p>
      <w:pPr>
        <w:pageBreakBefore w:val="0"/>
        <w:widowControl/>
      </w:pPr>
      <w:r>
        <w:t>В Tilda поля создаются как скрытые с пустым исходным значением и заполняются JavaScript перед отправкой формы.</w:t>
      </w:r>
    </w:p>
    <w:p>
      <w:pPr>
        <w:pStyle w:val="Heading1"/>
        <w:pageBreakBefore w:val="0"/>
        <w:widowControl/>
      </w:pPr>
      <w:r>
        <w:rPr>
          <w:color w:val="000000"/>
        </w:rPr>
        <w:t>11 Базовый код атрибуции и заполнения форм</w:t>
      </w:r>
    </w:p>
    <w:p>
      <w:pPr>
        <w:pStyle w:val="Code"/>
        <w:pageBreakBefore w:val="0"/>
        <w:widowControl/>
      </w:pPr>
      <w:r>
        <w:t>Обязательная реализация — единый опубликованный модуль GTM. Старый локальный пример удалён из действующего задания. До отправки подготовить весь payload и дождаться получения доступных GA ID в пределах 1,5 секунды; постоянное хранение — только с соответствующим согласием. Обработчик отправки должен дождаться подготовки данных, а не запускать параллельный enrich без ожидания.</w:t>
      </w:r>
    </w:p>
    <w:p>
      <w:pPr>
        <w:pageBreakBefore w:val="0"/>
        <w:widowControl/>
      </w:pPr>
      <w:r>
        <w:t>Для динамических popup, Zero Block и квизов повторно вызывать enrichForm или использовать MutationObserver. Скрипт не должен повторно навешивать обработчики.</w:t>
      </w:r>
    </w:p>
    <w:p>
      <w:pPr>
        <w:pStyle w:val="Heading1"/>
        <w:pageBreakBefore w:val="0"/>
        <w:widowControl/>
      </w:pPr>
      <w:r>
        <w:rPr>
          <w:color w:val="000000"/>
        </w:rPr>
        <w:t>12 Контракт dataLayer</w:t>
      </w:r>
    </w:p>
    <w:p>
      <w:pPr>
        <w:pStyle w:val="Heading2"/>
        <w:pageBreakBefore w:val="0"/>
        <w:widowControl/>
      </w:pPr>
      <w:r>
        <w:rPr>
          <w:color w:val="000000"/>
        </w:rPr>
        <w:t>12.1 Успешная заявка</w:t>
      </w:r>
    </w:p>
    <w:p>
      <w:pPr>
        <w:pStyle w:val="Code"/>
        <w:pageBreakBefore w:val="0"/>
        <w:widowControl/>
      </w:pPr>
      <w:r>
        <w:t>dataLayer.push({</w:t>
        <w:br/>
        <w:t xml:space="preserve">  event: 'pz_form_success',</w:t>
        <w:br/>
        <w:t xml:space="preserve">  event_id: values.event_id,</w:t>
        <w:br/>
        <w:t xml:space="preserve">  form_id: values.form_id,</w:t>
        <w:br/>
        <w:t xml:space="preserve">  form_name: values.form_name,</w:t>
        <w:br/>
        <w:t xml:space="preserve">  form_location: values.form_location,</w:t>
        <w:br/>
        <w:t xml:space="preserve">  service_type: form.dataset.serviceType || ''</w:t>
        <w:br/>
        <w:t>});</w:t>
      </w:r>
    </w:p>
    <w:p>
      <w:pPr>
        <w:pStyle w:val="Heading2"/>
        <w:pageBreakBefore w:val="0"/>
        <w:widowControl/>
      </w:pPr>
      <w:r>
        <w:rPr>
          <w:color w:val="000000"/>
        </w:rPr>
        <w:t>12.2 Tilda aftersuccess</w:t>
      </w:r>
    </w:p>
    <w:p>
      <w:pPr>
        <w:pStyle w:val="Code"/>
        <w:pageBreakBefore w:val="0"/>
        <w:widowControl/>
      </w:pPr>
      <w:r>
        <w:t>Адаптер нативной формы Tilda вызывает pz_form_success после tildaform:aftersuccess только для подтверждённого нативного пути. Адаптер прямой формы Cloud Run вызывает тот же pz_form_success по успешному ответу рабочего приёмщика. Оба адаптера используют исходный event_id; одна форма не подключается к двум путям.</w:t>
      </w:r>
    </w:p>
    <w:p>
      <w:pPr>
        <w:pageBreakBefore w:val="0"/>
        <w:widowControl/>
      </w:pPr>
      <w:r>
        <w:t>pz_form_success возникает после принятия фактическим приёмщиком; generate_lead формирует GTM с тем же event_id. Для прямого Cloud Run не требуется callback Tilda.</w:t>
      </w:r>
    </w:p>
    <w:p>
      <w:pPr>
        <w:pStyle w:val="Heading1"/>
        <w:pageBreakBefore w:val="0"/>
        <w:widowControl/>
      </w:pPr>
      <w:r>
        <w:rPr>
          <w:color w:val="000000"/>
        </w:rPr>
        <w:t>13 События сайта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1"/>
        <w:gridCol w:w="3381"/>
        <w:gridCol w:w="3381"/>
      </w:tblGrid>
      <w:tr>
        <w:trPr>
          <w:tblHeader w:val="true"/>
          <w:tblHeader/>
          <w:tblHeader/>
        </w:trPr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340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Условие</w:t>
            </w:r>
          </w:p>
        </w:tc>
        <w:tc>
          <w:tcPr>
            <w:tcW w:type="dxa" w:w="340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Параметры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page_view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Просмотр страницы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page URL, title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t>pz_view_service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Просмотр услуги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service_type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t>pz_form_start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Первое взаимодействие с формой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form_id, form_location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t>pz_quiz_start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Начало квиза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quiz_id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t>pz_quiz_progress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Переход между шагами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quiz_id, step_number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generate_lead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Успешная заявка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event_id, form_id, service_type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t>pz_cta_click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Клик tel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link_location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t>pz_cta_click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Переход WhatsApp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link_location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t>pz_cta_click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Переход Telegram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link_location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t>pz_download_document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Скачивание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file_name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t>pz_calculator_complete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Расчёт завершён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result_range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t>pz_survey_request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Заявка на обследование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object_type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t>pz_form_error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Техническая ошибка формы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form_id, error_type</w:t>
            </w:r>
          </w:p>
        </w:tc>
      </w:tr>
    </w:tbl>
    <w:p>
      <w:pPr>
        <w:pageBreakBefore w:val="0"/>
        <w:widowControl/>
        <w:spacing w:after="20"/>
      </w:pPr>
    </w:p>
    <w:p>
      <w:pPr>
        <w:pStyle w:val="Heading1"/>
        <w:pageBreakBefore w:val="0"/>
        <w:widowControl/>
      </w:pPr>
      <w:r>
        <w:rPr>
          <w:color w:val="000000"/>
        </w:rPr>
        <w:t>14 Ограничения по персональным данным</w:t>
      </w:r>
    </w:p>
    <w:p>
      <w:pPr>
        <w:pageBreakBefore w:val="0"/>
        <w:widowControl/>
      </w:pPr>
      <w:r>
        <w:t>В GA4 и dataLayer запрещено передавать имя, телефон, email, ИИН, БИН, полный адрес, комментарии клиента и содержимое свободных текстовых полей. Полные данные формы передаются только в разрешённые CRM и серверные системы.</w:t>
      </w:r>
    </w:p>
    <w:p>
      <w:pPr>
        <w:pageBreakBefore w:val="0"/>
        <w:widowControl/>
      </w:pPr>
      <w:r>
        <w:t>Для квиза использовать нормализованные значения: object_type, object_area_range, building_purpose, city, has_aps, has_project, service_type, urgency, quiz_id, quiz_step.</w:t>
      </w:r>
    </w:p>
    <w:p>
      <w:pPr>
        <w:pStyle w:val="Heading1"/>
        <w:pageBreakBefore w:val="0"/>
        <w:widowControl/>
      </w:pPr>
      <w:r>
        <w:rPr>
          <w:color w:val="000000"/>
        </w:rPr>
        <w:t>15 Настройка Tilda Webhook</w:t>
      </w:r>
    </w:p>
    <w:p>
      <w:pPr>
        <w:pStyle w:val="ListNumber"/>
        <w:pageBreakBefore w:val="0"/>
        <w:widowControl/>
      </w:pPr>
      <w:r>
        <w:t>Для отдельно обозначенных нативных форм Tilda открыть Настройки сайта → Формы → Webhook. К прямой форме Cloud Run скрытый мост Tilda не добавлять.</w:t>
      </w:r>
    </w:p>
    <w:p>
      <w:pPr>
        <w:pStyle w:val="ListNumber"/>
        <w:pageBreakBefore w:val="0"/>
        <w:widowControl/>
      </w:pPr>
      <w:r>
        <w:t>Указать production URL Cloud Run, подтверждённый владельцем интеграции. Базовый адрес: https://tilda-webhook-to-bigquery-324633937237.europe-west3.run.app</w:t>
      </w:r>
    </w:p>
    <w:p>
      <w:pPr>
        <w:pStyle w:val="ListNumber"/>
        <w:pageBreakBefore w:val="0"/>
        <w:widowControl/>
      </w:pPr>
      <w:r>
        <w:t>Подключить webhook только к нативной форме Tilda, имеющей один путь отправки; прямые формы Cloud Run отправляют запрос сами.</w:t>
      </w:r>
    </w:p>
    <w:p>
      <w:pPr>
        <w:pStyle w:val="ListNumber"/>
        <w:pageBreakBefore w:val="0"/>
        <w:widowControl/>
      </w:pPr>
      <w:r>
        <w:t>Передачу cookies включать только в соответствии с политикой и согласием.</w:t>
      </w:r>
    </w:p>
    <w:p>
      <w:pPr>
        <w:pStyle w:val="ListNumber"/>
        <w:pageBreakBefore w:val="0"/>
        <w:widowControl/>
      </w:pPr>
      <w:r>
        <w:t>Перепубликовать страницы.</w:t>
      </w:r>
    </w:p>
    <w:p>
      <w:pPr>
        <w:pStyle w:val="ListNumber"/>
        <w:pageBreakBefore w:val="0"/>
        <w:widowControl/>
      </w:pPr>
      <w:r>
        <w:t>Проверить ответ обработчика менее чем за 5 секунд.</w:t>
      </w:r>
    </w:p>
    <w:p>
      <w:pPr>
        <w:pageBreakBefore w:val="0"/>
        <w:widowControl/>
      </w:pPr>
      <w:r>
        <w:t>Повторные попытки Tilda должны дедуплицироваться по event_id и tranid.</w:t>
      </w:r>
    </w:p>
    <w:p>
      <w:pPr>
        <w:pStyle w:val="Heading1"/>
        <w:pageBreakBefore w:val="0"/>
        <w:widowControl/>
      </w:pPr>
      <w:r>
        <w:rPr>
          <w:color w:val="000000"/>
        </w:rPr>
        <w:t>16 Передача в Bitrix24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71"/>
        <w:gridCol w:w="5071"/>
      </w:tblGrid>
      <w:tr>
        <w:trPr>
          <w:tblHeader w:val="true"/>
          <w:tblHeader/>
          <w:tblHeader/>
        </w:trPr>
        <w:tc>
          <w:tcPr>
            <w:tcW w:type="dxa" w:w="3969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Поле сайта</w:t>
            </w:r>
          </w:p>
        </w:tc>
        <w:tc>
          <w:tcPr>
            <w:tcW w:type="dxa" w:w="510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Назначение в Bitrix24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ga_client_id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GA4 Client ID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ga_session_id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GA4 Session ID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ga_session_number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GA4 Session Number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t>event_id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Event ID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utm_source / medium / campaign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UTM поля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utm_content / term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UTM Content и Term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gclid / gbraid / wbraid / dclid / fbclid / gad_source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Google/Facebook click ID и признак расширенных конверсий Google Ads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yclid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Yandex click ID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first_landing_page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Первая посадочная страница визита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last_landing_page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Последняя посадочная страница текущего визита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page_url / page_path / page_title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Страница отправки обращения (URL, путь, заголовок)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first_referrer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Источник перехода первого визита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last_referrer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Источник перехода последнего визита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form_id / form_name / form_location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Форма, её название и расположение на странице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device_type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Тип устройства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first_visit_at / last_visit_at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Визиты</w:t>
            </w:r>
          </w:p>
        </w:tc>
      </w:tr>
      <w:t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consent_*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Состояние и дата согласия</w:t>
            </w:r>
          </w:p>
        </w:tc>
      </w:tr>
      <w:tr>
        <w:tc>
          <w:tcPr>
            <w:tcW w:type="dxa" w:w="5071"/>
          </w:tcPr>
          <w:p>
            <w:pPr>
              <w:keepNext w:val="0"/>
              <w:pageBreakBefore w:val="0"/>
            </w:pPr>
            <w:r>
              <w:t>customer_type</w:t>
            </w:r>
          </w:p>
        </w:tc>
        <w:tc>
          <w:tcPr>
            <w:tcW w:type="dxa" w:w="5071"/>
          </w:tcPr>
          <w:p>
            <w:pPr>
              <w:keepNext w:val="0"/>
              <w:pageBreakBefore w:val="0"/>
            </w:pPr>
            <w:r>
              <w:t>UF_CRM_CUSTOMER_TYPE; new по умолчанию, existing только для действующего обслуживания</w:t>
            </w:r>
          </w:p>
        </w:tc>
      </w:tr>
      <w:tr>
        <w:tc>
          <w:tcPr>
            <w:tcW w:type="dxa" w:w="5071"/>
          </w:tcPr>
          <w:p>
            <w:pPr>
              <w:keepNext w:val="0"/>
              <w:pageBreakBefore w:val="0"/>
            </w:pPr>
            <w:r>
              <w:t>consent_marketing</w:t>
            </w:r>
          </w:p>
        </w:tc>
        <w:tc>
          <w:tcPr>
            <w:tcW w:type="dxa" w:w="5071"/>
          </w:tcPr>
          <w:p>
            <w:pPr>
              <w:keepNext w:val="0"/>
              <w:pageBreakBefore w:val="0"/>
            </w:pPr>
            <w:r>
              <w:t>UF_CRM_CONSENT_MARKETING; granted/denied, отдельное от Consent Mode</w:t>
            </w:r>
          </w:p>
        </w:tc>
      </w:tr>
    </w:tbl>
    <w:p>
      <w:pPr>
        <w:pageBreakBefore w:val="0"/>
        <w:widowControl/>
        <w:spacing w:after="20"/>
      </w:pPr>
    </w:p>
    <w:p>
      <w:pPr>
        <w:pStyle w:val="Heading2"/>
        <w:pageBreakBefore w:val="0"/>
        <w:widowControl/>
      </w:pPr>
      <w:r>
        <w:rPr>
          <w:color w:val="000000"/>
        </w:rPr>
        <w:t>16.1 Дедупликация</w:t>
      </w:r>
    </w:p>
    <w:p>
      <w:pPr>
        <w:pStyle w:val="ListNumber"/>
        <w:pageBreakBefore w:val="0"/>
        <w:widowControl/>
      </w:pPr>
      <w:r>
        <w:t>event_id</w:t>
      </w:r>
    </w:p>
    <w:p>
      <w:pPr>
        <w:pStyle w:val="ListNumber"/>
        <w:pageBreakBefore w:val="0"/>
        <w:widowControl/>
      </w:pPr>
      <w:r>
        <w:t>tranid Tilda — дополнительный ключ доставки только для согласованного нативного пути; основной ключ заявки — event_id.</w:t>
      </w:r>
    </w:p>
    <w:p>
      <w:pPr>
        <w:pStyle w:val="ListNumber"/>
        <w:pageBreakBefore w:val="0"/>
        <w:widowControl/>
      </w:pPr>
      <w:r>
        <w:t>Нормализованный телефон — для поиска и объединения контактов, не для подавления самостоятельной новой заявки.</w:t>
      </w:r>
    </w:p>
    <w:p>
      <w:pPr>
        <w:pStyle w:val="ListNumber"/>
        <w:pageBreakBefore w:val="0"/>
        <w:widowControl/>
      </w:pPr>
      <w:r>
        <w:t>Email в lowercase — для поиска и объединения контактов, не для дедупликации событий.</w:t>
      </w:r>
    </w:p>
    <w:p>
      <w:pPr>
        <w:pStyle w:val="ListNumber"/>
        <w:pageBreakBefore w:val="0"/>
        <w:widowControl/>
      </w:pPr>
      <w:r>
        <w:t>Телефон/email и временное окно не заменяют event_id: повторную доставку одной заявки подавлять атомарно по event_id; разные event_id могут означать самостоятельные заявки.</w:t>
      </w:r>
    </w:p>
    <w:p>
      <w:pPr>
        <w:pageBreakBefore w:val="0"/>
        <w:widowControl/>
      </w:pPr>
      <w:r>
        <w:t>Повторная доставка не должна создавать вторую сделку, повторное событие generate_lead, повторную задачу или вторую запись очереди офлайн конверсий.</w:t>
      </w:r>
    </w:p>
    <w:p>
      <w:pPr>
        <w:pStyle w:val="Heading1"/>
        <w:pageBreakBefore w:val="0"/>
        <w:widowControl/>
      </w:pPr>
      <w:r>
        <w:rPr>
          <w:color w:val="000000"/>
        </w:rPr>
        <w:t>17 Правила именования форм</w:t>
      </w:r>
    </w:p>
    <w:p>
      <w:pPr>
        <w:pStyle w:val="Code"/>
        <w:pageBreakBefore w:val="0"/>
        <w:widowControl/>
      </w:pPr>
      <w:r>
        <w:t>&lt;form id="form-survey-hero" data-form-id="form-survey-hero" data-form-name="Заявка на обследование" data-form-location="hero" data-service-type="inspection" data-requested-action="engineer_visit"&gt;</w:t>
        <w:br/>
        <w:t>&lt;/form&gt;</w:t>
        <w:br/>
        <w:t>Контекст страницы и источник задаются реестром маршрутов GTM.</w:t>
      </w:r>
    </w:p>
    <w:p>
      <w:pPr>
        <w:pageBreakBefore w:val="0"/>
        <w:widowControl/>
      </w:pPr>
      <w:r>
        <w:t>Формат: form-{service_type}-{location}. Примеры: form-survey-hero, form-maintenance-footer, form-installation-calculator, form-design-popup, form-emergency-header. Имена form1, form2 и button123 запрещены.</w:t>
      </w:r>
    </w:p>
    <w:p>
      <w:pPr>
        <w:pStyle w:val="Heading1"/>
        <w:pageBreakBefore w:val="0"/>
        <w:widowControl/>
      </w:pPr>
      <w:r>
        <w:rPr>
          <w:color w:val="000000"/>
        </w:rPr>
        <w:t>18 Состав контейнера GTM</w:t>
      </w:r>
    </w:p>
    <w:p>
      <w:pPr>
        <w:pageBreakBefore w:val="0"/>
        <w:widowControl/>
      </w:pPr>
      <w:r>
        <w:t>Переменные Data Layer Version 2: DLV event_id, form_id, form_name, form_location, service_type, object_type, object_area_range, city, quiz_id, quiz_step.</w:t>
      </w:r>
    </w:p>
    <w:p>
      <w:pPr>
        <w:pageBreakBefore w:val="0"/>
        <w:widowControl/>
      </w:pPr>
      <w:r>
        <w:t>GA4 Event Tags: generate_lead, pz_form_start, pz_quiz_start, pz_quiz_progress, pz_cta_click, pz_cta_click, pz_cta_click, pz_download_document, pz_calculator_complete, pz_form_error.</w:t>
      </w:r>
    </w:p>
    <w:p>
      <w:pPr>
        <w:pageBreakBefore w:val="0"/>
        <w:widowControl/>
      </w:pPr>
      <w:r>
        <w:t>Каждый тег использует G-K3055R6Y7X. Для generate_lead обязательны event_id, form_id, form_name, form_location и service_type.</w:t>
      </w:r>
    </w:p>
    <w:p>
      <w:pPr>
        <w:pStyle w:val="Heading1"/>
        <w:pageBreakBefore w:val="0"/>
        <w:widowControl/>
      </w:pPr>
      <w:r>
        <w:rPr>
          <w:color w:val="000000"/>
        </w:rPr>
        <w:t>19 Отказоустойчивость и безопасность</w:t>
      </w:r>
    </w:p>
    <w:p>
      <w:pPr>
        <w:pStyle w:val="ListBullet"/>
        <w:pageBreakBefore w:val="0"/>
        <w:widowControl/>
      </w:pPr>
      <w:r>
        <w:t>Аналитика не блокирует отправку заявки.</w:t>
      </w:r>
    </w:p>
    <w:p>
      <w:pPr>
        <w:pStyle w:val="ListBullet"/>
        <w:pageBreakBefore w:val="0"/>
        <w:widowControl/>
      </w:pPr>
      <w:r>
        <w:t>Ожидание GA идентификаторов не превышает 1,5 секунды.</w:t>
      </w:r>
    </w:p>
    <w:p>
      <w:pPr>
        <w:pStyle w:val="ListBullet"/>
        <w:pageBreakBefore w:val="0"/>
        <w:widowControl/>
      </w:pPr>
      <w:r>
        <w:t>Сбой GTM, GA4 или localStorage не ломает форму.</w:t>
      </w:r>
    </w:p>
    <w:p>
      <w:pPr>
        <w:pStyle w:val="ListBullet"/>
        <w:pageBreakBefore w:val="0"/>
        <w:widowControl/>
      </w:pPr>
      <w:r>
        <w:t>API Secret отсутствует в клиентском коде.</w:t>
      </w:r>
    </w:p>
    <w:p>
      <w:pPr>
        <w:pStyle w:val="ListBullet"/>
        <w:pageBreakBefore w:val="0"/>
        <w:widowControl/>
      </w:pPr>
      <w:r>
        <w:t>Свободный текст и PII не отправляются в GA4.</w:t>
      </w:r>
    </w:p>
    <w:p>
      <w:pPr>
        <w:pStyle w:val="ListBullet"/>
        <w:pageBreakBefore w:val="0"/>
        <w:widowControl/>
      </w:pPr>
      <w:r>
        <w:t>Скрипт не зависит от внутреннего формата cookies.</w:t>
      </w:r>
    </w:p>
    <w:p>
      <w:pPr>
        <w:pStyle w:val="ListBullet"/>
        <w:pageBreakBefore w:val="0"/>
        <w:widowControl/>
      </w:pPr>
      <w:r>
        <w:t>Обработчики не навешиваются повторно.</w:t>
      </w:r>
    </w:p>
    <w:p>
      <w:pPr>
        <w:pStyle w:val="ListBullet"/>
        <w:pageBreakBefore w:val="0"/>
        <w:widowControl/>
      </w:pPr>
      <w:r>
        <w:t>В консоли браузера отсутствуют необработанные ошибки.</w:t>
      </w:r>
    </w:p>
    <w:p>
      <w:pPr>
        <w:pStyle w:val="Heading1"/>
        <w:pageBreakBefore w:val="0"/>
        <w:widowControl/>
      </w:pPr>
      <w:r>
        <w:rPr>
          <w:color w:val="000000"/>
        </w:rPr>
        <w:t>20 План тестирования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1"/>
        <w:gridCol w:w="3381"/>
        <w:gridCol w:w="3381"/>
      </w:tblGrid>
      <w:tr>
        <w:trPr>
          <w:tblHeader w:val="true"/>
          <w:tblHeader/>
          <w:tblHeader/>
        </w:trPr>
        <w:tc>
          <w:tcPr>
            <w:tcW w:type="dxa" w:w="181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Тест</w:t>
            </w:r>
          </w:p>
        </w:tc>
        <w:tc>
          <w:tcPr>
            <w:tcW w:type="dxa" w:w="351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374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Ожидаемый результат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Google Ads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Открыть URL с UTM и gclid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Все значения дошли в форму, BigQuery и Bitrix24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Прямой заход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Открыть URL без меток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direct / none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Повторный визит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Первый google/cpc, затем instagram/social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First сохранён, Last обновлён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Отказ от cookies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Отклонить аналитику и рекламу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Форма работает, GA IDs могут быть пустыми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Двойной клик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Дважды нажать отправку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Одна заявка, один event_id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Ошибка формы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Не пройти валидацию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Нет generate_lead и сделки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Успешная форма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Отправить валидную заявку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Событие после aftersuccess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Полная цепочка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Проверить все системы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</w:tcPr>
          <w:p>
            <w:pPr>
              <w:keepNext w:val="0"/>
              <w:pageBreakBefore w:val="0"/>
              <w:spacing w:after="0"/>
            </w:pPr>
            <w:r>
              <w:rPr>
                <w:sz w:val="16"/>
              </w:rPr>
              <w:t>Страница -&gt; GA4/Tilda -&gt; Cloud Run -&gt; BigQuery -&gt; Bitrix24</w:t>
            </w:r>
          </w:p>
        </w:tc>
      </w:tr>
    </w:tbl>
    <w:p>
      <w:pPr>
        <w:pageBreakBefore w:val="0"/>
        <w:widowControl/>
        <w:spacing w:after="20"/>
      </w:pPr>
    </w:p>
    <w:p>
      <w:pPr>
        <w:pStyle w:val="Heading2"/>
        <w:pageBreakBefore w:val="0"/>
        <w:widowControl/>
      </w:pPr>
      <w:r>
        <w:rPr>
          <w:color w:val="000000"/>
        </w:rPr>
        <w:t>20.1 Тестовый URL</w:t>
      </w:r>
    </w:p>
    <w:p>
      <w:pPr>
        <w:pStyle w:val="Code"/>
        <w:pageBreakBefore w:val="0"/>
        <w:widowControl/>
      </w:pPr>
      <w:r>
        <w:t>https://pozharnik.kz/test/?utm_source=google&amp;utm_medium=cpc&amp;utm_campaign=aps_almaty_search&amp;utm_content=ad_01&amp;utm_term=montazh_aps&amp;gclid=test_gclid_001</w:t>
      </w:r>
    </w:p>
    <w:p>
      <w:pPr>
        <w:pStyle w:val="Heading1"/>
        <w:pageBreakBefore w:val="0"/>
        <w:widowControl/>
      </w:pPr>
      <w:r>
        <w:rPr>
          <w:color w:val="000000"/>
        </w:rPr>
        <w:t>21 Критерии приёмки</w:t>
      </w:r>
    </w:p>
    <w:p>
      <w:pPr>
        <w:pStyle w:val="ListBullet"/>
        <w:pageBreakBefore w:val="0"/>
        <w:widowControl/>
      </w:pPr>
      <w:r>
        <w:t>☐ На странице нет старых GTM и GA4 контейнеров.</w:t>
      </w:r>
    </w:p>
    <w:p>
      <w:pPr>
        <w:pStyle w:val="ListBullet"/>
        <w:pageBreakBefore w:val="0"/>
        <w:widowControl/>
      </w:pPr>
      <w:r>
        <w:t>☐ Работает G-K3055R6Y7X.</w:t>
      </w:r>
    </w:p>
    <w:p>
      <w:pPr>
        <w:pStyle w:val="ListBullet"/>
        <w:pageBreakBefore w:val="0"/>
        <w:widowControl/>
      </w:pPr>
      <w:r>
        <w:t>☐ Нет двойных page_view.</w:t>
      </w:r>
    </w:p>
    <w:p>
      <w:pPr>
        <w:pStyle w:val="ListBullet"/>
        <w:pageBreakBefore w:val="0"/>
        <w:widowControl/>
      </w:pPr>
      <w:r>
        <w:t>☐ generate_lead появляется только после успешной формы.</w:t>
      </w:r>
    </w:p>
    <w:p>
      <w:pPr>
        <w:pStyle w:val="ListBullet"/>
        <w:pageBreakBefore w:val="0"/>
        <w:widowControl/>
      </w:pPr>
      <w:r>
        <w:t>☐ GA4 получает client_id и ga_session_id при наличии согласия.</w:t>
      </w:r>
    </w:p>
    <w:p>
      <w:pPr>
        <w:pStyle w:val="ListBullet"/>
        <w:pageBreakBefore w:val="0"/>
        <w:widowControl/>
      </w:pPr>
      <w:r>
        <w:t>☐ Bitrix24 получает UTM, click ID и технические поля.</w:t>
      </w:r>
    </w:p>
    <w:p>
      <w:pPr>
        <w:pStyle w:val="ListBullet"/>
        <w:pageBreakBefore w:val="0"/>
        <w:widowControl/>
      </w:pPr>
      <w:r>
        <w:t>☐ First touch не перезаписывается, Last touch обновляется.</w:t>
      </w:r>
    </w:p>
    <w:p>
      <w:pPr>
        <w:pStyle w:val="ListBullet"/>
        <w:pageBreakBefore w:val="0"/>
        <w:widowControl/>
      </w:pPr>
      <w:r>
        <w:t>☐ Отказ пользователя соблюдается.</w:t>
      </w:r>
    </w:p>
    <w:p>
      <w:pPr>
        <w:pStyle w:val="ListBullet"/>
        <w:pageBreakBefore w:val="0"/>
        <w:widowControl/>
      </w:pPr>
      <w:r>
        <w:t>☐ Персональные данные не попадают в GA4.</w:t>
      </w:r>
    </w:p>
    <w:p>
      <w:pPr>
        <w:pStyle w:val="ListBullet"/>
        <w:pageBreakBefore w:val="0"/>
        <w:widowControl/>
      </w:pPr>
      <w:r>
        <w:t>☐ API Secret отсутствует в HTML и GTM.</w:t>
      </w:r>
    </w:p>
    <w:p>
      <w:pPr>
        <w:pStyle w:val="ListBullet"/>
        <w:pageBreakBefore w:val="0"/>
        <w:widowControl/>
      </w:pPr>
      <w:r>
        <w:t>☐ Повтор webhook не создаёт дубль.</w:t>
      </w:r>
    </w:p>
    <w:p>
      <w:pPr>
        <w:pStyle w:val="ListBullet"/>
        <w:pageBreakBefore w:val="0"/>
        <w:widowControl/>
      </w:pPr>
      <w:r>
        <w:t>☐ События видны в GA4 DebugView.</w:t>
      </w:r>
    </w:p>
    <w:p>
      <w:pPr>
        <w:pStyle w:val="ListBullet"/>
        <w:pageBreakBefore w:val="0"/>
        <w:widowControl/>
      </w:pPr>
      <w:r>
        <w:t>☐ Заявка присутствует в BigQuery и связана со сделкой Bitrix24.</w:t>
      </w:r>
    </w:p>
    <w:p>
      <w:pPr>
        <w:pStyle w:val="ListBullet"/>
        <w:pageBreakBefore w:val="0"/>
        <w:widowControl/>
      </w:pPr>
      <w:r>
        <w:t>☐ Все страницы проверены в GTM Preview.</w:t>
      </w:r>
    </w:p>
    <w:p>
      <w:pPr>
        <w:pStyle w:val="ListBullet"/>
        <w:pageBreakBefore w:val="0"/>
        <w:widowControl/>
      </w:pPr>
      <w:r>
        <w:t>☐ Разработчик передал JSON экспорт опубликованного GTM и таблицу страница -&gt; форма -&gt; form_id -&gt; service_type.</w:t>
      </w:r>
    </w:p>
    <w:p>
      <w:pPr>
        <w:pStyle w:val="Heading1"/>
        <w:pageBreakBefore w:val="0"/>
        <w:widowControl/>
      </w:pPr>
      <w:r>
        <w:rPr>
          <w:color w:val="000000"/>
        </w:rPr>
        <w:t>22 Передаваемые результаты</w:t>
      </w:r>
    </w:p>
    <w:p>
      <w:pPr>
        <w:pStyle w:val="ListBullet"/>
        <w:pageBreakBefore w:val="0"/>
        <w:widowControl/>
      </w:pPr>
      <w:r>
        <w:t>Опубликованный GTM контейнер.</w:t>
      </w:r>
    </w:p>
    <w:p>
      <w:pPr>
        <w:pStyle w:val="ListBullet"/>
        <w:pageBreakBefore w:val="0"/>
        <w:widowControl/>
      </w:pPr>
      <w:r>
        <w:t>JSON экспорт версии GTM.</w:t>
      </w:r>
    </w:p>
    <w:p>
      <w:pPr>
        <w:pStyle w:val="ListBullet"/>
        <w:pageBreakBefore w:val="0"/>
        <w:widowControl/>
      </w:pPr>
      <w:r>
        <w:t>Исходный JavaScript файл аналитики.</w:t>
      </w:r>
    </w:p>
    <w:p>
      <w:pPr>
        <w:pStyle w:val="ListBullet"/>
        <w:pageBreakBefore w:val="0"/>
        <w:widowControl/>
      </w:pPr>
      <w:r>
        <w:t>Таблица страниц и форм.</w:t>
      </w:r>
    </w:p>
    <w:p>
      <w:pPr>
        <w:pStyle w:val="ListBullet"/>
        <w:pageBreakBefore w:val="0"/>
        <w:widowControl/>
      </w:pPr>
      <w:r>
        <w:t>Протокол тестирования с event_id тестовых заявок.</w:t>
      </w:r>
    </w:p>
    <w:p>
      <w:pPr>
        <w:pStyle w:val="ListBullet"/>
        <w:pageBreakBefore w:val="0"/>
        <w:widowControl/>
      </w:pPr>
      <w:r>
        <w:t>Список созданных полей Bitrix24 и их технических кодов.</w:t>
      </w:r>
    </w:p>
    <w:p>
      <w:pPr>
        <w:pStyle w:val="ListBullet"/>
        <w:pageBreakBefore w:val="0"/>
        <w:widowControl/>
      </w:pPr>
      <w:r>
        <w:t>Подтверждение данных в GA4 DebugView, BigQuery и Bitrix24.</w:t>
      </w:r>
    </w:p>
    <w:p>
      <w:pPr>
        <w:pStyle w:val="Heading1"/>
        <w:pageBreakBefore w:val="0"/>
        <w:widowControl/>
      </w:pPr>
      <w:r>
        <w:rPr>
          <w:color w:val="000000"/>
        </w:rPr>
        <w:t>23 Ссылки на документацию</w:t>
      </w:r>
    </w:p>
    <w:p>
      <w:pPr>
        <w:pageBreakBefore w:val="0"/>
        <w:widowControl/>
      </w:pPr>
      <w:r>
        <w:t>Consent Mode: https://developers.google.com/tag-platform/security/concepts/consent-mode</w:t>
      </w:r>
    </w:p>
    <w:p>
      <w:pPr>
        <w:pageBreakBefore w:val="0"/>
        <w:widowControl/>
      </w:pPr>
      <w:r>
        <w:t>Google tag API get: https://developers.google.com/tag-platform/gtagjs/reference</w:t>
      </w:r>
    </w:p>
    <w:p>
      <w:pPr>
        <w:pageBreakBefore w:val="0"/>
        <w:widowControl/>
      </w:pPr>
      <w:r>
        <w:t>GA4 Measurement Protocol: https://developers.google.com/analytics/devguides/collection/protocol/ga4/sending-events</w:t>
      </w:r>
    </w:p>
    <w:p>
      <w:pPr>
        <w:pageBreakBefore w:val="0"/>
        <w:widowControl/>
      </w:pPr>
      <w:r>
        <w:t>GTM Data Layer: https://support.google.com/tagmanager/answer/13352957</w:t>
      </w:r>
    </w:p>
    <w:p>
      <w:pPr>
        <w:pageBreakBefore w:val="0"/>
        <w:widowControl/>
      </w:pPr>
      <w:r>
        <w:t>GTM Form Submission: https://support.google.com/tagmanager/answer/7679217</w:t>
      </w:r>
    </w:p>
    <w:p>
      <w:pPr>
        <w:pageBreakBefore w:val="0"/>
        <w:widowControl/>
      </w:pPr>
      <w:r>
        <w:t>Tilda Webhook: https://help.tilda.cc/forms/webhook</w:t>
      </w:r>
    </w:p>
    <w:p>
      <w:pPr>
        <w:pageBreakBefore w:val="0"/>
        <w:widowControl/>
      </w:pPr>
      <w:r>
        <w:t>Tilda Hidden Fields: https://help.tilda.cc/forms-hidden-field</w:t>
      </w:r>
    </w:p>
    <w:p>
      <w:pPr>
        <w:pageBreakBefore w:val="0"/>
        <w:widowControl/>
      </w:pPr>
      <w:r>
        <w:t>Tilda aftersuccess: https://help.tilda.cc/tips/javascript</w:t>
      </w:r>
    </w:p>
    <w:p>
      <w:pPr>
        <w:pStyle w:val="Heading1"/>
        <w:pageBreakBefore w:val="0"/>
        <w:widowControl/>
      </w:pPr>
      <w:r>
        <w:rPr>
          <w:color w:val="000000"/>
        </w:rPr>
        <w:t>24 Единый контракт данных</w:t>
      </w:r>
    </w:p>
    <w:p>
      <w:pPr>
        <w:pageBreakBefore w:val="0"/>
        <w:widowControl/>
      </w:pPr>
      <w:r>
        <w:t>При расхождении терминов приоритет имеет приложение «Единый контракт данных Pozharnik v1.1». Для новых страниц обязательна версия схемы 2.1.</w:t>
      </w:r>
    </w:p>
    <w:p>
      <w:pPr>
        <w:pStyle w:val="ListBullet"/>
        <w:pageBreakBefore w:val="0"/>
        <w:widowControl/>
      </w:pPr>
      <w:r>
        <w:t>Браузер создает event_id до отправки формы. Cloud Run сохраняет корректное значение, а при его отсутствии создает новое; полученный корректный ID не изменяется.</w:t>
      </w:r>
    </w:p>
    <w:p>
      <w:pPr>
        <w:pStyle w:val="ListBullet"/>
        <w:pageBreakBefore w:val="0"/>
        <w:widowControl/>
      </w:pPr>
      <w:r>
        <w:t>В каждый payload добавляются event_name, schema_version=2.1, source_system, event_id и sent_at.</w:t>
      </w:r>
    </w:p>
    <w:p>
      <w:pPr>
        <w:pStyle w:val="ListBullet"/>
        <w:pageBreakBefore w:val="0"/>
        <w:widowControl/>
      </w:pPr>
      <w:r>
        <w:t>GA4 использует ga_client_id, ga_session_id и ga_session_number. visitor_id является отдельным анонимным идентификатором сайта.</w:t>
      </w:r>
    </w:p>
    <w:p>
      <w:pPr>
        <w:pStyle w:val="ListBullet"/>
        <w:pageBreakBefore w:val="0"/>
        <w:widowControl/>
      </w:pPr>
      <w:r>
        <w:t>Канонические страницы: first_landing_page, last_landing_page, page_url и page_path. Поля page_url и page_path не создавать.</w:t>
      </w:r>
    </w:p>
    <w:p>
      <w:pPr>
        <w:pStyle w:val="ListBullet"/>
        <w:pageBreakBefore w:val="0"/>
        <w:widowControl/>
      </w:pPr>
      <w:r>
        <w:t>Добавить os, platform, time_on_page_seconds, max_scroll_percent, cta_text, object_area и project_exists, когда параметр применим к странице или форме.</w:t>
      </w:r>
    </w:p>
    <w:p>
      <w:pPr>
        <w:pStyle w:val="ListBullet"/>
        <w:pageBreakBefore w:val="0"/>
        <w:widowControl/>
      </w:pPr>
      <w:r>
        <w:t>Веб-события имеют префикс pz_. Стандартное GA4-событие generate_lead формируется из pz_form_success и использует тот же event_id.</w:t>
      </w:r>
    </w:p>
    <w:p>
      <w:pPr>
        <w:pageBreakBefore w:val="0"/>
        <w:widowControl/>
      </w:pPr>
      <w:r>
        <w:t>Каноническая последовательность: pz_form_start — начало формы; pz_form_submit — попытка отправки; pz_form_success — успешный ответ формы; generate_lead — производное событие GA4 с тем же event_id; pz_cta_click — клик CTA с параметрами cta_location, cta_text и service_type.</w:t>
      </w:r>
    </w:p>
    <w:p>
      <w:pPr>
        <w:pStyle w:val="Heading1"/>
        <w:pageBreakBefore w:val="0"/>
        <w:widowControl/>
      </w:pPr>
      <w:r>
        <w:rPr>
          <w:color w:val="000000"/>
        </w:rPr>
        <w:t>17 Изменения в версии 1.2</w:t>
      </w:r>
    </w:p>
    <w:p>
      <w:pPr>
        <w:pStyle w:val="ListBullet"/>
        <w:pageBreakBefore w:val="0"/>
        <w:widowControl/>
      </w:pPr>
      <w:r>
        <w:t>Версия 1.2 (17 сентября 2026), по итогам сквозной сверки с единым контрактом данных v1.1 и ТЗ Bitrix24 v1.7: в разделе 16 добавлены first_landing_page, page_path, page_title, form_name и недостающие click-ID (dclid, fbclid, gad_source); поле referrer в передаче в Bitrix24 разделено на first_referrer и last_referrer.</w:t>
      </w:r>
    </w:p>
    <w:p>
      <w:pPr>
        <w:pStyle w:val="Heading1"/>
        <w:pageBreakBefore w:val="0"/>
        <w:widowControl/>
        <w:spacing w:before="120" w:after="160"/>
      </w:pPr>
      <w:r>
        <w:rPr>
          <w:color w:val="000000"/>
        </w:rPr>
        <w:t>Согласованная редакция 1.4</w:t>
      </w:r>
    </w:p>
    <w:p>
      <w:pPr>
        <w:pageBreakBefore w:val="0"/>
        <w:widowControl/>
      </w:pPr>
      <w:r>
        <w:rPr>
          <w:b/>
        </w:rPr>
        <w:t>Дата согласования: 22 сентября 2026 года. Исторический статус прежнего выпуска; новая редакция требует отдельной приёмки внедрения.</w:t>
      </w:r>
      <w:r/>
      <w:r>
        <w:rPr>
          <w:b/>
        </w:rPr>
      </w:r>
      <w:r/>
    </w:p>
    <w:p>
      <w:pPr>
        <w:pageBreakBefore w:val="0"/>
        <w:widowControl/>
        <w:spacing w:after="200"/>
      </w:pPr>
      <w:r>
        <w:t>Эта редакция устраняет расхождения между сайтом, GTM, GA4, Cloud Run, BigQuery и Bitrix24. При конфликте с предыдущими формулировками применяется приведенная ниже матрица. Новые поля и интеграции должны использовать только канонические технические имена.</w:t>
      </w:r>
    </w:p>
    <w:p>
      <w:pPr>
        <w:pStyle w:val="Heading2"/>
        <w:pageBreakBefore w:val="0"/>
        <w:widowControl/>
      </w:pPr>
      <w:r>
        <w:rPr>
          <w:color w:val="000000"/>
        </w:rPr>
        <w:t>Согласованная матрица полей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3"/>
        <w:gridCol w:w="2493"/>
        <w:gridCol w:w="2493"/>
        <w:gridCol w:w="2493"/>
      </w:tblGrid>
      <w:tr>
        <w:trPr>
          <w:tblHeader/>
          <w:tblHeader/>
          <w:tblHeader/>
        </w:trPr>
        <w:tc>
          <w:tcPr>
            <w:tcW w:type="dxa" w:w="1757"/>
            <w:shd w:fill="173B4D"/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3458"/>
            <w:shd w:fill="173B4D"/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Сайт GTM GA4 вебхук</w:t>
            </w:r>
          </w:p>
        </w:tc>
        <w:tc>
          <w:tcPr>
            <w:tcW w:type="dxa" w:w="2948"/>
            <w:shd w:fill="173B4D"/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Bitrix24</w:t>
            </w:r>
          </w:p>
        </w:tc>
        <w:tc>
          <w:tcPr>
            <w:tcW w:type="dxa" w:w="2268"/>
            <w:shd w:fill="173B4D"/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1757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Предмет обращения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service_type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UF_CRM_SERVICE_TYPE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Поле service запрещено и не создается</w:t>
            </w:r>
          </w:p>
        </w:tc>
      </w:tr>
      <w:tr>
        <w:tc>
          <w:tcPr>
            <w:tcW w:type="dxa" w:w="1757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Поисковая фраза</w:t>
            </w:r>
          </w:p>
        </w:tc>
        <w:tc>
          <w:tcPr>
            <w:tcW w:type="dxa" w:w="345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search_term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UF_CRM_SEARCH_TERM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Передается из URL или рекламного контекста</w:t>
            </w:r>
          </w:p>
        </w:tc>
      </w:tr>
      <w:tr>
        <w:tc>
          <w:tcPr>
            <w:tcW w:type="dxa" w:w="1757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Текущий визит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utm_source, utm_medium, utm_campaign, utm_id, utm_content, utm_term, referrer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Не смешивать с first и last touch</w:t>
            </w:r>
          </w:p>
        </w:tc>
      </w:tr>
      <w:tr>
        <w:tc>
          <w:tcPr>
            <w:tcW w:type="dxa" w:w="1757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Первое касание</w:t>
            </w:r>
          </w:p>
        </w:tc>
        <w:tc>
          <w:tcPr>
            <w:tcW w:type="dxa" w:w="345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first_utm_*, first_gclid, first_landing_page, first_referrer, first_visit_at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После записи не перезаписывать</w:t>
            </w:r>
          </w:p>
        </w:tc>
      </w:tr>
      <w:tr>
        <w:tc>
          <w:tcPr>
            <w:tcW w:type="dxa" w:w="1757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Последнее касание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last_utm_*, last_gclid, last_landing_page, last_referrer, last_visit_at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Обновлять при новом визите</w:t>
            </w:r>
          </w:p>
        </w:tc>
      </w:tr>
      <w:tr>
        <w:tc>
          <w:tcPr>
            <w:tcW w:type="dxa" w:w="1757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Рекламные идентификаторы</w:t>
            </w:r>
          </w:p>
        </w:tc>
        <w:tc>
          <w:tcPr>
            <w:tcW w:type="dxa" w:w="345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gclid, gbraid, wbraid, yclid, dclid, fbclid, gad_source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Без переименований и склейки</w:t>
            </w:r>
          </w:p>
        </w:tc>
      </w:tr>
      <w:tr>
        <w:tc>
          <w:tcPr>
            <w:tcW w:type="dxa" w:w="1757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Страница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page_url, page_path, page_title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UF_CRM_PAGE_URL, UF_CRM_PAGE_PATH, UF_CRM_PAGE_TITLE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page_url и page_path не создавать</w:t>
            </w:r>
          </w:p>
        </w:tc>
      </w:tr>
      <w:tr>
        <w:tc>
          <w:tcPr>
            <w:tcW w:type="dxa" w:w="1757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Устройство</w:t>
            </w:r>
          </w:p>
        </w:tc>
        <w:tc>
          <w:tcPr>
            <w:tcW w:type="dxa" w:w="345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device_type, os, platform, screen_resolution, browser_language, timezone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user_agent допускается как техническое поле</w:t>
            </w:r>
          </w:p>
        </w:tc>
      </w:tr>
      <w:tr>
        <w:tc>
          <w:tcPr>
            <w:tcW w:type="dxa" w:w="1757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Согласие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consent_analytics, consent_ads, consent_timestamp, consent_version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Значения granted или denied; unknown не используется</w:t>
            </w:r>
          </w:p>
        </w:tc>
      </w:tr>
      <w:tr>
        <w:tc>
          <w:tcPr>
            <w:tcW w:type="dxa" w:w="1757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ICP</w:t>
            </w:r>
          </w:p>
        </w:tc>
        <w:tc>
          <w:tcPr>
            <w:tcW w:type="dxa" w:w="345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icp_type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UF_CRM_ICP_TYPE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Сценарий клиента; не путать с UF_CRM_ICP_SEGMENT, которое хранит класс A/B/C под ярлыком «ICP: класс»</w:t>
            </w:r>
          </w:p>
        </w:tc>
      </w:tr>
    </w:tbl>
    <w:p>
      <w:pPr>
        <w:pStyle w:val="Heading2"/>
        <w:pageBreakBefore w:val="0"/>
        <w:widowControl/>
      </w:pPr>
      <w:r>
        <w:rPr>
          <w:color w:val="000000"/>
        </w:rPr>
        <w:t>Правила Consent Mode v2</w:t>
      </w:r>
    </w:p>
    <w:p>
      <w:pPr>
        <w:pStyle w:val="ListBullet"/>
        <w:pageBreakBefore w:val="0"/>
        <w:widowControl/>
      </w:pPr>
      <w:r>
        <w:t>До выбора пользователя все четыре сигнала Google Consent Mode имеют значение denied.</w:t>
      </w:r>
    </w:p>
    <w:p>
      <w:pPr>
        <w:pStyle w:val="ListBullet"/>
        <w:pageBreakBefore w:val="0"/>
        <w:widowControl/>
      </w:pPr>
      <w:r>
        <w:t>Кнопка «Принять» устанавливает consent_analytics=granted и consent_ads=granted. Кнопка «Только необходимые» устанавливает оба значения denied.</w:t>
      </w:r>
    </w:p>
    <w:p>
      <w:pPr>
        <w:pStyle w:val="ListBullet"/>
        <w:pageBreakBefore w:val="0"/>
        <w:widowControl/>
      </w:pPr>
      <w:r>
        <w:t>Выбор хранится локально вместе с consent_timestamp и consent_version=1.0 и применяется при последующих визитах.</w:t>
      </w:r>
    </w:p>
    <w:p>
      <w:pPr>
        <w:pStyle w:val="ListBullet"/>
        <w:pageBreakBefore w:val="0"/>
        <w:widowControl/>
      </w:pPr>
      <w:r>
        <w:t>Согласие на обработку персональных данных в форме не заменяет выбор аналитических и рекламных технологий.</w:t>
      </w:r>
    </w:p>
    <w:p>
      <w:pPr>
        <w:pStyle w:val="Heading2"/>
        <w:pageBreakBefore w:val="0"/>
        <w:widowControl/>
      </w:pPr>
      <w:r>
        <w:rPr>
          <w:color w:val="000000"/>
        </w:rPr>
        <w:t>Фактическое состояние внедрения</w:t>
      </w:r>
    </w:p>
    <w:p>
      <w:pPr>
        <w:pageBreakBefore w:val="0"/>
        <w:widowControl/>
      </w:pPr>
      <w:r>
        <w:t>Исторические сведения сохранены для сверки. Они не являются инструкцией повторного внедрения и не отменяют актуальных требований редакции от 08.10.2026.</w:t>
      </w:r>
    </w:p>
    <w:p>
      <w:pPr>
        <w:pStyle w:val="ListBullet"/>
        <w:pageBreakBefore w:val="0"/>
        <w:widowControl/>
      </w:pPr>
      <w:r>
        <w:t>GTM-контейнер GTM-WVGQ5BZ4: опубликована версия 7 с каноническим контрактом данных и Consent Mode v2.</w:t>
      </w:r>
    </w:p>
    <w:p>
      <w:pPr>
        <w:pStyle w:val="ListBullet"/>
        <w:pageBreakBefore w:val="0"/>
        <w:widowControl/>
      </w:pPr>
      <w:r>
        <w:t>GA4: Google tag G-K3055R6Y7X и мост событий pz_*; очередь сохраняет события до загрузки Google tag.</w:t>
      </w:r>
    </w:p>
    <w:p>
      <w:pPr>
        <w:pStyle w:val="ListBullet"/>
        <w:pageBreakBefore w:val="0"/>
        <w:widowControl/>
      </w:pPr>
      <w:r>
        <w:t>Cloud Run: сервис tilda-webhook-to-bigquery, ревизия tilda-webhook-to-bigquery-00061-zb7; маппинг канонических полей в Bitrix24 обновлен.</w:t>
      </w:r>
    </w:p>
    <w:p>
      <w:pPr>
        <w:pStyle w:val="ListBullet"/>
        <w:pageBreakBefore w:val="0"/>
        <w:widowControl/>
      </w:pPr>
      <w:r>
        <w:t>Consent Mode v2: до выбора пользователя analytics_storage, ad_storage, ad_user_data и ad_personalization имеют значение denied. После выбора передаются granted или denied.</w:t>
      </w:r>
    </w:p>
    <w:p>
      <w:pPr>
        <w:pStyle w:val="ListBullet"/>
        <w:pageBreakBefore w:val="0"/>
        <w:widowControl/>
      </w:pPr>
      <w:r>
        <w:t>Тестовый payload contract_test принят вебхуком без создания тестовой сделки в Bitrix24.</w:t>
      </w:r>
    </w:p>
    <w:p>
      <w:pPr>
        <w:pStyle w:val="Heading2"/>
        <w:pageBreakBefore w:val="0"/>
        <w:widowControl/>
      </w:pPr>
      <w:r>
        <w:rPr>
          <w:color w:val="000000"/>
        </w:rPr>
        <w:t>Легаси и запреты</w:t>
      </w:r>
    </w:p>
    <w:p>
      <w:pPr>
        <w:pStyle w:val="ListBullet"/>
        <w:pageBreakBefore w:val="0"/>
        <w:widowControl/>
      </w:pPr>
      <w:r>
        <w:t>Поле service не создавать, не заполнять и не использовать в правилах или отчетах. Единственное поле предмета обращения — service_type.</w:t>
      </w:r>
    </w:p>
    <w:p>
      <w:pPr>
        <w:pStyle w:val="ListBullet"/>
        <w:pageBreakBefore w:val="0"/>
        <w:widowControl/>
      </w:pPr>
      <w:r>
        <w:t>page_url и page_path не использовать. Канонические поля — first_landing_page, last_landing_page, page_url и page_path.</w:t>
      </w:r>
    </w:p>
    <w:p>
      <w:pPr>
        <w:pStyle w:val="ListBullet"/>
        <w:pageBreakBefore w:val="0"/>
        <w:widowControl/>
      </w:pPr>
      <w:r>
        <w:t>Дубли без префикса UF_CRM_ в Bitrix24 не создавать. Существующие дубли сначала выгрузить, сопоставить по техническому коду и только затем архивировать.</w:t>
      </w:r>
    </w:p>
    <w:p>
      <w:pPr>
        <w:pStyle w:val="ListBullet"/>
        <w:pageBreakBefore w:val="0"/>
        <w:widowControl/>
      </w:pPr>
      <w:r>
        <w:t>UF_CRM_ICP_TYPE хранит сценарий ICP-1…ICP-5/ICP-C. Производный класс A/B/C хранится отдельно в UF_CRM_ICP_SEGMENT под ярлыком «ICP: класс». UF_CRM_ICP_SCORE хранит балл. Создавать дубли этих полей запрещено.</w:t>
      </w:r>
    </w:p>
    <w:p>
      <w:pPr>
        <w:pStyle w:val="ListBullet"/>
        <w:pageBreakBefore w:val="0"/>
        <w:widowControl/>
      </w:pPr>
      <w:r>
        <w:t>Текущие UTM и referrer хранятся отдельно от first и last touch.</w:t>
      </w:r>
    </w:p>
    <w:p>
      <w:pPr>
        <w:pStyle w:val="Heading2"/>
        <w:pageBreakBefore w:val="0"/>
        <w:widowControl/>
      </w:pPr>
      <w:r>
        <w:rPr>
          <w:color w:val="000000"/>
        </w:rPr>
        <w:t>Критерии приемки согласованной редакции</w:t>
      </w:r>
    </w:p>
    <w:p>
      <w:pPr>
        <w:pStyle w:val="ListBullet"/>
        <w:pageBreakBefore w:val="0"/>
        <w:widowControl/>
      </w:pPr>
      <w:r>
        <w:t>На новой сессии до выбора пользователя в формах записаны denied, denied, пустой timestamp и consent_version=1.0.</w:t>
      </w:r>
    </w:p>
    <w:p>
      <w:pPr>
        <w:pStyle w:val="ListBullet"/>
        <w:pageBreakBefore w:val="0"/>
        <w:widowControl/>
      </w:pPr>
      <w:r>
        <w:t>После выбора пользователя timestamp заполнен в ISO 8601, а granted или denied одинаковы на странице, в payload и Bitrix24.</w:t>
      </w:r>
    </w:p>
    <w:p>
      <w:pPr>
        <w:pStyle w:val="ListBullet"/>
        <w:pageBreakBefore w:val="0"/>
        <w:widowControl/>
      </w:pPr>
      <w:r>
        <w:t>service_type, search_term, технический контекст, click ID, referrer, page_title и platform передаются без переименования.</w:t>
      </w:r>
    </w:p>
    <w:p>
      <w:pPr>
        <w:pStyle w:val="ListBullet"/>
        <w:pageBreakBefore w:val="0"/>
        <w:widowControl/>
      </w:pPr>
      <w:r>
        <w:t>Один event_id связывает событие страницы, payload, строку BigQuery и запись Bitrix24; повторная доставка не создает дубль.</w:t>
      </w:r>
    </w:p>
    <w:p>
      <w:pPr>
        <w:pStyle w:val="ListBullet"/>
        <w:pageBreakBefore w:val="0"/>
        <w:widowControl/>
      </w:pPr>
      <w:r>
        <w:t>GA4 и Google Ads не получают персональные данные из формы.</w:t>
      </w:r>
    </w:p>
    <w:p>
      <w:pPr>
        <w:pStyle w:val="Heading2"/>
        <w:pageBreakBefore w:val="0"/>
        <w:widowControl/>
      </w:pPr>
      <w:r>
        <w:rPr>
          <w:color w:val="000000"/>
        </w:rPr>
        <w:t>История редакции</w:t>
      </w:r>
    </w:p>
    <w:p>
      <w:pPr>
        <w:pageBreakBefore w:val="0"/>
        <w:widowControl/>
      </w:pPr>
      <w:r>
        <w:t>Исторические сведения сохранены для сверки. Они не являются инструкцией повторного внедрения и не отменяют актуальных требований редакции от 08.10.2026.</w:t>
      </w:r>
    </w:p>
    <w:p>
      <w:pPr>
        <w:pageBreakBefore w:val="0"/>
        <w:widowControl/>
      </w:pPr>
      <w:r>
        <w:t>1.3 от 22 сентября 2026 года. Согласованы канонические имена полей, разделение текущей, первой и последней атрибуции, UF_CRM_ICP_TYPE, Consent Mode v2, вебхук и фактически опубликованные версии интеграций.</w:t>
      </w:r>
    </w:p>
    <w:p>
      <w:pPr>
        <w:pageBreakBefore w:val="0"/>
        <w:widowControl/>
      </w:pPr>
      <w:r>
        <w:br w:type="page"/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25 Аналитика оптимизации конверсии</w:t>
      </w:r>
    </w:p>
    <w:p>
      <w:pPr>
        <w:pageBreakBefore w:val="0"/>
        <w:widowControl/>
      </w:pPr>
      <w:r>
        <w:t>Редакция 1.4 от 22 сентября 2026 года. Требования применяются ко всем страницам, использующим единый шаблон ТЗ.</w:t>
      </w:r>
    </w:p>
    <w:p>
      <w:pPr>
        <w:pStyle w:val="Heading2"/>
        <w:pageBreakBefore w:val="0"/>
        <w:widowControl/>
      </w:pPr>
      <w:r>
        <w:rPr>
          <w:color w:val="000000"/>
        </w:rPr>
        <w:t>Канонические параметры CTA и заявки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tblHeader/>
          <w:tblHeader/>
        </w:trPr>
        <w:tc>
          <w:tcPr>
            <w:tcW w:type="dxa" w:w="1814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/>
              <w:pageBreakBefore w:val="0"/>
            </w:pPr>
            <w:r>
              <w:rPr>
                <w:b/>
                <w:color w:val="000000"/>
                <w:sz w:val="18"/>
              </w:rPr>
              <w:t>Параметр</w:t>
            </w:r>
          </w:p>
        </w:tc>
        <w:tc>
          <w:tcPr>
            <w:tcW w:type="dxa" w:w="2324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/>
              <w:pageBreakBefore w:val="0"/>
            </w:pPr>
            <w:r>
              <w:rPr>
                <w:b/>
                <w:color w:val="000000"/>
                <w:sz w:val="18"/>
              </w:rPr>
              <w:t>Назначение</w:t>
            </w:r>
          </w:p>
        </w:tc>
        <w:tc>
          <w:tcPr>
            <w:tcW w:type="dxa" w:w="3515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/>
              <w:pageBreakBefore w:val="0"/>
            </w:pPr>
            <w:r>
              <w:rPr>
                <w:b/>
                <w:color w:val="000000"/>
                <w:sz w:val="18"/>
              </w:rPr>
              <w:t>Допустимые значения / пример</w:t>
            </w:r>
          </w:p>
        </w:tc>
        <w:tc>
          <w:tcPr>
            <w:tcW w:type="dxa" w:w="2551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/>
              <w:pageBreakBefore w:val="0"/>
            </w:pPr>
            <w:r>
              <w:rPr>
                <w:b/>
                <w:color w:val="000000"/>
                <w:sz w:val="18"/>
              </w:rPr>
              <w:t>Куда передаётся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service_type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Предмет обращения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Код услуги из единого справочника; поле service запрещено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dataLayer → GA4 → webhook → Bitrix24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requested_action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Ожидаемое действие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calculate; engineer_visit; audit_booking; contact_request; document_download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dataLayer → GA4 → webhook → Bitrix24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cta_location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Позиция CTA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hero; after_proof; calculator; emergency_block; final_form; sticky_mobile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dataLayer → GA4 → webhook → Bitrix24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cta_text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Фактический текст кнопки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Получить расчёт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dataLayer → GA4 → webhook → Bitrix24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form_id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Идентификатор формы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home_calculation_form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dataLayer → GA4 → webhook → Bitrix24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event_id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Дедупликация заявки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UUID, неизменный по всей цепочке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Сайт → GA4 → webhook → CRM → Ads</w:t>
            </w:r>
          </w:p>
        </w:tc>
      </w:tr>
    </w:tbl>
    <w:p>
      <w:pPr>
        <w:pageBreakBefore w:val="0"/>
        <w:widowControl/>
      </w:pPr>
    </w:p>
    <w:p>
      <w:pPr>
        <w:pStyle w:val="Heading2"/>
        <w:pageBreakBefore w:val="0"/>
        <w:widowControl/>
      </w:pPr>
      <w:r>
        <w:rPr>
          <w:color w:val="000000"/>
        </w:rPr>
        <w:t>Настройка GTM и GA4</w:t>
      </w:r>
    </w:p>
    <w:p>
      <w:pPr>
        <w:pStyle w:val="ListBullet"/>
        <w:keepLines/>
        <w:pageBreakBefore w:val="0"/>
        <w:widowControl/>
      </w:pPr>
      <w:r>
        <w:t>Создать переменные dataLayer для service_type, requested_action, cta_location, cta_text, form_id и event_id; не извлекать значения из текста DOM, если параметр доступен в dataLayer.</w:t>
      </w:r>
    </w:p>
    <w:p>
      <w:pPr>
        <w:pStyle w:val="ListBullet"/>
        <w:keepLines/>
        <w:pageBreakBefore w:val="0"/>
        <w:widowControl/>
      </w:pPr>
      <w:r>
        <w:t>Настроить GA4-события pz_cta_click, pz_calculator_start, pz_calculator_complete, pz_form_start, pz_form_submit и pz_form_success. generate_lead формируется отдельным тегом только из pz_form_success.</w:t>
      </w:r>
    </w:p>
    <w:p>
      <w:pPr>
        <w:pStyle w:val="ListBullet"/>
        <w:keepLines/>
        <w:pageBreakBefore w:val="0"/>
        <w:widowControl/>
      </w:pPr>
      <w:r>
        <w:t>Зарегистрировать service_type, requested_action, cta_location, cta_text и form_id как пользовательские параметры нужной области видимости; event_id использовать для связи и дедупликации.</w:t>
      </w:r>
    </w:p>
    <w:p>
      <w:pPr>
        <w:pStyle w:val="ListBullet"/>
        <w:keepLines/>
        <w:pageBreakBefore w:val="0"/>
        <w:widowControl/>
      </w:pPr>
      <w:r>
        <w:t>Для Consent Mode v2 сохраняется ранее согласованное поведение: до согласия GA4 работает с denied, а необязательные Метрика и Meta/Facebook не загружаются. Конверсионные параметры не должны содержать телефон, email или имя.</w:t>
      </w:r>
    </w:p>
    <w:p>
      <w:pPr>
        <w:pStyle w:val="ListBullet"/>
        <w:keepLines/>
        <w:pageBreakBefore w:val="0"/>
        <w:widowControl/>
      </w:pPr>
      <w:r>
        <w:t>Сформировать отчёт по странице, service_type, requested_action, cta_location и цепочке от pz_cta_click до квалифицированного лида.</w:t>
      </w:r>
    </w:p>
    <w:p>
      <w:pPr>
        <w:pStyle w:val="Heading2"/>
        <w:pageBreakBefore w:val="0"/>
        <w:widowControl/>
      </w:pPr>
      <w:r>
        <w:rPr>
          <w:color w:val="000000"/>
        </w:rPr>
        <w:t>Метрики сравнения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tblHeader/>
          <w:tblHeader/>
        </w:trPr>
        <w:tc>
          <w:tcPr>
            <w:tcW w:type="dxa" w:w="2551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/>
              <w:pageBreakBefore w:val="0"/>
            </w:pPr>
            <w:r>
              <w:rPr>
                <w:b/>
                <w:color w:val="000000"/>
                <w:sz w:val="18"/>
              </w:rPr>
              <w:t>Метрика</w:t>
            </w:r>
          </w:p>
        </w:tc>
        <w:tc>
          <w:tcPr>
            <w:tcW w:type="dxa" w:w="3969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/>
              <w:pageBreakBefore w:val="0"/>
            </w:pPr>
            <w:r>
              <w:rPr>
                <w:b/>
                <w:color w:val="000000"/>
                <w:sz w:val="18"/>
              </w:rPr>
              <w:t>Формула / источник</w:t>
            </w:r>
          </w:p>
        </w:tc>
        <w:tc>
          <w:tcPr>
            <w:tcW w:type="dxa" w:w="5386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/>
              <w:pageBreakBefore w:val="0"/>
            </w:pPr>
            <w:r>
              <w:rPr>
                <w:b/>
                <w:color w:val="000000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CTR основного CTA</w:t>
            </w:r>
          </w:p>
        </w:tc>
        <w:tc>
          <w:tcPr>
            <w:tcW w:type="dxa" w:w="3969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pz_cta_click / просмотры страницы</w:t>
            </w:r>
          </w:p>
        </w:tc>
        <w:tc>
          <w:tcPr>
            <w:tcW w:type="dxa" w:w="538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Проверка ясности первого действия</w:t>
            </w:r>
          </w:p>
        </w:tc>
      </w:tr>
      <w:tr>
        <w:trPr>
          <w:cantSplit/>
        </w:trPr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Достижение калькулятора</w:t>
            </w:r>
          </w:p>
        </w:tc>
        <w:tc>
          <w:tcPr>
            <w:tcW w:type="dxa" w:w="3969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пользователи pz_calculator_start / пользователи страницы</w:t>
            </w:r>
          </w:p>
        </w:tc>
        <w:tc>
          <w:tcPr>
            <w:tcW w:type="dxa" w:w="538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Проверка раннего размещения</w:t>
            </w:r>
          </w:p>
        </w:tc>
      </w:tr>
      <w:tr>
        <w:trPr>
          <w:cantSplit/>
        </w:trPr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Завершение калькулятора</w:t>
            </w:r>
          </w:p>
        </w:tc>
        <w:tc>
          <w:tcPr>
            <w:tcW w:type="dxa" w:w="3969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pz_calculator_complete / pz_calculator_start</w:t>
            </w:r>
          </w:p>
        </w:tc>
        <w:tc>
          <w:tcPr>
            <w:tcW w:type="dxa" w:w="538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Проверка удобства сценария</w:t>
            </w:r>
          </w:p>
        </w:tc>
      </w:tr>
      <w:tr>
        <w:trPr>
          <w:cantSplit/>
        </w:trPr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Успех формы</w:t>
            </w:r>
          </w:p>
        </w:tc>
        <w:tc>
          <w:tcPr>
            <w:tcW w:type="dxa" w:w="3969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pz_form_success / pz_form_start</w:t>
            </w:r>
          </w:p>
        </w:tc>
        <w:tc>
          <w:tcPr>
            <w:tcW w:type="dxa" w:w="538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Проверка формы</w:t>
            </w:r>
          </w:p>
        </w:tc>
      </w:tr>
      <w:tr>
        <w:trPr>
          <w:cantSplit/>
        </w:trPr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Квалифицированный лид</w:t>
            </w:r>
          </w:p>
        </w:tc>
        <w:tc>
          <w:tcPr>
            <w:tcW w:type="dxa" w:w="3969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Bitrix24 qualified / пользователи страницы</w:t>
            </w:r>
          </w:p>
        </w:tc>
        <w:tc>
          <w:tcPr>
            <w:tcW w:type="dxa" w:w="538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Основная бизнес-метрика</w:t>
            </w:r>
          </w:p>
        </w:tc>
      </w:tr>
      <w:tr>
        <w:trPr>
          <w:cantSplit/>
        </w:trPr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Стоимость квалифицированного лида</w:t>
            </w:r>
          </w:p>
        </w:tc>
        <w:tc>
          <w:tcPr>
            <w:tcW w:type="dxa" w:w="3969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расход Google Ads / qualified</w:t>
            </w:r>
          </w:p>
        </w:tc>
        <w:tc>
          <w:tcPr>
            <w:tcW w:type="dxa" w:w="538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Решение о масштабировании</w:t>
            </w:r>
          </w:p>
        </w:tc>
      </w:tr>
    </w:tbl>
    <w:p>
      <w:pPr>
        <w:pageBreakBefore w:val="0"/>
        <w:widowControl/>
      </w:pPr>
    </w:p>
    <w:p>
      <w:pPr>
        <w:pStyle w:val="Heading2"/>
        <w:pageBreakBefore w:val="0"/>
        <w:widowControl/>
      </w:pPr>
      <w:r>
        <w:rPr>
          <w:color w:val="000000"/>
        </w:rPr>
        <w:t>Критерии приёмки</w:t>
      </w:r>
    </w:p>
    <w:p>
      <w:pPr>
        <w:pStyle w:val="ListBullet"/>
        <w:keepLines/>
        <w:pageBreakBefore w:val="0"/>
        <w:widowControl/>
      </w:pPr>
      <w:r>
        <w:t>На странице визуально доминирует один основной CTA; альтернативные CTA не конкурируют с ним по цвету, размеру и частоте.</w:t>
      </w:r>
    </w:p>
    <w:p>
      <w:pPr>
        <w:pStyle w:val="ListBullet"/>
        <w:keepLines/>
        <w:pageBreakBefore w:val="0"/>
        <w:widowControl/>
      </w:pPr>
      <w:r>
        <w:t>На мобильном устройстве калькулятор или короткая форма доступны не позднее третьего–четвёртого экрана.</w:t>
      </w:r>
    </w:p>
    <w:p>
      <w:pPr>
        <w:pStyle w:val="ListBullet"/>
        <w:keepLines/>
        <w:pageBreakBefore w:val="0"/>
        <w:widowControl/>
      </w:pPr>
      <w:r>
        <w:t>Пересекающиеся блоки и дублирующие медиа отсутствуют; обязательные сведения, доверительные элементы и ключевые сценарии сохранены.</w:t>
      </w:r>
    </w:p>
    <w:p>
      <w:pPr>
        <w:pStyle w:val="ListBullet"/>
        <w:keepLines/>
        <w:pageBreakBefore w:val="0"/>
        <w:widowControl/>
      </w:pPr>
      <w:r>
        <w:t>Для переработанной существующей страницы мобильная высота сокращена на 20–25% по сравнению с сохранённым контрольным снимком, либо оформлено обоснование меньшего сокращения.</w:t>
      </w:r>
    </w:p>
    <w:p>
      <w:pPr>
        <w:pStyle w:val="ListBullet"/>
        <w:keepLines/>
        <w:pageBreakBefore w:val="0"/>
        <w:widowControl/>
      </w:pPr>
      <w:r>
        <w:t>Проверены ширины 360, 390, 768 и 1440 px: нет горизонтального переполнения, обрезанного текста и перекрывающихся кнопок.</w:t>
      </w:r>
    </w:p>
    <w:p>
      <w:pPr>
        <w:pStyle w:val="ListBullet"/>
        <w:keepLines/>
        <w:pageBreakBefore w:val="0"/>
        <w:widowControl/>
      </w:pPr>
      <w:r>
        <w:t>Каждый основной CTA передаёт одинаковые service_type, requested_action, cta_location и cta_text во все системы.</w:t>
      </w:r>
    </w:p>
    <w:p>
      <w:pPr>
        <w:pStyle w:val="ListBullet"/>
        <w:keepLines/>
        <w:pageBreakBefore w:val="0"/>
        <w:widowControl/>
      </w:pPr>
      <w:r>
        <w:t>События pz_cta_click, pz_calculator_start, pz_calculator_complete, pz_form_start, pz_form_submit и pz_form_success проходят тест без дублей; generate_lead создаётся только после pz_form_success с тем же event_id.</w:t>
      </w:r>
    </w:p>
    <w:p>
      <w:pPr>
        <w:pStyle w:val="ListBullet"/>
        <w:keepLines/>
        <w:pageBreakBefore w:val="0"/>
        <w:widowControl/>
      </w:pPr>
      <w:r>
        <w:t>Результат сравнивается с исходной версией после согласованного периода и достаточного объёма трафика; до этого изменение не признаётся победителем только по единичным заявкам.</w:t>
      </w:r>
    </w:p>
    <w:p>
      <w:pPr>
        <w:pStyle w:val="Heading2"/>
        <w:pageBreakBefore w:val="0"/>
        <w:widowControl/>
      </w:pPr>
      <w:r>
        <w:rPr>
          <w:color w:val="000000"/>
        </w:rPr>
        <w:t>История редакции</w:t>
      </w:r>
    </w:p>
    <w:p>
      <w:pPr>
        <w:pageBreakBefore w:val="0"/>
        <w:widowControl/>
      </w:pPr>
      <w:r>
        <w:t>Исторические сведения сохранены для сверки. Они не являются инструкцией повторного внедрения и не отменяют актуальных требований редакции от 08.10.2026.</w:t>
      </w:r>
    </w:p>
    <w:p>
      <w:pPr>
        <w:pageBreakBefore w:val="0"/>
        <w:widowControl/>
      </w:pPr>
      <w:r>
        <w:t>Версия 1.5 от 22 сентября 2026 года: добавлена аналитика единого CTA, калькулятора, мобильной компактности и качества лидов.</w:t>
      </w:r>
    </w:p>
    <w:p>
      <w:pPr>
        <w:pStyle w:val="Heading1"/>
        <w:pageBreakBefore w:val="0"/>
        <w:widowControl/>
      </w:pPr>
      <w:r>
        <w:rPr>
          <w:color w:val="000000"/>
        </w:rPr>
        <w:t>22 Совместимость с тарифом Bitrix24 Стандартный</w:t>
      </w:r>
    </w:p>
    <w:p>
      <w:pPr>
        <w:pageBreakBefore w:val="0"/>
        <w:widowControl/>
      </w:pPr>
      <w:r>
        <w:t>Код страницы, GTM, GA4, формы, webhook и BigQuery не зависит от тарифа Bitrix24. Названия событий, event_id, service_type, UTM, click ID, consent_* и технический контекст сохраняются без изменений.</w:t>
      </w:r>
    </w:p>
    <w:p>
      <w:pPr>
        <w:pageBreakBefore w:val="0"/>
        <w:widowControl/>
      </w:pPr>
      <w:r>
        <w:t>Страница передает customer_type=new по умолчанию. Значение existing допустимо только в специально обозначенных формах обслуживания действующих клиентов либо определяется сервером/CRM по активной сервисной сделке. Страница не рассчитывает ICP, SLA и next_service_date.</w:t>
      </w:r>
    </w:p>
    <w:p>
      <w:pPr>
        <w:pageBreakBefore w:val="0"/>
        <w:widowControl/>
      </w:pPr>
      <w:r>
        <w:t>consent_marketing является отдельным согласием на рекламные коммуникации. Одна кнопка может установить все согласия в granted только при явном тексте, перечисляющем аналитику, рекламу и коммуникации; отказ оставляет consent_marketing=denied.</w:t>
      </w:r>
    </w:p>
    <w:p>
      <w:pPr>
        <w:pageBreakBefore w:val="0"/>
        <w:widowControl/>
      </w:pPr>
      <w:r>
        <w:t>Версия 1.5 от 24 сентября 2026 года. Исправлена модель ICP-полей, добавлены customer_type и consent_marketing, подтверждена неизменность сквозной аналитики при переходе на тариф «Стандартный».</w:t>
      </w:r>
    </w:p>
    <w:p>
      <w:pPr>
        <w:pStyle w:val="Heading1"/>
        <w:pageBreakBefore w:val="0"/>
        <w:widowControl/>
      </w:pPr>
      <w:r>
        <w:rPr>
          <w:color w:val="000000"/>
        </w:rPr>
        <w:t>Единый интерфейс согласия</w:t>
      </w:r>
    </w:p>
    <w:p>
      <w:pPr>
        <w:pageBreakBefore w:val="0"/>
        <w:widowControl/>
      </w:pPr>
      <w:r>
        <w:t>На всех страницах используется один глобальный интерфейс управления согласием. Кнопка «Принять все» одновременно устанавливает consent_analytics=granted, consent_ads=granted и consent_marketing=granted. Рядом должна быть равнозначная кнопка «Только необходимые», устанавливающая эти три необязательных согласия в denied, а также ссылка «Настройки cookies» для последующего изменения выбора.</w:t>
      </w:r>
    </w:p>
    <w:p>
      <w:pPr>
        <w:pStyle w:val="ListBullet"/>
        <w:pageBreakBefore w:val="0"/>
        <w:widowControl/>
      </w:pPr>
      <w:r>
        <w:t>До выбора пользователя analytics_storage, ad_storage, ad_user_data и ad_personalization имеют значение denied. Метрика, Meta/Facebook и другие необязательные маркетинговые системы до согласия не загружаются.</w:t>
      </w:r>
    </w:p>
    <w:p>
      <w:pPr>
        <w:pStyle w:val="ListBullet"/>
        <w:pageBreakBefore w:val="0"/>
        <w:widowControl/>
      </w:pPr>
      <w:r>
        <w:t>Текст рядом с кнопкой «Принять все» прямо перечисляет цели: аналитика использования сайта, персонализация рекламы и рекламные коммуникации. Согласие не считается полученным при одном лишь продолжении просмотра страницы.</w:t>
      </w:r>
    </w:p>
    <w:p>
      <w:pPr>
        <w:pStyle w:val="ListBullet"/>
        <w:pageBreakBefore w:val="0"/>
        <w:widowControl/>
      </w:pPr>
      <w:r>
        <w:t>Выбор сохраняется в consent_analytics, consent_ads, consent_marketing, consent_timestamp и consent_version и одинаково передаётся в dataLayer, форму, webhook, BigQuery и Bitrix24.</w:t>
      </w:r>
    </w:p>
    <w:p>
      <w:pPr>
        <w:pStyle w:val="ListBullet"/>
        <w:pageBreakBefore w:val="0"/>
        <w:widowControl/>
      </w:pPr>
      <w:r>
        <w:t>Обязательное согласие на обработку данных, необходимых для ответа на конкретную заявку, остаётся частью формы заявки и не подменяется cookie-баннером. Отказ от аналитики и рекламы не блокирует отправку формы, телефон или WhatsApp.</w:t>
      </w:r>
    </w:p>
    <w:p>
      <w:pPr>
        <w:pStyle w:val="ListBullet"/>
        <w:pageBreakBefore w:val="0"/>
        <w:widowControl/>
      </w:pPr>
      <w:r>
        <w:t>Запрещены заранее отмеченные флажки, скрытое предоставление согласия и повторный запрос после явного отказа до изменения consent_version или самостоятельного открытия настроек пользователем.</w:t>
      </w:r>
    </w:p>
    <w:p>
      <w:pPr>
        <w:pStyle w:val="Heading1"/>
        <w:pageBreakBefore w:val="0"/>
        <w:widowControl/>
      </w:pPr>
      <w:r>
        <w:rPr>
          <w:color w:val="000000"/>
        </w:rPr>
        <w:t>Единый шаблон подключения аналитики страницы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Style w:val="ListBullet"/>
        <w:pageBreakBefore w:val="0"/>
        <w:widowControl/>
      </w:pPr>
      <w:r>
        <w:t>Канонические атрибуты интерфейса: data-cta-location и data-requested-action для CTA; data-form-id, data-form-name и data-form-location для форм. Легаси data-analytics-location допускается только на период миграции.</w:t>
      </w:r>
    </w:p>
    <w:p>
      <w:pPr>
        <w:pStyle w:val="ListBullet"/>
        <w:pageBreakBefore w:val="0"/>
        <w:widowControl/>
      </w:pPr>
      <w:r>
        <w:t>Глобальный модуль автоматически собирает UTM, gclid, dclid, fbclid, gad_source, referrer, page_title, platform, first/last touch, технический контекст и consent_*. Каноническое поле услуги — service_type; поле service создавать и передавать запрещено.</w:t>
      </w:r>
    </w:p>
    <w:p>
      <w:pPr>
        <w:pStyle w:val="ListBullet"/>
        <w:pageBreakBefore w:val="0"/>
        <w:widowControl/>
      </w:pPr>
      <w:r>
        <w:t>Рабочая форма использует прямой Cloud Run без второго моста Tilda. Штатный приёмщик Tilda подключается только к отдельно обозначенной нативной форме, где он является единственным путём отправки; параллельная доставка запрещена.</w:t>
      </w:r>
    </w:p>
    <w:p>
      <w:pPr>
        <w:pageBreakBefore w:val="0"/>
        <w:widowControl/>
      </w:pPr>
      <w:r>
        <w:t>Версия 1.6 от 28 сентября 2026 года. Добавлены единый интерфейс согласия «Принять все», разделение необязательных согласий и обязательной обработки заявки, а также единый шаблон подключения аналитики страниц.</w:t>
      </w:r>
    </w:p>
    <w:p>
      <w:pPr>
        <w:pStyle w:val="Heading1"/>
        <w:pageBreakBefore w:val="0"/>
        <w:widowControl/>
      </w:pPr>
      <w:r>
        <w:rPr>
          <w:color w:val="000000"/>
        </w:rPr>
        <w:t>Конфигурация страницы и резервный маршрут GTM</w:t>
      </w:r>
    </w:p>
    <w:p>
      <w:pPr>
        <w:pageBreakBefore w:val="0"/>
        <w:widowControl/>
      </w:pPr>
      <w:r>
        <w:t>Канонический источник параметров страницы — реестр маршрутов в опубликованном контейнере GTM. Для каждого pathname реестр обязан задавать page_type, page_name, service_type, customer_type, form_name и form_location. Это обеспечивает единое поведение форм, webhook, Telegram, BigQuery и Bitrix24 без копирования общего аналитического кода на каждую страницу.</w:t>
      </w:r>
    </w:p>
    <w:p>
      <w:pPr>
        <w:pageBreakBefore w:val="0"/>
        <w:widowControl/>
      </w:pPr>
      <w:r>
        <w:t>window.PZ_PAGE_CONFIG является разрешённым необязательным переопределением для страницы. Его используют, если значения конкретной страницы отличаются от реестра GTM или новый маршрут ещё не опубликован в контейнере. Отсутствие объекта не является ошибкой при условии, что GTM корректно определяет маршрут и заполняет все обязательные поля.</w:t>
      </w:r>
    </w:p>
    <w:p>
      <w:pPr>
        <w:pageBreakBefore w:val="0"/>
        <w:widowControl/>
      </w:pPr>
      <w:r>
        <w:t>Приёмка выполняется по фактически переданным данным. Во всех формах должны присутствовать page_url, page_path, page_title, page_type, page_name, source_page, service_type, customer_type, form_name и form_location. page_name и source_page должны однозначно указывать страницу, с которой поступила заявка. Поле service запрещено; используется только service_type.</w:t>
      </w:r>
    </w:p>
    <w:p>
      <w:pPr>
        <w:pStyle w:val="Heading1"/>
        <w:pageBreakBefore w:val="0"/>
        <w:widowControl/>
      </w:pPr>
      <w:r>
        <w:rPr>
          <w:color w:val="000000"/>
        </w:rPr>
        <w:t>Согласованные требования редакции 1.7 от 8 октября 2026 года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ageBreakBefore w:val="0"/>
        <w:widowControl/>
      </w:pPr>
      <w:r>
        <w:t>Во всех формах лид-магнитов обязательно поле «Город / Регион объекта» без предвыбранного значения: Алматы, Алматинская область, Другой регион; для последнего — название региона. Регион относится к объекту, IP его не заменяет. Документ выдаётся автоматически всем. Other_region хранится отдельно в аналитике и CRM без передачи в продажи, задач менеджеру и продажных уведомлений. Для учёта использовать доступную модель CRM и канонические поля, без обязательного смарт-процесса или бизнес-процесса. Сервер проверяет геосегмент и sales_eligible; скрытому полю браузера не доверять.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Heading2"/>
        <w:pageBreakBefore w:val="0"/>
        <w:widowControl/>
      </w:pPr>
      <w:r>
        <w:rPr>
          <w:color w:val="000000"/>
        </w:rPr>
        <w:t>Карта категорий обращения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  <w:tblHeader/>
        </w:trPr>
        <w:tc>
          <w:tcPr>
            <w:tcW w:type="dxa" w:w="4986"/>
            <w:shd w:fill="EAEAEA"/>
          </w:tcPr>
          <w:p>
            <w:pPr>
              <w:keepNext/>
              <w:pageBreakBefore w:val="0"/>
              <w:spacing w:after="80"/>
            </w:pPr>
            <w:r>
              <w:rPr>
                <w:b/>
                <w:sz w:val="20"/>
              </w:rPr>
              <w:t>Технический service_type</w:t>
            </w:r>
          </w:p>
        </w:tc>
        <w:tc>
          <w:tcPr>
            <w:tcW w:type="dxa" w:w="4986"/>
            <w:shd w:fill="EAEAEA"/>
          </w:tcPr>
          <w:p>
            <w:pPr>
              <w:keepNext/>
              <w:pageBreakBefore w:val="0"/>
              <w:spacing w:after="80"/>
            </w:pPr>
            <w:r>
              <w:rPr>
                <w:b/>
                <w:sz w:val="20"/>
              </w:rPr>
              <w:t>Категория UF_CRM_SERVICE_TYPE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aps_maintenance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Обслуживание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inspection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Проверка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installation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Монтаж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aps_installation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Монтаж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aps_modernization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Модернизация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emergency_visit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Авария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emergency_service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Авария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lead_srabotka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Авария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aps_repair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Авария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fire_audit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Пожарный аудит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fire_alarm_design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Проектирование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aps_design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Проектирование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design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Проектирование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extinguisher_recharge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evacuation_plans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fire_hydrant_testing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ispytaniya_pk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stress_test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kuzet_retail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fire_suppression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antiterror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insulation_resistance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fire_ladder_test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fire_safety_training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fire_protection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soue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</w:tbl>
    <w:p>
      <w:pPr>
        <w:pageBreakBefore w:val="0"/>
        <w:widowControl/>
      </w:pPr>
      <w:r>
        <w:t>Карта является требованием новой редакции. Для новых значений kuzet_retail и расширенного списка отдельных услуг зарегистрировать соответствия в рабочем Cloud Run и резервном адаптере, затем проверить на тесте. Строковый код страницы или тип материала не подменяет услугу; на общих страницах service_type берётся из выбранного предмета обращения. Восемь существующих категорий CRM сохраняются; новые категории и воронки автоматически не создаются.</w:t>
      </w:r>
    </w:p>
    <w:p>
      <w:pPr>
        <w:pStyle w:val="Heading2"/>
        <w:pageBreakBefore w:val="0"/>
        <w:widowControl/>
      </w:pPr>
      <w:r>
        <w:rPr>
          <w:color w:val="000000"/>
        </w:rPr>
        <w:t>Исключения обследования и работа координатора</w:t>
      </w:r>
    </w:p>
    <w:p>
      <w:pPr>
        <w:pageBreakBefore w:val="0"/>
        <w:widowControl/>
      </w:pPr>
      <w:r>
        <w:t>Все коммерческие заявки начинают в Общей воронке. Обследование проводится по необходимости. Для Кузет без планового ТО допускается заключение договора без обязательного выезда. Координатор фиксирует обоснование «обследование не требуется»; применимые поля обязательности на стадиях договора не должны блокировать этот путь. Исполнитель подтверждает механизм в текущем виде карточки CRM и отдельным контрольным сценарием, не подставляя фиктивного инженера, даты выезда или акта.</w:t>
      </w:r>
    </w:p>
    <w:p>
      <w:pPr>
        <w:pStyle w:val="Heading2"/>
        <w:pageBreakBefore w:val="0"/>
        <w:widowControl/>
      </w:pPr>
      <w:r>
        <w:rPr>
          <w:color w:val="000000"/>
        </w:rPr>
        <w:t>Четыре направления экономики и пакетный ряд</w:t>
      </w:r>
    </w:p>
    <w:p>
      <w:pPr>
        <w:pageBreakBefore w:val="0"/>
        <w:widowControl/>
      </w:pPr>
      <w:r>
        <w:t>Раздельная аналитика: Кузет, обычное ТО, аутсорсинг документации и монтаж с перспективой обслуживания. Направление определяется сервером по исходной странице, выбранному продукту и фактическому договору; исходная и итоговая услуги сохраняются отдельно. Малая площадь сама по себе не означает низкий приоритет. Весам ICP и ставкам себестоимости требуется утверждение по фактической экономике; браузер не рассчитывает ICP.</w:t>
      </w:r>
    </w:p>
    <w:p>
      <w:pPr>
        <w:pageBreakBefore w:val="0"/>
        <w:widowControl/>
      </w:pPr>
      <w:r>
        <w:t>Контроль — техническое обслуживание, эксплуатационный журнал и ежегодное обследование. Защита — дополнительно согласованная документация, обучение и бесплатные консультации; тренировки и сопровождение являются платными опциями. Премиум — пожарный аутсорсинг, документация и журналы, тренировки и сопровождение проверок, один предварительный аудит в год вместо базового ежегодного обследования. Стоимость рассчитывается индивидуально; при численности более 50 сотрудников учитывать дополнительного инженера. Кузет — отдельное предложение, не нижний пакет обычного ТО.</w:t>
      </w:r>
    </w:p>
    <w:p>
      <w:pPr>
        <w:pageBreakBefore w:val="0"/>
        <w:widowControl/>
      </w:pPr>
      <w:r>
        <w:t>Коммерческий состав обычного ТО: проверка помещений по чек-листу, два капитальных ТО с тестированием и два отдельных тестирования в год; отчёт на следующий рабочий день с приоритетами и динамикой устранения замечаний. Применимость и технические операции определяются по назначению объекта, системе, эксплуатационной документации, действующим нормам и договору. Этот цикл не включён в Базовый Кузет.</w:t>
      </w:r>
    </w:p>
    <w:p>
      <w:pPr>
        <w:pageBreakBefore w:val="0"/>
        <w:widowControl/>
      </w:pPr>
      <w:r>
        <w:t>Ритейл Кузет до 500 м²: услуги Базового Кузет 44 000 ₸/месяц (без планового ТО), Расширенного ТО 90 000 ₸/месяц (без Кузет), PRO 134 000 ₸/месяц (оба компонента). Пример аренды +20 000 ₸ даёт 64 000 / 110 000 / 154 000 ₸, не универсальный тариф. Покупка и аренда — разные договорные модели; аренда не означает автоматический выкуп. Основной ряд /pakety/ не заменять ритейл предложением; URL control/service/full-safe сохранять до решения по карте URL.</w:t>
      </w:r>
    </w:p>
    <w:p>
      <w:pPr>
        <w:pStyle w:val="Heading2"/>
        <w:pageBreakBefore w:val="0"/>
        <w:widowControl/>
      </w:pPr>
      <w:r>
        <w:rPr>
          <w:color w:val="000000"/>
        </w:rPr>
        <w:t>Обязательные контрольные сценарии</w:t>
      </w:r>
    </w:p>
    <w:p>
      <w:pPr>
        <w:pageBreakBefore w:val="0"/>
        <w:widowControl/>
      </w:pPr>
      <w:r>
        <w:t>☐ Одна заявка при granted и denied; полный контекст страницы и одна сделка в Общей воронке; отсутствие второго моста Tilda.</w:t>
      </w:r>
    </w:p>
    <w:p>
      <w:pPr>
        <w:pageBreakBefore w:val="0"/>
        <w:widowControl/>
      </w:pPr>
      <w:r>
        <w:t>☐ Повтор event_id и конкурентная доставка не создают вторую сделку, контакт, задачу или конверсию. Проверка по названию и окну 3 минуты не заменяет идемпотентный ключ.</w:t>
      </w:r>
    </w:p>
    <w:p>
      <w:pPr>
        <w:pageBreakBefore w:val="0"/>
        <w:widowControl/>
      </w:pPr>
      <w:r>
        <w:t>☐ Два объекта одного договора дают один contract_won; перевод той же сделки не повторяет результат; два отдельные договора монтажа и ТО дают два результата.</w:t>
      </w:r>
    </w:p>
    <w:p>
      <w:pPr>
        <w:pageBreakBefore w:val="0"/>
        <w:widowControl/>
      </w:pPr>
      <w:r>
        <w:t>☐ Кузет проходит до подписанного договора без обязательного выезда; обследовательские гейты не обходятся фиктивными значениями.</w:t>
      </w:r>
    </w:p>
    <w:p>
      <w:pPr>
        <w:pageBreakBefore w:val="0"/>
        <w:widowControl/>
      </w:pPr>
      <w:r>
        <w:t>☐ Скачивание другого региона выдаёт файл, фиксируется в CRM/аналитике и не создаёт задачи или уведомления продажам.</w:t>
      </w:r>
    </w:p>
    <w:p>
      <w:pPr>
        <w:pageBreakBefore w:val="0"/>
        <w:widowControl/>
      </w:pPr>
      <w:r>
        <w:t>☐ 10 уникальных договорных конверсий приняты Google Ads; только contract_won находится в наборе целей ставок, включая custom goals.</w:t>
      </w:r>
    </w:p>
    <w:p>
      <w:pPr>
        <w:pageBreakBefore w:val="0"/>
        <w:widowControl/>
      </w:pPr>
      <w:r>
        <w:t>☐ Тестовые данные исключены из ставок, финансовых и маркетинговых отчётов; неизвестная экономика отмечена как недоступная.</w:t>
      </w:r>
    </w:p>
    <w:p>
      <w:pPr>
        <w:pageBreakBefore w:val="0"/>
        <w:widowControl/>
      </w:pPr>
      <w:r>
        <w:t>Редакция фиксирует требования документов и решения владельца на 08.10.2026. Изменения живых GTM, Cloud Run, сайта, CRM и Ads выполняются и принимаются отдельно. Исторические результаты тестов не означают приёмку новых правил.</w:t>
      </w:r>
    </w:p>
    <w:p>
      <w:pPr>
        <w:pStyle w:val="Heading2"/>
        <w:pageBreakBefore w:val="0"/>
        <w:widowControl/>
      </w:pPr>
      <w:r>
        <w:rPr>
          <w:color w:val="000000"/>
        </w:rPr>
        <w:t>Полная подготовка формы до отправки</w:t>
      </w:r>
    </w:p>
    <w:p>
      <w:pPr>
        <w:pageBreakBefore w:val="0"/>
        <w:widowControl/>
      </w:pPr>
      <w:r>
        <w:t>Дождаться готовности конфигурации маршрута и заполнения обязательных канонических полей. Создать event_id до запроса; не менять его в aftersuccess. Сохранить введённые данные при ошибке, заблокировать повторный клик на время запроса; после подтверждения приёмщика очистить форму. Динамические формы регистрируются один раз, обработчики повторно не навешиваются. Пустые GA ID при denied допустимы; пустые service_type в выбранной услуге и form_id не допустимы.</w:t>
      </w:r>
    </w:p>
    <w:p>
      <w:pPr>
        <w:pageBreakBefore w:val="0"/>
        <w:widowControl/>
      </w:pPr>
      <w:r>
        <w:t>В полной матрице передачи обязательны page_url, page_path, page_title, page_type, page_name, source_page, service_type, customer_type, requested_action, cta_location, cta_text, form_id, form_name, form_location, event_id, consent_analytics, consent_ads, consent_marketing, consent_timestamp и consent_version. Поле service запрещено. Конкретные UF-коды берутся из карты CRM; повторный бизнес-факт не возникает от доставки в несколько систем.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>pozharnik.kz  |  Техническое задание по аналитике страниц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20"/>
      <w:ind w:left="227" w:right="113"/>
      <w:shd w:fill="F3F5F7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