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widowControl/>
        <w:jc w:val="left"/>
      </w:pPr>
      <w:r>
        <w:rPr>
          <w:color w:val="000000"/>
          <w:u w:val="none"/>
        </w:rPr>
        <w:t>Техническое задание на настройку аналитического контура Bitrix24</w:t>
      </w:r>
    </w:p>
    <w:p>
      <w:pPr>
        <w:pageBreakBefore w:val="0"/>
        <w:widowControl/>
      </w:pPr>
      <w:r>
        <w:t>Действующая редакция 1.28 от 08.10.2026. Основание — медиаплан 4.5 и решение владельца о начале обучения после 10 договоров. Изменения требований не означают изменения живых настроек. Единственная основная конверсия Google Ads — contract_won из CRM по факту заключения договора, с фактической датой заключения. Форма, квалификация, назначение и проведение выезда, КП, счёт, оплата и завершение работ — Secondary и не включаются в цели кампании для ставок, включая custom goals. Начало обучения рекламы — после 10 уникальных подтверждённых contract_won, успешно переданных в Google Ads; промежуточные стадии в этот порог не входят.</w:t>
      </w:r>
    </w:p>
    <w:p>
      <w:pPr>
        <w:pageBreakBefore w:val="0"/>
        <w:widowControl/>
      </w:pPr>
      <w:r>
        <w:rPr>
          <w:b/>
        </w:rPr>
        <w:t>Pozharnik.kz</w:t>
      </w:r>
      <w:r>
        <w:br/>
        <w:t>Воронки продаж, обследования и выполнения работ по АПС</w:t>
      </w:r>
    </w:p>
    <w:p>
      <w:pPr>
        <w:pageBreakBefore w:val="0"/>
        <w:widowControl/>
      </w:pPr>
      <w:r>
        <w:t>Версия 1.28 · 8 октября 2026 года</w:t>
      </w:r>
    </w:p>
    <w:p>
      <w:pPr>
        <w:pageBreakBefore w:val="0"/>
        <w:widowControl/>
      </w:pPr>
    </w:p>
    <w:p>
      <w:pPr>
        <w:pStyle w:val="Heading1"/>
        <w:keepNext/>
        <w:pageBreakBefore w:val="0"/>
        <w:widowControl/>
      </w:pPr>
      <w:r>
        <w:rPr>
          <w:color w:val="000000"/>
          <w:u w:val="none"/>
        </w:rPr>
        <w:t>Назначение документа</w:t>
      </w:r>
    </w:p>
    <w:p>
      <w:pPr>
        <w:pageBreakBefore w:val="0"/>
        <w:widowControl/>
      </w:pPr>
      <w:r>
        <w:t>Настроить Bitrix24 как единый операционный источник о привлечении, квалификации, обследованиях, продажах и выполнении работ. Он хранит договорные условия и связи, а подтверждённые деньги и документы поступают из банка и 1С в управленческий контур. Сохраняются first-touch/last-touch, исходное обращение и детализация до источника.</w:t>
      </w:r>
    </w:p>
    <w:p>
      <w:pPr>
        <w:pageBreakBefore w:val="0"/>
        <w:widowControl/>
      </w:pPr>
      <w:r>
        <w:t>Основной управленческий результат — достоверно считать стоимость квалифицированного обращения ICP A или B, состоявшегося обследования, отправленного расчета, выигранной сделки, валовую прибыль и новый MRR по источнику, кампании, услуге, типу объекта и ответственному.</w:t>
      </w:r>
    </w:p>
    <w:p>
      <w:pPr>
        <w:pageBreakBefore w:val="0"/>
        <w:widowControl/>
      </w:pPr>
      <w:r>
        <w:t>Редакция 1.28 согласует рабочие требования с медиапланом 4.5 и решениями владельца от 08.10.2026. Два этапа CRM сохраняются; действующие правила конверсий, маршрута и исключений заменяют прежние указания. Исторические статусы не подтверждают приёмку новой редакции.</w:t>
      </w:r>
    </w:p>
    <w:p>
      <w:pPr>
        <w:pStyle w:val="Heading1"/>
        <w:keepNext/>
        <w:pageBreakBefore w:val="0"/>
        <w:widowControl/>
      </w:pPr>
      <w:r>
        <w:rPr>
          <w:color w:val="000000"/>
          <w:u w:val="none"/>
        </w:rPr>
        <w:t>1 Основание и приоритеты</w:t>
      </w:r>
    </w:p>
    <w:p>
      <w:pPr>
        <w:pageBreakBefore w:val="0"/>
        <w:widowControl/>
      </w:pPr>
      <w:r>
        <w:t>Требования сформированы с учетом медиаплана Pozharnik.kz версии 4.5. В нем приоритет отдан обслуживанию АПС и смене подрядчика, монтажу B2B, аудиту и неисправностям как входу в ТО, а также проектированию и модернизации как направлениям с высоким потенциальным чеком и LTV.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blHeader/>
          <w:tblHeader/>
        </w:trPr>
        <w:tc>
          <w:tcPr>
            <w:tcW w:type="dxa" w:w="3118"/>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Принцип медиаплана</w:t>
            </w:r>
          </w:p>
        </w:tc>
        <w:tc>
          <w:tcPr>
            <w:tcW w:type="dxa" w:w="6520"/>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Реализация в Bitrix24</w:t>
            </w:r>
          </w:p>
        </w:tc>
      </w:tr>
      <w:tr>
        <w:trPr>
          <w:cantSplit/>
        </w:trPr>
        <w:tc>
          <w:tcPr>
            <w:tcW w:type="dxa" w:w="311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Оптимизация по бизнес-событиям</w:t>
            </w:r>
          </w:p>
        </w:tc>
        <w:tc>
          <w:tcPr>
            <w:tcW w:type="dxa" w:w="652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Отдельно фиксировать qualified_lead, visit_scheduled, visit_done, quote_sent, invoice_issued, payment_received и contract_won.</w:t>
            </w:r>
          </w:p>
        </w:tc>
      </w:tr>
      <w:tr>
        <w:trPr>
          <w:cantSplit/>
        </w:trPr>
        <w:tc>
          <w:tcPr>
            <w:tcW w:type="dxa" w:w="311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Приоритет ICP A/B</w:t>
            </w:r>
          </w:p>
        </w:tc>
        <w:tc>
          <w:tcPr>
            <w:tcW w:type="dxa" w:w="652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Автоскоринг 0–100, класс A/B/C, SLA реакции и аналитика стоимости ICP A/B.</w:t>
            </w:r>
          </w:p>
        </w:tc>
      </w:tr>
      <w:tr>
        <w:trPr>
          <w:cantSplit/>
        </w:trPr>
        <w:tc>
          <w:tcPr>
            <w:tcW w:type="dxa" w:w="311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Выезд и расчёт — диагностические этапы; главная конверсия — договор</w:t>
            </w:r>
          </w:p>
        </w:tc>
        <w:tc>
          <w:tcPr>
            <w:tcW w:type="dxa" w:w="652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 xml:space="preserve">Обследование проводится в Общей воронке тремя стадиями (раздел 22, ред. 1.20): обязательные поля каждой стадии технически блокируют переход штатной настройкой «Обязательное на стадии»; для сделок воронки «Продажа ТО АПС» сохраняется проверка перехода на «КП отправлено» и последующие (ред. 1.19). Остальные обязательные поля КП контролируются отчетностью и напоминаниями ответственному, без технического блокирования перехода между стадиями.</w:t>
            </w:r>
          </w:p>
        </w:tc>
      </w:tr>
      <w:tr>
        <w:trPr>
          <w:cantSplit/>
        </w:trPr>
        <w:tc>
          <w:tcPr>
            <w:tcW w:type="dxa" w:w="311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Сквозная атрибуция</w:t>
            </w:r>
          </w:p>
        </w:tc>
        <w:tc>
          <w:tcPr>
            <w:tcW w:type="dxa" w:w="652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UTM, landing, referrer, GCLID, GBRAID, WBRAID и GA4 client_id сохраняются в первичном обращении и переносятся в сделки без перезаписи first-touch.</w:t>
            </w:r>
          </w:p>
        </w:tc>
      </w:tr>
      <w:tr>
        <w:trPr>
          <w:cantSplit/>
        </w:trPr>
        <w:tc>
          <w:tcPr>
            <w:tcW w:type="dxa" w:w="311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Recurring revenue</w:t>
            </w:r>
          </w:p>
        </w:tc>
        <w:tc>
          <w:tcPr>
            <w:tcW w:type="dxa" w:w="652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ТО учитывается как MRR, годовой доход, срок договора, плановые работы и продление.</w:t>
            </w:r>
          </w:p>
        </w:tc>
      </w:tr>
    </w:tbl>
    <w:p>
      <w:pPr>
        <w:pageBreakBefore w:val="0"/>
        <w:widowControl/>
        <w:spacing w:after="20"/>
      </w:pPr>
    </w:p>
    <w:p>
      <w:pPr>
        <w:pStyle w:val="Heading1"/>
        <w:keepNext/>
        <w:pageBreakBefore w:val="0"/>
        <w:widowControl/>
      </w:pPr>
      <w:r>
        <w:rPr>
          <w:color w:val="000000"/>
          <w:u w:val="none"/>
        </w:rPr>
        <w:t>2 Границы проекта</w:t>
      </w:r>
    </w:p>
    <w:p>
      <w:pPr>
        <w:pageBreakBefore w:val="0"/>
        <w:widowControl/>
      </w:pPr>
      <w:r>
        <w:t>В объем настройки входят CRM, воронки сделок, задачи, роботы, обязательные поля, права CRM, представления, контроль качества данных, BI-отчеты и спецификация интеграций сайта, телефонии, почты, GA4 и Google Ads. Решение проектируется для облачного Bitrix24 на тарифе «Стандартный» и не зависит от бизнес-процессов, Списков, регулярных задач и расширенных прав доступа на проекты.</w:t>
      </w:r>
    </w:p>
    <w:p>
      <w:pPr>
        <w:pageBreakBefore w:val="0"/>
        <w:widowControl/>
      </w:pPr>
      <w:r>
        <w:t>Бухгалтерский, складской учёт и юридически значимый ЭДО остаются в учётных системах. Банк подтверждает движение денег, 1С — проведённые документы и стоимость, Bitrix24 — действия, договорные условия и операционный статус. В CRM фиксируются номер/ID счета, сумма, срок и отражённая оплата с источником подтверждения; это не второй финансовый регистр.</w:t>
      </w:r>
    </w:p>
    <w:p>
      <w:pPr>
        <w:pageBreakBefore w:val="0"/>
        <w:widowControl/>
      </w:pPr>
      <w:r>
        <w:br w:type="page"/>
      </w:r>
    </w:p>
    <w:p>
      <w:pPr>
        <w:pStyle w:val="Heading1"/>
        <w:keepNext/>
        <w:pageBreakBefore w:val="0"/>
        <w:widowControl/>
      </w:pPr>
      <w:r>
        <w:rPr>
          <w:color w:val="000000"/>
          <w:u w:val="none"/>
        </w:rPr>
        <w:t>3 Целевая архитектура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blHeader/>
          <w:tblHeader/>
        </w:trPr>
        <w:tc>
          <w:tcPr>
            <w:tcW w:type="dxa" w:w="1928"/>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Сущность</w:t>
            </w:r>
          </w:p>
        </w:tc>
        <w:tc>
          <w:tcPr>
            <w:tcW w:type="dxa" w:w="4082"/>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Назначение</w:t>
            </w:r>
          </w:p>
        </w:tc>
        <w:tc>
          <w:tcPr>
            <w:tcW w:type="dxa" w:w="3628"/>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Ключевая связь</w:t>
            </w:r>
          </w:p>
        </w:tc>
      </w:tr>
      <w:tr>
        <w:trPr>
          <w:cantSplit/>
        </w:trPr>
        <w:tc>
          <w:tcPr>
            <w:tcW w:type="dxa" w:w="19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Лид или входящее обращение</w:t>
            </w:r>
          </w:p>
        </w:tc>
        <w:tc>
          <w:tcPr>
            <w:tcW w:type="dxa" w:w="4082"/>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Первичный контакт, источник, рекламные идентификаторы, квалификация и дедупликация.</w:t>
            </w:r>
          </w:p>
        </w:tc>
        <w:tc>
          <w:tcPr>
            <w:tcW w:type="dxa" w:w="36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Рабочий сайт создает сделку напрямую. Для канала с Лидами конвертация сохраняет исходный ID обращения и атрибуцию.</w:t>
            </w:r>
          </w:p>
        </w:tc>
      </w:tr>
      <w:tr>
        <w:trPr>
          <w:cantSplit/>
        </w:trPr>
        <w:tc>
          <w:tcPr>
            <w:tcW w:type="dxa" w:w="19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Компания</w:t>
            </w:r>
          </w:p>
        </w:tc>
        <w:tc>
          <w:tcPr>
            <w:tcW w:type="dxa" w:w="4082"/>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Юридическое лицо и сводная клиентская аналитика.</w:t>
            </w:r>
          </w:p>
        </w:tc>
        <w:tc>
          <w:tcPr>
            <w:tcW w:type="dxa" w:w="36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Связана с контактами, объектами, сделками, счетами и работами.</w:t>
            </w:r>
          </w:p>
        </w:tc>
      </w:tr>
      <w:tr>
        <w:trPr>
          <w:cantSplit/>
        </w:trPr>
        <w:tc>
          <w:tcPr>
            <w:tcW w:type="dxa" w:w="19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Контакт</w:t>
            </w:r>
          </w:p>
        </w:tc>
        <w:tc>
          <w:tcPr>
            <w:tcW w:type="dxa" w:w="4082"/>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ЛПР и влияющие лица с ролью в закупке.</w:t>
            </w:r>
          </w:p>
        </w:tc>
        <w:tc>
          <w:tcPr>
            <w:tcW w:type="dxa" w:w="36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Может быть связан с несколькими объектами и сделками компании.</w:t>
            </w:r>
          </w:p>
        </w:tc>
      </w:tr>
      <w:tr>
        <w:trPr>
          <w:cantSplit/>
        </w:trPr>
        <w:tc>
          <w:tcPr>
            <w:tcW w:type="dxa" w:w="19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Объект</w:t>
            </w:r>
          </w:p>
        </w:tc>
        <w:tc>
          <w:tcPr>
            <w:tcW w:type="dxa" w:w="4082"/>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rPr>
              <w:t>Объект с устойчивым ID в доступной модели CRM; адрес, площадь, тип, системы и график — атрибуты. Физическое размещение и реальные UF-коды фиксируют на обследовании.</w:t>
            </w:r>
          </w:p>
        </w:tc>
        <w:tc>
          <w:tcPr>
            <w:tcW w:type="dxa" w:w="36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Один объект — много обследований, сделок и работ.</w:t>
            </w:r>
          </w:p>
        </w:tc>
      </w:tr>
      <w:tr>
        <w:trPr>
          <w:cantSplit/>
        </w:trPr>
        <w:tc>
          <w:tcPr>
            <w:tcW w:type="dxa" w:w="19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Обследование</w:t>
            </w:r>
          </w:p>
        </w:tc>
        <w:tc>
          <w:tcPr>
            <w:tcW w:type="dxa" w:w="4082"/>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 xml:space="preserve">Три стадии первичной квалификации в Общей воронке (назначено, проведено — на проверке, принято) с чек-листом, результатом, дефектами и приложениями (раздел 22).</w:t>
            </w:r>
          </w:p>
        </w:tc>
        <w:tc>
          <w:tcPr>
            <w:tcW w:type="dxa" w:w="36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После приемки координатор меняет воронку той же сделки; сохраняются ID, объект и выводы.</w:t>
            </w:r>
          </w:p>
        </w:tc>
      </w:tr>
      <w:tr>
        <w:trPr>
          <w:cantSplit/>
        </w:trPr>
        <w:tc>
          <w:tcPr>
            <w:tcW w:type="dxa" w:w="19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Сделки продаж</w:t>
            </w:r>
          </w:p>
        </w:tc>
        <w:tc>
          <w:tcPr>
            <w:tcW w:type="dxa" w:w="4082"/>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Четыре отдельные воронки: ТО АПС, монтаж АПС, проектирование, при необходимости расширение.</w:t>
            </w:r>
          </w:p>
        </w:tc>
        <w:tc>
          <w:tcPr>
            <w:tcW w:type="dxa" w:w="36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Содержат коммерческие показатели и источник.</w:t>
            </w:r>
          </w:p>
        </w:tc>
      </w:tr>
      <w:tr>
        <w:trPr>
          <w:cantSplit/>
        </w:trPr>
        <w:tc>
          <w:tcPr>
            <w:tcW w:type="dxa" w:w="19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Выполнение работ</w:t>
            </w:r>
          </w:p>
        </w:tc>
        <w:tc>
          <w:tcPr>
            <w:tcW w:type="dxa" w:w="4082"/>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Отдельная воронка сделок «Обслуживание текущих клиентов».</w:t>
            </w:r>
          </w:p>
        </w:tc>
        <w:tc>
          <w:tcPr>
            <w:tcW w:type="dxa" w:w="36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Связан с объектом, договором, техником, отчетом и счетом.</w:t>
            </w:r>
          </w:p>
        </w:tc>
      </w:tr>
      <w:tr>
        <w:trPr>
          <w:cantSplit/>
        </w:trPr>
        <w:tc>
          <w:tcPr>
            <w:tcW w:type="dxa" w:w="19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Оборудование к замене</w:t>
            </w:r>
          </w:p>
        </w:tc>
        <w:tc>
          <w:tcPr>
            <w:tcW w:type="dxa" w:w="4082"/>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Поле-список сделки и позиции электронного чек-листа.</w:t>
            </w:r>
          </w:p>
        </w:tc>
        <w:tc>
          <w:tcPr>
            <w:tcW w:type="dxa" w:w="362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Из отмеченных позиций создается задача на счет.</w:t>
            </w:r>
          </w:p>
        </w:tc>
      </w:tr>
    </w:tbl>
    <w:p>
      <w:pPr>
        <w:pageBreakBefore w:val="0"/>
        <w:widowControl/>
        <w:spacing w:after="20"/>
      </w:pPr>
    </w:p>
    <w:p>
      <w:pPr>
        <w:pageBreakBefore w:val="0"/>
        <w:widowControl/>
      </w:pPr>
      <w:r>
        <w:t>Кардинальность: компания 1:N объектов; объект 1:N обследований, сделок и работ; договор N:M объектов через структурированную связь; договор 1:N строк услуг; строка услуги 1:N работ; работа 1:N задач и замечаний; платежи N:M обязательств через распределение. Системные ID неизменяемы. Работы не увеличивают число договоров или MRR; правила общего паспорта MG-01–10 обязательны.</w:t>
      </w:r>
    </w:p>
    <w:p>
      <w:pPr>
        <w:pageBreakBefore w:val="0"/>
        <w:widowControl/>
      </w:pPr>
      <w:r>
        <w:rPr>
          <w:b/>
        </w:rPr>
        <w:t xml:space="preserve">Решение (28.09.2026): </w:t>
      </w:r>
      <w:r>
        <w:t xml:space="preserve">задача всех продуктовых воронок — довести клиента до заключения Договора на ТО и перевода в воронку «Обслуживание текущих клиентов», при этом обязательно выполнив требования законодательства в области пожарной безопасности: разработать проектную документацию, выполнить монтаж в соответствии с проектом и заключить Договор на ТО. Сама архитектура — отдельные продуктовые воронки, ведущие к воронке ОТК — остаётся; сами же этапы (стадии) внутри воронок будут приведены в соответствие с табл. 7–10 ТЗ.</w:t>
      </w:r>
    </w:p>
    <w:p>
      <w:pPr>
        <w:pStyle w:val="Heading1"/>
        <w:keepNext/>
        <w:pageBreakBefore w:val="0"/>
        <w:widowControl/>
      </w:pPr>
      <w:r>
        <w:rPr>
          <w:color w:val="000000"/>
          <w:u w:val="none"/>
        </w:rPr>
        <w:t>4 Единые справочники и поля</w:t>
      </w:r>
    </w:p>
    <w:p>
      <w:pPr>
        <w:pStyle w:val="Heading2"/>
        <w:keepNext/>
        <w:pageBreakBefore w:val="0"/>
        <w:widowControl/>
      </w:pPr>
      <w:r>
        <w:rPr>
          <w:color w:val="000000"/>
          <w:u w:val="none"/>
        </w:rPr>
        <w:t>4.1 Справочники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blHeader/>
          <w:tblHeader/>
        </w:trPr>
        <w:tc>
          <w:tcPr>
            <w:tcW w:type="dxa" w:w="272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Справочник</w:t>
            </w:r>
          </w:p>
        </w:tc>
        <w:tc>
          <w:tcPr>
            <w:tcW w:type="dxa" w:w="6917"/>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Значения или правило</w:t>
            </w:r>
          </w:p>
        </w:tc>
      </w:tr>
      <w:tr>
        <w:trPr>
          <w:cantSplit/>
        </w:trPr>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Услуга</w:t>
            </w:r>
          </w:p>
        </w:tc>
        <w:tc>
          <w:tcPr>
            <w:tcW w:type="dxa" w:w="691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Обследование; ТО АПС; монтаж АПС; проектирование; ремонт; модернизация; аудит; отдельная услуга.</w:t>
            </w:r>
          </w:p>
        </w:tc>
      </w:tr>
      <w:tr>
        <w:trPr>
          <w:cantSplit/>
        </w:trPr>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Тип объекта</w:t>
            </w:r>
          </w:p>
        </w:tc>
        <w:tc>
          <w:tcPr>
            <w:tcW w:type="dxa" w:w="691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Склад; логистика; производство; БЦ; торговля; медицина; общепит; офис; другое.</w:t>
            </w:r>
          </w:p>
        </w:tc>
      </w:tr>
      <w:tr>
        <w:trPr>
          <w:cantSplit/>
        </w:trPr>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Роль в закупке</w:t>
            </w:r>
          </w:p>
        </w:tc>
        <w:tc>
          <w:tcPr>
            <w:tcW w:type="dxa" w:w="691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ЛПР; влияющий; procurement; технический специалист; инициатор.</w:t>
            </w:r>
          </w:p>
        </w:tc>
      </w:tr>
      <w:tr>
        <w:trPr>
          <w:cantSplit/>
        </w:trPr>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Триггер</w:t>
            </w:r>
          </w:p>
        </w:tc>
        <w:tc>
          <w:tcPr>
            <w:tcW w:type="dxa" w:w="691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Новое строительство; смена подрядчика; неисправность; проверка; реконструкция; модернизация; окончание договора; отдельная услуга.</w:t>
            </w:r>
          </w:p>
        </w:tc>
      </w:tr>
      <w:tr>
        <w:trPr>
          <w:cantSplit/>
        </w:trPr>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Причина проигрыша</w:t>
            </w:r>
          </w:p>
        </w:tc>
        <w:tc>
          <w:tcPr>
            <w:tcW w:type="dxa" w:w="691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Цена; нет бюджета; отложено; выбран конкурент; нецелевой регион; B2C; нет компетенции; не вышли на связь; дубль; иное с комментарием.</w:t>
            </w:r>
          </w:p>
        </w:tc>
      </w:tr>
      <w:tr>
        <w:trPr>
          <w:cantSplit/>
        </w:trPr>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Вид работы ТО</w:t>
            </w:r>
          </w:p>
        </w:tc>
        <w:tc>
          <w:tcPr>
            <w:tcW w:type="dxa" w:w="691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Ежемесячный осмотр; капитальное ТО; тестирование.</w:t>
            </w:r>
          </w:p>
        </w:tc>
      </w:tr>
      <w:tr>
        <w:trPr>
          <w:cantSplit/>
        </w:trPr>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Статус позиции оборудования</w:t>
            </w:r>
          </w:p>
        </w:tc>
        <w:tc>
          <w:tcPr>
            <w:tcW w:type="dxa" w:w="691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Исправно; неисправно; требуется замена; требуется диагностика; заменено.</w:t>
            </w:r>
          </w:p>
        </w:tc>
      </w:tr>
      <w:tr>
        <w:trPr>
          <w:cantSplit/>
        </w:trPr>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Статус клиента</w:t>
            </w:r>
          </w:p>
        </w:tc>
        <w:tc>
          <w:tcPr>
            <w:tcW w:type="dxa" w:w="691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rPr>
              <w:t>Статус компании — производный от подтверждённых договоров и услуг по карте ID. Действующее ТО имеет приоритет при другой продаже; пауза и уход проверяются по всем договорам компании. Расторжение одного не делает компанию бывшим клиентом при другом действующем договоре. Название не является ключом связи. Ручной комментарий содержит причину/дату/основание; финансовые показатели выводятся из договоров, а не из ярлыка компании.</w:t>
            </w:r>
          </w:p>
        </w:tc>
      </w:tr>
    </w:tbl>
    <w:p>
      <w:pPr>
        <w:pageBreakBefore w:val="0"/>
        <w:widowControl/>
        <w:spacing w:after="20"/>
      </w:pPr>
    </w:p>
    <w:p>
      <w:pPr>
        <w:pStyle w:val="Heading2"/>
        <w:keepNext/>
        <w:pageBreakBefore w:val="0"/>
        <w:widowControl/>
      </w:pPr>
      <w:r>
        <w:rPr>
          <w:color w:val="000000"/>
          <w:u w:val="none"/>
        </w:rPr>
        <w:t>4.2 Атрибуция и маркетинг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blHeader/>
          <w:tblHeader/>
        </w:trPr>
        <w:tc>
          <w:tcPr>
            <w:tcW w:type="dxa" w:w="3458"/>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Поле</w:t>
            </w:r>
          </w:p>
        </w:tc>
        <w:tc>
          <w:tcPr>
            <w:tcW w:type="dxa" w:w="170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Тип</w:t>
            </w:r>
          </w:p>
        </w:tc>
        <w:tc>
          <w:tcPr>
            <w:tcW w:type="dxa" w:w="4479"/>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Правило</w:t>
            </w:r>
          </w:p>
        </w:tc>
      </w:tr>
      <w:tr>
        <w:trPr>
          <w:cantSplit/>
        </w:trPr>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UF_CRM_FIRST_UTM_SOURCE/MEDIUM/CAMPAIGN/CONTENT/TERM</w:t>
            </w:r>
          </w:p>
        </w:tc>
        <w:tc>
          <w:tcPr>
            <w:tcW w:type="dxa" w:w="170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Строка</w:t>
            </w:r>
          </w:p>
        </w:tc>
        <w:tc>
          <w:tcPr>
            <w:tcW w:type="dxa" w:w="447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Заполняются при первом известном касании и больше не перезаписываются.</w:t>
            </w:r>
          </w:p>
        </w:tc>
      </w:tr>
      <w:tr>
        <w:trPr>
          <w:cantSplit/>
        </w:trPr>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UF_CRM_LAST_UTM_SOURCE/MEDIUM/CAMPAIGN/CONTENT/TERM</w:t>
            </w:r>
          </w:p>
        </w:tc>
        <w:tc>
          <w:tcPr>
            <w:tcW w:type="dxa" w:w="170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Строка</w:t>
            </w:r>
          </w:p>
        </w:tc>
        <w:tc>
          <w:tcPr>
            <w:tcW w:type="dxa" w:w="447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Обновляются при каждом новом идентифицированном обращении.</w:t>
            </w:r>
          </w:p>
        </w:tc>
      </w:tr>
      <w:tr>
        <w:trPr>
          <w:cantSplit/>
        </w:trPr>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UF_CRM_FIRST_LANDING / UF_CRM_LAST_LANDING</w:t>
            </w:r>
          </w:p>
        </w:tc>
        <w:tc>
          <w:tcPr>
            <w:tcW w:type="dxa" w:w="170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URL</w:t>
            </w:r>
          </w:p>
        </w:tc>
        <w:tc>
          <w:tcPr>
            <w:tcW w:type="dxa" w:w="447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Первая и последняя посадочные страницы.</w:t>
            </w:r>
          </w:p>
        </w:tc>
      </w:tr>
      <w:tr>
        <w:trPr>
          <w:cantSplit/>
        </w:trPr>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UF_CRM_FIRST_REFERRER / UF_CRM_LAST_REFERRER</w:t>
            </w:r>
          </w:p>
        </w:tc>
        <w:tc>
          <w:tcPr>
            <w:tcW w:type="dxa" w:w="170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URL</w:t>
            </w:r>
          </w:p>
        </w:tc>
        <w:tc>
          <w:tcPr>
            <w:tcW w:type="dxa" w:w="447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Источник перехода; direct хранить явно.</w:t>
            </w:r>
          </w:p>
        </w:tc>
      </w:tr>
      <w:tr>
        <w:trPr>
          <w:cantSplit/>
        </w:trPr>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UF_CRM_GCLID / UF_CRM_GBRAID / UF_CRM_WBRAID / UF_CRM_DCLID / UF_CRM_FBCLID / UF_CRM_GAD_SOURCE</w:t>
            </w:r>
          </w:p>
        </w:tc>
        <w:tc>
          <w:tcPr>
            <w:tcW w:type="dxa" w:w="170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Строка</w:t>
            </w:r>
          </w:p>
        </w:tc>
        <w:tc>
          <w:tcPr>
            <w:tcW w:type="dxa" w:w="447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Не терять при конвертации; хранить последний валидный идентификатор и время получения.</w:t>
            </w:r>
          </w:p>
        </w:tc>
      </w:tr>
      <w:tr>
        <w:trPr>
          <w:cantSplit/>
        </w:trPr>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UF_CRM_GA_CLIENT_ID</w:t>
            </w:r>
          </w:p>
        </w:tc>
        <w:tc>
          <w:tcPr>
            <w:tcW w:type="dxa" w:w="170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Строка</w:t>
            </w:r>
          </w:p>
        </w:tc>
        <w:tc>
          <w:tcPr>
            <w:tcW w:type="dxa" w:w="447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Передается из формы или call-tracking и используется для сквозной связи.</w:t>
            </w:r>
          </w:p>
        </w:tc>
      </w:tr>
      <w:tr>
        <w:trPr>
          <w:cantSplit/>
        </w:trPr>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UF_CRM_SOURCE_FORM / UF_CRM_FORM_ID / UF_CRM_FORM_NAME / UF_CRM_FORM_LOCATION</w:t>
            </w:r>
          </w:p>
        </w:tc>
        <w:tc>
          <w:tcPr>
            <w:tcW w:type="dxa" w:w="170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Список/строка</w:t>
            </w:r>
          </w:p>
        </w:tc>
        <w:tc>
          <w:tcPr>
            <w:tcW w:type="dxa" w:w="447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SOURCE_FORM — канал обращения (форма, калькулятор, звонок, WhatsApp, email, ручной ввод, импорт); FORM_ID — технический ID формы; FORM_NAME — понятное название формы; FORM_LOCATION — расположение на странице (hero/footer/popup/calculator).</w:t>
            </w:r>
          </w:p>
        </w:tc>
      </w:tr>
      <w:tr>
        <w:trPr>
          <w:cantSplit/>
        </w:trPr>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UF_CRM_SEARCH_TERM</w:t>
            </w:r>
          </w:p>
        </w:tc>
        <w:tc>
          <w:tcPr>
            <w:tcW w:type="dxa" w:w="170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Строка</w:t>
            </w:r>
          </w:p>
        </w:tc>
        <w:tc>
          <w:tcPr>
            <w:tcW w:type="dxa" w:w="447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Фактический поисковый запрос при доступности данных.</w:t>
            </w:r>
          </w:p>
        </w:tc>
      </w:tr>
      <w:tr>
        <w:trPr>
          <w:cantSplit/>
        </w:trPr>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UF_CRM_YCLID</w:t>
            </w:r>
          </w:p>
        </w:tc>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Строка</w:t>
            </w:r>
          </w:p>
        </w:tc>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ID клика Яндекс.Директ; хранить значение и время получения.</w:t>
            </w:r>
          </w:p>
        </w:tc>
      </w:tr>
      <w:tr>
        <w:trPr>
          <w:cantSplit/>
        </w:trPr>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UF_CRM_VISITOR_ID / UF_CRM_GA_SESSION_ID</w:t>
            </w:r>
          </w:p>
        </w:tc>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Строка</w:t>
            </w:r>
          </w:p>
        </w:tc>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Анонимные ID посетителя и сессии; не использовать как персональные данные.</w:t>
            </w:r>
          </w:p>
        </w:tc>
      </w:tr>
      <w:tr>
        <w:trPr>
          <w:cantSplit/>
        </w:trPr>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UF_CRM_EVENT_ID / UF_CRM_SCHEMA_VERSION</w:t>
            </w:r>
          </w:p>
        </w:tc>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Строка</w:t>
            </w:r>
          </w:p>
        </w:tc>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Уникальный ID события и версия контракта данных для дедупликации.</w:t>
            </w:r>
          </w:p>
        </w:tc>
      </w:tr>
      <w:tr>
        <w:trPr>
          <w:cantSplit/>
        </w:trPr>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UF_CRM_PAGE_TITLE / UF_CRM_CTA_LOCATION / UF_CRM_CTA_TEXT</w:t>
            </w:r>
          </w:p>
        </w:tc>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Строка</w:t>
            </w:r>
          </w:p>
        </w:tc>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Страница и точка конверсии, сформировавшие обращение.</w:t>
            </w:r>
          </w:p>
        </w:tc>
      </w:tr>
      <w:tr>
        <w:trPr>
          <w:cantSplit/>
        </w:trPr>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UF_CRM_DEVICE_TYPE / UF_CRM_DEVICE_OS</w:t>
            </w:r>
          </w:p>
        </w:tc>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Строка</w:t>
            </w:r>
          </w:p>
        </w:tc>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Категория устройства и операционная система.</w:t>
            </w:r>
          </w:p>
        </w:tc>
      </w:tr>
      <w:tr>
        <w:trPr>
          <w:cantSplit/>
        </w:trPr>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UF_CRM_TIME_ON_PAGE_SECONDS / UF_CRM_SCROLL_DEPTH_PERCENT</w:t>
            </w:r>
          </w:p>
        </w:tc>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Число</w:t>
            </w:r>
          </w:p>
        </w:tc>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Время до отправки формы и максимальная глубина просмотра.</w:t>
            </w:r>
          </w:p>
        </w:tc>
      </w:tr>
      <w:tr>
        <w:trPr>
          <w:cantSplit/>
        </w:trPr>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UF_CRM_CALL_ID / UF_CRM_CALL_SOURCE / UF_CRM_CALL_RECORDING_URL</w:t>
            </w:r>
          </w:p>
        </w:tc>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Строка/URL</w:t>
            </w:r>
          </w:p>
        </w:tc>
        <w:tc>
          <w:tcPr>
            <w:tcW w:type="dxa" w:w="336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Идентификаторы коллтрекинга, источник номера и ссылка на запись.</w:t>
            </w:r>
          </w:p>
        </w:tc>
      </w:tr>
    </w:tbl>
    <w:p>
      <w:pPr>
        <w:pageBreakBefore w:val="0"/>
        <w:widowControl/>
        <w:spacing w:after="20"/>
      </w:pPr>
    </w:p>
    <w:p>
      <w:pPr>
        <w:pStyle w:val="Heading2"/>
        <w:keepNext/>
        <w:pageBreakBefore w:val="0"/>
        <w:widowControl/>
      </w:pPr>
      <w:r>
        <w:rPr>
          <w:color w:val="000000"/>
          <w:u w:val="none"/>
        </w:rPr>
        <w:t>4.3 Клиент, объект и потребность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blHeader/>
          <w:tblHeader/>
        </w:trPr>
        <w:tc>
          <w:tcPr>
            <w:tcW w:type="dxa" w:w="221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Блок</w:t>
            </w:r>
          </w:p>
        </w:tc>
        <w:tc>
          <w:tcPr>
            <w:tcW w:type="dxa" w:w="7427"/>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Обязательные поля</w:t>
            </w:r>
          </w:p>
        </w:tc>
      </w:tr>
      <w:tr>
        <w:trPr>
          <w:cantSplit/>
        </w:trPr>
        <w:tc>
          <w:tcPr>
            <w:tcW w:type="dxa" w:w="221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Компания и контакт</w:t>
            </w:r>
          </w:p>
        </w:tc>
        <w:tc>
          <w:tcPr>
            <w:tcW w:type="dxa" w:w="742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Название, БИН при наличии, контакт, телефон/email, должность, роль в закупке, согласие на обработку, статус клиента (см. 4.1).</w:t>
            </w:r>
          </w:p>
        </w:tc>
      </w:tr>
      <w:tr>
        <w:trPr>
          <w:cantSplit/>
        </w:trPr>
        <w:tc>
          <w:tcPr>
            <w:tcW w:type="dxa" w:w="221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Объект</w:t>
            </w:r>
          </w:p>
        </w:tc>
        <w:tc>
          <w:tcPr>
            <w:tcW w:type="dxa" w:w="742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Регион, адрес, координаты при наличии, тип, отрасль, площадь, этажность, число объектов, действующая АПС, производитель/модель, год ввода, текущий подрядчик, дата окончания договора.</w:t>
            </w:r>
          </w:p>
        </w:tc>
      </w:tr>
      <w:tr>
        <w:trPr>
          <w:cantSplit/>
        </w:trPr>
        <w:tc>
          <w:tcPr>
            <w:tcW w:type="dxa" w:w="221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Потребность</w:t>
            </w:r>
          </w:p>
        </w:tc>
        <w:tc>
          <w:tcPr>
            <w:tcW w:type="dxa" w:w="742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Услуга, триггер, проблема, срочность, дата проверки или открытия, наличие проекта, бюджет/диапазон, следующий шаг и дата.</w:t>
            </w:r>
          </w:p>
        </w:tc>
      </w:tr>
      <w:tr>
        <w:trPr>
          <w:cantSplit/>
        </w:trPr>
        <w:tc>
          <w:tcPr>
            <w:tcW w:type="dxa" w:w="221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Коммерция</w:t>
            </w:r>
          </w:p>
        </w:tc>
        <w:tc>
          <w:tcPr>
            <w:tcW w:type="dxa" w:w="742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Сумма расчета/КП, дата отправки, счет, дата счета, оплата, сумма договора, разовый доход, MRR, годовой доход, валовая прибыль, срок договора.</w:t>
            </w:r>
          </w:p>
        </w:tc>
      </w:tr>
      <w:tr>
        <w:trPr>
          <w:cantSplit/>
        </w:trPr>
        <w:tc>
          <w:tcPr>
            <w:tcW w:type="dxa" w:w="221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Контроль</w:t>
            </w:r>
          </w:p>
        </w:tc>
        <w:tc>
          <w:tcPr>
            <w:tcW w:type="dxa" w:w="742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ICP-score, класс A/B/C, ответственный, причина отказа, дата и результат последнего контакта, дата следующего шага.</w:t>
            </w:r>
          </w:p>
        </w:tc>
      </w:tr>
    </w:tbl>
    <w:p>
      <w:pPr>
        <w:pageBreakBefore w:val="0"/>
        <w:widowControl/>
        <w:spacing w:after="20"/>
      </w:pPr>
    </w:p>
    <w:p>
      <w:pPr>
        <w:pStyle w:val="Heading1"/>
        <w:keepNext/>
        <w:pageBreakBefore w:val="0"/>
        <w:widowControl/>
      </w:pPr>
      <w:r>
        <w:rPr>
          <w:color w:val="000000"/>
          <w:u w:val="none"/>
        </w:rPr>
        <w:t>5 Квалификация и ICP scoring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blHeader/>
          <w:tblHeader/>
        </w:trPr>
        <w:tc>
          <w:tcPr>
            <w:tcW w:type="dxa" w:w="7654"/>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Условие</w:t>
            </w:r>
          </w:p>
        </w:tc>
        <w:tc>
          <w:tcPr>
            <w:tcW w:type="dxa" w:w="1984"/>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Баллы</w:t>
            </w:r>
          </w:p>
        </w:tc>
      </w:tr>
      <w:tr>
        <w:trPr>
          <w:cantSplit/>
        </w:trPr>
        <w:tc>
          <w:tcPr>
            <w:tcW w:type="dxa" w:w="76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Площадь объекта не менее 3 000 м²</w:t>
            </w:r>
          </w:p>
        </w:tc>
        <w:tc>
          <w:tcPr>
            <w:tcW w:type="dxa" w:w="198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+20</w:t>
            </w:r>
          </w:p>
        </w:tc>
      </w:tr>
      <w:tr>
        <w:trPr>
          <w:cantSplit/>
        </w:trPr>
        <w:tc>
          <w:tcPr>
            <w:tcW w:type="dxa" w:w="76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Склад, логистика или производство</w:t>
            </w:r>
          </w:p>
        </w:tc>
        <w:tc>
          <w:tcPr>
            <w:tcW w:type="dxa" w:w="198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+15</w:t>
            </w:r>
          </w:p>
        </w:tc>
      </w:tr>
      <w:tr>
        <w:trPr>
          <w:cantSplit/>
        </w:trPr>
        <w:tc>
          <w:tcPr>
            <w:tcW w:type="dxa" w:w="76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Есть действующая АПС</w:t>
            </w:r>
          </w:p>
        </w:tc>
        <w:tc>
          <w:tcPr>
            <w:tcW w:type="dxa" w:w="198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+15</w:t>
            </w:r>
          </w:p>
        </w:tc>
      </w:tr>
      <w:tr>
        <w:trPr>
          <w:cantSplit/>
        </w:trPr>
        <w:tc>
          <w:tcPr>
            <w:tcW w:type="dxa" w:w="76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Два объекта и более</w:t>
            </w:r>
          </w:p>
        </w:tc>
        <w:tc>
          <w:tcPr>
            <w:tcW w:type="dxa" w:w="198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+10</w:t>
            </w:r>
          </w:p>
        </w:tc>
      </w:tr>
      <w:tr>
        <w:trPr>
          <w:cantSplit/>
        </w:trPr>
        <w:tc>
          <w:tcPr>
            <w:tcW w:type="dxa" w:w="76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Контакт — технический ЛПР</w:t>
            </w:r>
          </w:p>
        </w:tc>
        <w:tc>
          <w:tcPr>
            <w:tcW w:type="dxa" w:w="198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+10</w:t>
            </w:r>
          </w:p>
        </w:tc>
      </w:tr>
      <w:tr>
        <w:trPr>
          <w:cantSplit/>
        </w:trPr>
        <w:tc>
          <w:tcPr>
            <w:tcW w:type="dxa" w:w="76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Есть недовольство текущим подрядчиком</w:t>
            </w:r>
          </w:p>
        </w:tc>
        <w:tc>
          <w:tcPr>
            <w:tcW w:type="dxa" w:w="198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+10</w:t>
            </w:r>
          </w:p>
        </w:tc>
      </w:tr>
      <w:tr>
        <w:trPr>
          <w:cantSplit/>
        </w:trPr>
        <w:tc>
          <w:tcPr>
            <w:tcW w:type="dxa" w:w="76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Договор заканчивается в течение 90 дней</w:t>
            </w:r>
          </w:p>
        </w:tc>
        <w:tc>
          <w:tcPr>
            <w:tcW w:type="dxa" w:w="198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+10</w:t>
            </w:r>
          </w:p>
        </w:tc>
      </w:tr>
      <w:tr>
        <w:trPr>
          <w:cantSplit/>
        </w:trPr>
        <w:tc>
          <w:tcPr>
            <w:tcW w:type="dxa" w:w="76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Триггер аудит или проверка</w:t>
            </w:r>
          </w:p>
        </w:tc>
        <w:tc>
          <w:tcPr>
            <w:tcW w:type="dxa" w:w="198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+5</w:t>
            </w:r>
          </w:p>
        </w:tc>
      </w:tr>
      <w:tr>
        <w:trPr>
          <w:cantSplit/>
        </w:trPr>
        <w:tc>
          <w:tcPr>
            <w:tcW w:type="dxa" w:w="76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Согласован следующий шаг и дата</w:t>
            </w:r>
          </w:p>
        </w:tc>
        <w:tc>
          <w:tcPr>
            <w:tcW w:type="dxa" w:w="198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+5</w:t>
            </w:r>
          </w:p>
        </w:tc>
      </w:tr>
    </w:tbl>
    <w:p>
      <w:pPr>
        <w:pageBreakBefore w:val="0"/>
        <w:widowControl/>
        <w:spacing w:after="20"/>
      </w:pPr>
    </w:p>
    <w:p>
      <w:pPr>
        <w:pageBreakBefore w:val="0"/>
        <w:widowControl/>
      </w:pPr>
      <w:r>
        <w:t>Класс A — 70–100, B — 50–69, C — менее 50; UF_CRM_ICP_SEGMENT заполняется роботами и не редактируется вручную. В воронке обследования балл UF_CRM_ICP_SCORE вычисляется заново при входе на стадию, в том числе перед приемкой. При изменении полей на той же стадии он обновляется при следующем переходе; FIELD_CHANGED для пересчета не использовать. Ручная корректировка балла доступна руководителю с обязательным комментарием. Квалифицированное обращение: представитель организации, объект в зоне обслуживания, услуга в компетенции компании и согласован следующий шаг.</w:t>
      </w:r>
    </w:p>
    <w:p>
      <w:pPr>
        <w:pageBreakBefore w:val="0"/>
        <w:widowControl/>
      </w:pPr>
      <w:r>
        <w:t>Расчет балла ICP выполняется роботами CRM «Изменить значение поля» по условиям таблицы. Поля UF_CRM_ICP_TYPE, UF_CRM_ICP_SCORE и UF_CRM_ICP_SEGMENT сохраняются в карточке сделки; класс A/B/C пересчитывается вслед за баллом и не редактируется вручную. Бизнес-процессы и Списки не используются. Если в конкретной воронке возможностей формул роботов недостаточно, расчет выполняет действующий Cloud Run webhook по каноническим полям с записью результата и технического журнала, без создания полей-дублей.</w:t>
      </w:r>
    </w:p>
    <w:p>
      <w:pPr>
        <w:pStyle w:val="Heading1"/>
        <w:keepNext/>
        <w:pageBreakBefore w:val="0"/>
        <w:widowControl/>
      </w:pPr>
      <w:r>
        <w:rPr>
          <w:color w:val="000000"/>
          <w:u w:val="none"/>
        </w:rPr>
        <w:t>6 Процессы и стадии</w:t>
      </w:r>
    </w:p>
    <w:p>
      <w:pPr>
        <w:pStyle w:val="Heading2"/>
        <w:keepNext/>
        <w:pageBreakBefore w:val="0"/>
        <w:widowControl/>
      </w:pPr>
      <w:r>
        <w:rPr>
          <w:color w:val="000000"/>
          <w:u w:val="none"/>
        </w:rPr>
        <w:t>6.1 Продажа ТО АПС</w:t>
      </w:r>
    </w:p>
    <w:p>
      <w:pPr>
        <w:pStyle w:val="Heading3"/>
        <w:keepNext/>
        <w:pageBreakBefore w:val="0"/>
        <w:widowControl/>
      </w:pPr>
      <w:r>
        <w:rPr>
          <w:color w:val="000000"/>
          <w:u w:val="none"/>
        </w:rPr>
        <w:t>Стадии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blHeader/>
          <w:tblHeader/>
        </w:trPr>
        <w:tc>
          <w:tcPr>
            <w:tcW w:type="dxa" w:w="204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Стадия</w:t>
            </w:r>
          </w:p>
        </w:tc>
        <w:tc>
          <w:tcPr>
            <w:tcW w:type="dxa" w:w="4365"/>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Условие входа и обязательные данные</w:t>
            </w:r>
          </w:p>
        </w:tc>
        <w:tc>
          <w:tcPr>
            <w:tcW w:type="dxa" w:w="323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Автоматизация и контроль</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Новая</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Связанный объект и потребность, источник.</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Назначить ответственного; рассчитать ICP.</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Квалификация</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Площадь, АПС, подрядчик, окончание договора, число объектов, ЛПР.</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Контроль следующего шага.</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Требуется обследование</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Нет достаточных технических данных.</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Создать связанное обследование.</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Расчет тарифа</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Состав систем, график, SLA, виды работ, расходы.</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Задача подготовить калькуляцию.</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КП отправлено</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Сумма, дата, файл/ссылка КП, MRR, срок договора. Переход на эту и последующие стадии блокируется без ответственного инженера, даты и времени обследования и файла чек-листа обследования (ред. 1.19).</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Событие quote_sent; follow-up через 1 и 3 рабочих дня.</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Согласование</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Зафиксированы возражения и следующая дата.</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Просрочка следующего шага — эскалация.</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Счет / договор</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Номер и сумма счета, статус договора.</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Контроль оплаты и подписания.</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Выиграно</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rPr>
              <w:t>Подписанный договор, подтверждённые ID договора и фактическая дата заключения; объекты и услуги связаны с договором в реестре. Оплата, MRR, прибыль и даты начала работ учитываются отдельно и не блокируют contract_won.</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Создать график работ и первую работу ТО; contract_won.</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Проиграно</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Обязательны причина и конкурент при наличии.</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Закрыть открытые задачи; сохранить nurturing дату.</w:t>
            </w:r>
          </w:p>
        </w:tc>
      </w:tr>
    </w:tbl>
    <w:p>
      <w:pPr>
        <w:pageBreakBefore w:val="0"/>
        <w:widowControl/>
        <w:spacing w:after="20"/>
      </w:pPr>
    </w:p>
    <w:p>
      <w:pPr>
        <w:pageBreakBefore w:val="0"/>
        <w:widowControl/>
      </w:pPr>
      <w:r>
        <w:rPr>
          <w:b/>
        </w:rPr>
        <w:t xml:space="preserve">Обследование: обязательные данные перехода (ред. 1.19).</w:t>
      </w:r>
      <w:r>
        <w:t xml:space="preserve"> Переход сделки воронки «Продажа ТО АПС» на стадию «КП отправлено» и на последующие выигрышные стадии блокируется штатной настройкой Bitrix24 «Обязательное на стадии», пока не заполнены три поля. Проигранные стадии («Отказ», «Отложено») проверкой не затрагиваются, чтобы клиент мог отказаться до обследования.</w:t>
      </w:r>
    </w:p>
    <w:p>
      <w:pPr>
        <w:pStyle w:val="ListBullet"/>
        <w:pageBreakBefore w:val="0"/>
        <w:widowControl/>
      </w:pPr>
      <w:r>
        <w:t>«Ответственный инженер» — техник обследования; с редакции 1.20 назначается координатором на стадии «Обследование назначено» Общей воронки (раздел 22) и сохраняется в той же сделке при смене ее воронки.</w:t>
      </w:r>
    </w:p>
    <w:p>
      <w:pPr>
        <w:pStyle w:val="ListBullet"/>
        <w:pageBreakBefore w:val="0"/>
        <w:widowControl/>
      </w:pPr>
      <w:r>
        <w:t xml:space="preserve">«Дата и время обследования» — плановые дата и время выезда; с редакции 1.20 задаются координатором на стадии «Обследование назначено» (раздел 22).</w:t>
      </w:r>
    </w:p>
    <w:p>
      <w:pPr>
        <w:pStyle w:val="ListBullet"/>
        <w:pageBreakBefore w:val="0"/>
        <w:widowControl/>
      </w:pPr>
      <w:r>
        <w:t xml:space="preserve">«Файлы чек-листов и актов» — файл с готовым заполненным чек-листом обследования (результат и обязательные пункты); загружает инженер или координатор.</w:t>
      </w:r>
    </w:p>
    <w:p>
      <w:pPr>
        <w:pStyle w:val="ListBullet"/>
        <w:pageBreakBefore w:val="0"/>
        <w:widowControl/>
      </w:pPr>
      <w:r>
        <w:t xml:space="preserve">«Ссылка на чек-лист обследования» — новое необязательное поле типа «Ссылка» с адресом чек-листа для заполнения на объекте; проверкой перехода не затрагивается. Технический код присваивается платформой при создании и вносится в реестр 18.2.</w:t>
      </w:r>
    </w:p>
    <w:p>
      <w:pPr>
        <w:pageBreakBefore w:val="0"/>
        <w:widowControl/>
      </w:pPr>
      <w:r>
        <w:t>Автозаполнение инженера и даты из задачи обследования не реализуется: эти поля задает координатор в Общей воронке. При маршрутизации меняется воронка той же сделки; поля сохраняются, копия профильной сделки не создается.</w:t>
      </w:r>
      <w:r>
        <w:rPr>
          <w:rStyle w:val="CommentReference"/>
        </w:rPr>
      </w:r>
    </w:p>
    <w:p>
      <w:pPr>
        <w:pStyle w:val="Heading2"/>
        <w:keepNext/>
        <w:pageBreakBefore w:val="0"/>
        <w:widowControl/>
      </w:pPr>
      <w:r>
        <w:rPr>
          <w:color w:val="000000"/>
          <w:u w:val="none"/>
        </w:rPr>
        <w:t>6.2 Продажа Монтаж АПС</w:t>
      </w:r>
    </w:p>
    <w:p>
      <w:pPr>
        <w:pStyle w:val="Heading3"/>
        <w:keepNext/>
        <w:pageBreakBefore w:val="0"/>
        <w:widowControl/>
      </w:pPr>
      <w:r>
        <w:rPr>
          <w:color w:val="000000"/>
          <w:u w:val="none"/>
        </w:rPr>
        <w:t>Стадии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blHeader/>
          <w:tblHeader/>
        </w:trPr>
        <w:tc>
          <w:tcPr>
            <w:tcW w:type="dxa" w:w="204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Стадия</w:t>
            </w:r>
          </w:p>
        </w:tc>
        <w:tc>
          <w:tcPr>
            <w:tcW w:type="dxa" w:w="4365"/>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Условие входа и обязательные данные</w:t>
            </w:r>
          </w:p>
        </w:tc>
        <w:tc>
          <w:tcPr>
            <w:tcW w:type="dxa" w:w="323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Автоматизация и контроль</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Новая</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Объект, источник, контакт.</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SLA по ICP.</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Квалификация</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Площадь, этажи, назначение, стадия, срок открытия, наличие проекта, бюджет.</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Контроль заполнения обязательных полей.</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Сбор исходных данных</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Планы, ТЗ клиента, ограничения доступа и графика.</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Задачи инженеру/сметчику.</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Обследование / расчет</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Связанный выезд либо достаточные исходники.</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Создать обследование при необходимости.</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КП отправлено</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Сумма, дата, комплектация, сроки, файл КП.</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quote_sent; follow-up 1 и 3 дня.</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Переговоры</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Решение по объему, срокам и цене.</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Контроль следующего шага.</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Счет / договор</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Счет, договор, плановая дата начала.</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Контроль оплаты.</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Выиграно</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Подтверждённый договор и дата заключения; contract_won фиксируется независимо от оплаты и выполнения. Оплата и выручка учитываются отдельно, валовая прибыль — только при подтверждённых затратах.</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Создать проект исполнения; задача предложить последующее ТО.</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Проиграно</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Причина обязательна.</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Аналитика потерь.</w:t>
            </w:r>
          </w:p>
        </w:tc>
      </w:tr>
    </w:tbl>
    <w:p>
      <w:pPr>
        <w:pageBreakBefore w:val="0"/>
        <w:widowControl/>
        <w:spacing w:after="20"/>
      </w:pPr>
    </w:p>
    <w:p>
      <w:pPr>
        <w:pStyle w:val="Heading2"/>
        <w:keepNext/>
        <w:pageBreakBefore w:val="0"/>
        <w:widowControl/>
      </w:pPr>
      <w:r>
        <w:rPr>
          <w:color w:val="000000"/>
          <w:u w:val="none"/>
        </w:rPr>
        <w:t>6.3 Продажа Проектирование</w:t>
      </w:r>
    </w:p>
    <w:p>
      <w:pPr>
        <w:pStyle w:val="Heading3"/>
        <w:keepNext/>
        <w:pageBreakBefore w:val="0"/>
        <w:widowControl/>
      </w:pPr>
      <w:r>
        <w:rPr>
          <w:color w:val="000000"/>
          <w:u w:val="none"/>
        </w:rPr>
        <w:t>Стадии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blHeader/>
          <w:tblHeader/>
        </w:trPr>
        <w:tc>
          <w:tcPr>
            <w:tcW w:type="dxa" w:w="204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Стадия</w:t>
            </w:r>
          </w:p>
        </w:tc>
        <w:tc>
          <w:tcPr>
            <w:tcW w:type="dxa" w:w="4365"/>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Условие входа и обязательные данные</w:t>
            </w:r>
          </w:p>
        </w:tc>
        <w:tc>
          <w:tcPr>
            <w:tcW w:type="dxa" w:w="323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Автоматизация и контроль</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Новая</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Объект, источник, контакт.</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SLA и ICP.</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Квалификация</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Назначение, площадь, этажность, стадия, исходники, срок.</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Контроль заполнения обязательных полей.</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Техническое задание</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Получены планы и требования; согласован состав результата.</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Задача проектировщику оценить трудоемкость.</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Расчет</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Стоимость, сроки и допущения.</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Контроль подготовки КП.</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КП отправлено</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Сумма, дата, файл КП.</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quote_sent; follow-up.</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Согласование</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Замечания, версия предложения, следующая дата.</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Эскалация просрочки.</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Счет / договор</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Счет, договор, аванс.</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Контроль оплаты.</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Выиграно</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Подтверждённый договор и дата заключения; contract_won фиксируется независимо от оплаты и выполнения. Оплата и выручка учитываются отдельно, валовая прибыль — только при подтверждённых затратах.</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Создать проект исполнения; после выпуска проекта — возможность монтажа.</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Проиграно</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Причина обязательна.</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Аналитика потерь.</w:t>
            </w:r>
          </w:p>
        </w:tc>
      </w:tr>
    </w:tbl>
    <w:p>
      <w:pPr>
        <w:pageBreakBefore w:val="0"/>
        <w:widowControl/>
        <w:spacing w:after="20"/>
      </w:pPr>
    </w:p>
    <w:p>
      <w:pPr>
        <w:pStyle w:val="Heading2"/>
        <w:keepNext/>
        <w:pageBreakBefore w:val="0"/>
        <w:widowControl/>
      </w:pPr>
      <w:r>
        <w:rPr>
          <w:color w:val="000000"/>
          <w:u w:val="none"/>
        </w:rPr>
        <w:t>6.4 Выполнение работ ТО</w:t>
      </w:r>
    </w:p>
    <w:p>
      <w:pPr>
        <w:pageBreakBefore w:val="0"/>
        <w:widowControl/>
      </w:pPr>
      <w:r>
        <w:t>Выполнение работ ТО вести в отдельной воронке сделок «Обслуживание текущих клиентов». Каждая сделка относится к одному объекту и договору, имеет плановую и фактическую даты, вид работы, техника, координатора, чек-лист, перечень оборудования, отчет, счет и оплату.</w:t>
      </w:r>
    </w:p>
    <w:p>
      <w:pPr>
        <w:pStyle w:val="Heading3"/>
        <w:keepNext/>
        <w:pageBreakBefore w:val="0"/>
        <w:widowControl/>
      </w:pPr>
      <w:r>
        <w:rPr>
          <w:color w:val="000000"/>
          <w:u w:val="none"/>
        </w:rPr>
        <w:t>Стадии выполнения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blHeader/>
          <w:tblHeader/>
        </w:trPr>
        <w:tc>
          <w:tcPr>
            <w:tcW w:type="dxa" w:w="204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Стадия</w:t>
            </w:r>
          </w:p>
        </w:tc>
        <w:tc>
          <w:tcPr>
            <w:tcW w:type="dxa" w:w="4365"/>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Условие входа и обязательные данные</w:t>
            </w:r>
          </w:p>
        </w:tc>
        <w:tc>
          <w:tcPr>
            <w:tcW w:type="dxa" w:w="323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Автоматизация и контроль</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Запланировано</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Договор, объект, вид работы, плановая дата, техник.</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Создание по графику; напоминания координатору и клиенту.</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Назначено</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Подтверждены дата, доступ и представитель клиента.</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Задача технику с мобильным чек-листом.</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В работе</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Фактическое начало и геометка при допустимости.</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Автоматический учет времени техников по п. 6.5.</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Чек-лист заполнен</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Все обязательные пункты, фото, результат, оборудование к замене.</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Автозадача координатору: отчет и счет; срок — 1 рабочий день.</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Отчет сформирован</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Файл отчета, версия, дата.</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Задача отправить клиенту; сохранить канал и дату.</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Счет отправлен</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Статус и дата отправки; номер, сумма и файл или ссылка заполняются при наличии счета.</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Контроль доставки и оплаты.</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Отчет отправлен</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Получатель, канал, дата отправки.</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Напоминание об оплате по сроку.</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Оплачено</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Дата и сумма оплаты либо подтвержденный статус учетной системы.</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payment_received; закрытие работы при отправленном отчете.</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Завершено</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Отчет отправлен и выполнен переход в «Счет отправлен»; оплата ведется согласно договорному сценарию.</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Расчет SLA, длительности, повторных дефектов.</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Отменено</w:t>
            </w:r>
          </w:p>
        </w:tc>
        <w:tc>
          <w:tcPr>
            <w:tcW w:type="dxa" w:w="436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Причина и решение по переносу.</w:t>
            </w:r>
          </w:p>
        </w:tc>
        <w:tc>
          <w:tcPr>
            <w:tcW w:type="dxa" w:w="323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При переносе создать новую плановую дату без потери истории.</w:t>
            </w:r>
          </w:p>
        </w:tc>
      </w:tr>
    </w:tbl>
    <w:p>
      <w:pPr>
        <w:pageBreakBefore w:val="0"/>
        <w:widowControl/>
        <w:spacing w:after="20"/>
      </w:pPr>
    </w:p>
    <w:p>
      <w:pPr>
        <w:pStyle w:val="Heading3"/>
        <w:keepNext/>
        <w:pageBreakBefore w:val="0"/>
        <w:widowControl/>
      </w:pPr>
      <w:r>
        <w:rPr>
          <w:color w:val="000000"/>
          <w:u w:val="none"/>
        </w:rPr>
        <w:t>Чек-лист ежемесячного ТО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blHeader/>
          <w:tblHeader/>
        </w:trPr>
        <w:tc>
          <w:tcPr>
            <w:tcW w:type="dxa" w:w="255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Общий блок</w:t>
            </w:r>
          </w:p>
        </w:tc>
        <w:tc>
          <w:tcPr>
            <w:tcW w:type="dxa" w:w="7087"/>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Что фиксировать</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Начало работ</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Дата/время, техник, представитель клиента, доступность зон, состояние системы до начала.</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Контроль ППКП</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Индикация, журнал событий, неисправности, питание, резервное питание, состояние АКБ.</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Линии и устройства</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Доступность, повреждения, загрязнение, крепление, выборочная/полная проверка согласно виду работы.</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Оповещение и сопряжения</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Результат проверки доступных функций и связанных систем, ограничения.</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Документация</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Запись в журнале, соответствие маркировки, изменения и замечания.</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Дефекты</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Категория, место, описание, критичность, фото, временная мера, рекомендация.</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Оборудование</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Для каждой позиции: исправно/неисправно/требуется замена, наименование, модель, количество, единица, причина, фото.</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Завершение</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Состояние после работ, проведенные тесты, подпись/ФИО представителя, комментарий техника.</w:t>
            </w:r>
          </w:p>
        </w:tc>
      </w:tr>
    </w:tbl>
    <w:p>
      <w:pPr>
        <w:pageBreakBefore w:val="0"/>
        <w:widowControl/>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blHeader/>
          <w:tblHeader/>
        </w:trPr>
        <w:tc>
          <w:tcPr>
            <w:tcW w:type="dxa" w:w="255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Вид работы</w:t>
            </w:r>
          </w:p>
        </w:tc>
        <w:tc>
          <w:tcPr>
            <w:tcW w:type="dxa" w:w="7087"/>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Дополнительный обязательный блок чек-листа</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Ежемесячный осмотр</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Визуальный контроль, индикация, журнал событий, доступные контрольные проверки, выявленные изменения и дефекты.</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Капитальное ТО</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Расширенная проверка и обслуживание узлов, очистка/регламентные действия, АКБ и питание, полный перечень обслуженных устройств и замен.</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Тестирование</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Сценарий теста, зоны и устройства, ожидаемый/фактический результат, время реакции, взаимодействие систем, отклонения и доказательства.</w:t>
            </w:r>
          </w:p>
        </w:tc>
      </w:tr>
    </w:tbl>
    <w:p>
      <w:pPr>
        <w:pageBreakBefore w:val="0"/>
        <w:widowControl/>
      </w:pPr>
      <w:r>
        <w:t>Точный набор и периодичность технических операций утверждает ответственный инженер по договору, проектной документации, составу системы и применимым нормативным требованиям. CRM должна хранить версию шаблона чек-листа, использованную при каждой работе.</w:t>
      </w:r>
    </w:p>
    <w:p>
      <w:pPr>
        <w:pStyle w:val="Heading2"/>
        <w:keepNext/>
        <w:pageBreakBefore w:val="0"/>
        <w:widowControl/>
      </w:pPr>
      <w:r>
        <w:rPr>
          <w:color w:val="000000"/>
          <w:u w:val="none"/>
        </w:rPr>
        <w:t>6.5 Автоматический учет времени техников</w:t>
      </w:r>
    </w:p>
    <w:p>
      <w:pPr>
        <w:pageBreakBefore w:val="0"/>
        <w:widowControl/>
      </w:pPr>
      <w:r>
        <w:t xml:space="preserve">Техники не вводят начало и окончание работ вручную: время фиксируется автоматически по задачам и считается в человеко-часах на объект. Пункт уточняет требование редакции 1.13 об учете затрат времени и применяется к стадии «В работе» воронки «Обслуживание текущих клиентов».</w:t>
      </w:r>
    </w:p>
    <w:p>
      <w:pPr>
        <w:pStyle w:val="ListBullet"/>
        <w:pageBreakBefore w:val="0"/>
        <w:widowControl/>
      </w:pPr>
      <w:r>
        <w:rPr>
          <w:b/>
        </w:rPr>
        <w:t xml:space="preserve">Одна задача на техника.</w:t>
      </w:r>
      <w:r>
        <w:t xml:space="preserve"> При входе сделки в стадию «В работе» робот CRM создает отдельную задачу «Выполнить работы» для каждого назначенного на сделку техника, с привязкой к сделке. Поле «Ответственный техник» допускает нескольких сотрудников.</w:t>
      </w:r>
    </w:p>
    <w:p>
      <w:pPr>
        <w:pStyle w:val="ListBullet"/>
        <w:pageBreakBefore w:val="0"/>
        <w:widowControl/>
      </w:pPr>
      <w:r>
        <w:rPr>
          <w:b/>
        </w:rPr>
        <w:t xml:space="preserve">Начало.</w:t>
      </w:r>
      <w:r>
        <w:t xml:space="preserve"> Принятие техником своей задачи к исполнению (статус «Выполняется»). Ручной ввод не требуется.</w:t>
      </w:r>
    </w:p>
    <w:p>
      <w:pPr>
        <w:pStyle w:val="ListBullet"/>
        <w:pageBreakBefore w:val="0"/>
        <w:widowControl/>
      </w:pPr>
      <w:r>
        <w:rPr>
          <w:b/>
        </w:rPr>
        <w:t xml:space="preserve">Окончание.</w:t>
      </w:r>
      <w:r>
        <w:t xml:space="preserve"> Завершение техником своей задачи. Каждый техник закрывает свою задачу независимо: если один уезжает на срочный вызов раньше остальных, его интервал закрывается без влияния на других.</w:t>
      </w:r>
    </w:p>
    <w:p>
      <w:pPr>
        <w:pStyle w:val="ListBullet"/>
        <w:pageBreakBefore w:val="0"/>
        <w:widowControl/>
      </w:pPr>
      <w:r>
        <w:rPr>
          <w:b/>
        </w:rPr>
        <w:t xml:space="preserve">Незавершенные задачи.</w:t>
      </w:r>
      <w:r>
        <w:t xml:space="preserve"> Если сделка выходит со стадии «В работе», открытые интервалы закрываются автоматически временем выхода и помечаются «закрыто автоматически» для проверки координатором.</w:t>
      </w:r>
    </w:p>
    <w:p>
      <w:pPr>
        <w:pStyle w:val="ListBullet"/>
        <w:pageBreakBefore w:val="0"/>
        <w:widowControl/>
      </w:pPr>
      <w:r>
        <w:rPr>
          <w:b/>
        </w:rPr>
        <w:t xml:space="preserve">Паузы.</w:t>
      </w:r>
      <w:r>
        <w:t xml:space="preserve"> Приостановка или перенос задачи вычитаются из времени. У одного техника одновременно выполняется не более одной задачи.</w:t>
      </w:r>
    </w:p>
    <w:p>
      <w:pPr>
        <w:pStyle w:val="ListBullet"/>
        <w:pageBreakBefore w:val="0"/>
        <w:widowControl/>
      </w:pPr>
      <w:r>
        <w:rPr>
          <w:b/>
        </w:rPr>
        <w:t xml:space="preserve">Расчет.</w:t>
      </w:r>
      <w:r>
        <w:t xml:space="preserve"> Человеко-часы по объекту равны сумме длительностей интервалов всех техников по сделке; например, два техника по 3 часа дают 6 чел-ч.</w:t>
      </w:r>
    </w:p>
    <w:p>
      <w:pPr>
        <w:pStyle w:val="ListBullet"/>
        <w:pageBreakBefore w:val="0"/>
        <w:widowControl/>
      </w:pPr>
      <w:r>
        <w:rPr>
          <w:b/>
        </w:rPr>
        <w:t xml:space="preserve">Результат в сделке.</w:t>
      </w:r>
      <w:r>
        <w:t xml:space="preserve"> Автоматически заполняются поля «Фактическое начало работ» (самое раннее начало), «Фактическое окончание работ» (самое позднее окончание), «Число техников» и «Затрачено, чел-ч». Разбивка по техникам сохраняется в таймлайне сделки и передается в BI. Поля созданы в портале 30 сентября 2026 года с каноническими кодами: UF_CRM_WORK_STARTED_AT («Фактическое начало работ»), UF_CRM_WORK_FINISHED_AT («Фактическое окончание работ»), UF_CRM_TECH_COUNT («Число техников»), UF_CRM_LABOR_HOURS («Затрачено, чел-ч», два знака после запятой). Список назначенных техников хранится в отдельном множественном поле UF_CRM_SERVICE_TECHNICIANS («Техники на объекте (несколько)»), так как существующее поле UF_CRM_SERVICE_TECHNICIAN одиночное и не изменяется. Стадия «В работе» в портале называется «Работы выполняются» (C12:PREPAYMENT_INVOIC). Коды вносятся в реестр 18.2.</w:t>
      </w:r>
    </w:p>
    <w:p>
      <w:pPr>
        <w:pStyle w:val="ListBullet"/>
        <w:pageBreakBefore w:val="0"/>
        <w:widowControl/>
      </w:pPr>
      <w:r>
        <w:rPr>
          <w:b/>
        </w:rPr>
        <w:t xml:space="preserve">Механизм.</w:t>
      </w:r>
      <w:r>
        <w:t xml:space="preserve"> Задачи создают роботы CRM. Принятие и завершение задач не являются CRM-событиями, поэтому расчет и запись итогов выполняет Cloud Run по REST-событиям задач (исключение по 21.1). Запись идемпотентна по ключу DEAL_ID + TASK_ID + USER_ID и журналируется.</w:t>
      </w:r>
    </w:p>
    <w:p>
      <w:pPr>
        <w:pStyle w:val="ListBullet"/>
        <w:pageBreakBefore w:val="0"/>
        <w:widowControl/>
      </w:pPr>
      <w:r>
        <w:rPr>
          <w:b/>
        </w:rPr>
        <w:t xml:space="preserve">Условие внедрения.</w:t>
      </w:r>
      <w:r>
        <w:t xml:space="preserve"> До настройки подтверждается, что на тарифе «Стандартный» доступны учет времени в задачах и события задач.</w:t>
      </w:r>
    </w:p>
    <w:p>
      <w:pPr>
        <w:pStyle w:val="Heading1"/>
        <w:keepNext/>
        <w:pageBreakBefore w:val="0"/>
        <w:widowControl/>
      </w:pPr>
      <w:r>
        <w:rPr>
          <w:color w:val="000000"/>
          <w:u w:val="none"/>
        </w:rPr>
        <w:t>7 Автоматизация оборудования к замене</w:t>
      </w:r>
    </w:p>
    <w:p>
      <w:pPr>
        <w:pStyle w:val="ListNumber"/>
        <w:pageBreakBefore w:val="0"/>
        <w:widowControl/>
      </w:pPr>
      <w:r>
        <w:t>Техник отмечает в чек-листе хотя бы одну позицию со статусом «неисправно» или «требуется замена» и заполняет наименование, количество, причину и фото/комментарий.</w:t>
      </w:r>
    </w:p>
    <w:p>
      <w:pPr>
        <w:pStyle w:val="ListNumber"/>
        <w:pageBreakBefore w:val="0"/>
        <w:widowControl/>
      </w:pPr>
      <w:r>
        <w:t>При переводе работы в «Чек-лист заполнен» робот формирует структурированный список позиций и прикладывает его к связанной задаче.</w:t>
      </w:r>
    </w:p>
    <w:p>
      <w:pPr>
        <w:pStyle w:val="ListNumber"/>
        <w:pageBreakBefore w:val="0"/>
        <w:widowControl/>
      </w:pPr>
      <w:r>
        <w:t>Координатору создается задача «Сформировать отчет и выставить счет за оборудование» со сроком 1 рабочий день, ссылками на работу, объект, договор и чек-лист.</w:t>
      </w:r>
    </w:p>
    <w:p>
      <w:pPr>
        <w:pStyle w:val="ListNumber"/>
        <w:pageBreakBefore w:val="0"/>
        <w:widowControl/>
      </w:pPr>
      <w:r>
        <w:t>Если цены отсутствуют, создается подзадача снабжению/сметчику. После заполнения цен система рассчитывает сумму и сохраняет номер/ID счета.</w:t>
      </w:r>
    </w:p>
    <w:p>
      <w:pPr>
        <w:pStyle w:val="ListNumber"/>
        <w:pageBreakBefore w:val="0"/>
        <w:widowControl/>
      </w:pPr>
      <w:r>
        <w:t>Счёт прилагается или связывается, если предусмотрен договорным сценарием. При отсутствии счёта по условиям договора его фиктивное создание не требуется; отчёт отправляется и факт фиксируется отдельно.</w:t>
      </w:r>
    </w:p>
    <w:p>
      <w:pPr>
        <w:pStyle w:val="ListNumber"/>
        <w:pageBreakBefore w:val="0"/>
        <w:widowControl/>
      </w:pPr>
      <w:r>
        <w:t>При отсутствии оборудования к замене задача на оборудование не создается, но задача координатору на отчет и предусмотренный договором счет создается всегда.</w:t>
      </w:r>
    </w:p>
    <w:p>
      <w:pPr>
        <w:pageBreakBefore w:val="0"/>
        <w:widowControl/>
      </w:pPr>
      <w:r>
        <w:t>Защита от дублей: для одной работы и одного типа задачи хранить технический ключ WORK_ID + TASK_TYPE. Повторный запуск робота обновляет существующую задачу, а не создает новую.</w:t>
      </w:r>
    </w:p>
    <w:p>
      <w:pPr>
        <w:pStyle w:val="Heading1"/>
        <w:keepNext/>
        <w:pageBreakBefore w:val="0"/>
        <w:widowControl/>
      </w:pPr>
      <w:r>
        <w:rPr>
          <w:color w:val="000000"/>
          <w:u w:val="none"/>
        </w:rPr>
        <w:t>8 Роботы, SLA и уведомления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blHeader/>
          <w:tblHeader/>
        </w:trPr>
        <w:tc>
          <w:tcPr>
            <w:tcW w:type="dxa" w:w="238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Событие</w:t>
            </w:r>
          </w:p>
        </w:tc>
        <w:tc>
          <w:tcPr>
            <w:tcW w:type="dxa" w:w="4535"/>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Действие</w:t>
            </w:r>
          </w:p>
        </w:tc>
        <w:tc>
          <w:tcPr>
            <w:tcW w:type="dxa" w:w="272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Контроль</w:t>
            </w:r>
          </w:p>
        </w:tc>
      </w:tr>
      <w:tr>
        <w:trPr>
          <w:cantSplit/>
        </w:trPr>
        <w:tc>
          <w:tcPr>
            <w:tcW w:type="dxa" w:w="238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Создан ICP A</w:t>
            </w:r>
          </w:p>
        </w:tc>
        <w:tc>
          <w:tcPr>
            <w:tcW w:type="dxa" w:w="453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Задача менеджеру связаться.</w:t>
            </w:r>
          </w:p>
        </w:tc>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30 минут в рабочее время; уведомление руководителю при просрочке.</w:t>
            </w:r>
          </w:p>
        </w:tc>
      </w:tr>
      <w:tr>
        <w:trPr>
          <w:cantSplit/>
        </w:trPr>
        <w:tc>
          <w:tcPr>
            <w:tcW w:type="dxa" w:w="238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Создан ICP B</w:t>
            </w:r>
          </w:p>
        </w:tc>
        <w:tc>
          <w:tcPr>
            <w:tcW w:type="dxa" w:w="453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Задача менеджеру связаться.</w:t>
            </w:r>
          </w:p>
        </w:tc>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30 минут.</w:t>
            </w:r>
          </w:p>
        </w:tc>
      </w:tr>
      <w:tr>
        <w:trPr>
          <w:cantSplit/>
        </w:trPr>
        <w:tc>
          <w:tcPr>
            <w:tcW w:type="dxa" w:w="238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Назначен выезд</w:t>
            </w:r>
          </w:p>
        </w:tc>
        <w:tc>
          <w:tcPr>
            <w:tcW w:type="dxa" w:w="453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Задача инженеру и уведомление координатору.</w:t>
            </w:r>
          </w:p>
        </w:tc>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Напоминания за 24 часа и 2 часа.</w:t>
            </w:r>
          </w:p>
        </w:tc>
      </w:tr>
      <w:tr>
        <w:trPr>
          <w:cantSplit/>
        </w:trPr>
        <w:tc>
          <w:tcPr>
            <w:tcW w:type="dxa" w:w="238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Выезд завершен без результата</w:t>
            </w:r>
          </w:p>
        </w:tc>
        <w:tc>
          <w:tcPr>
            <w:tcW w:type="dxa" w:w="453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Напоминание инженеру.</w:t>
            </w:r>
          </w:p>
        </w:tc>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Через 2 часа; затем эскалация.</w:t>
            </w:r>
          </w:p>
        </w:tc>
      </w:tr>
      <w:tr>
        <w:trPr>
          <w:cantSplit/>
        </w:trPr>
        <w:tc>
          <w:tcPr>
            <w:tcW w:type="dxa" w:w="238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КП отправлено</w:t>
            </w:r>
          </w:p>
        </w:tc>
        <w:tc>
          <w:tcPr>
            <w:tcW w:type="dxa" w:w="453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Follow-up менеджеру.</w:t>
            </w:r>
          </w:p>
        </w:tc>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Через 1 и 3 рабочих дня.</w:t>
            </w:r>
          </w:p>
        </w:tc>
      </w:tr>
      <w:tr>
        <w:trPr>
          <w:cantSplit/>
        </w:trPr>
        <w:tc>
          <w:tcPr>
            <w:tcW w:type="dxa" w:w="238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Просрочен следующий шаг</w:t>
            </w:r>
          </w:p>
        </w:tc>
        <w:tc>
          <w:tcPr>
            <w:tcW w:type="dxa" w:w="453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Уведомить ответственного и руководителя.</w:t>
            </w:r>
          </w:p>
        </w:tc>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Ежедневная проверка.</w:t>
            </w:r>
          </w:p>
        </w:tc>
      </w:tr>
      <w:tr>
        <w:trPr>
          <w:cantSplit/>
        </w:trPr>
        <w:tc>
          <w:tcPr>
            <w:tcW w:type="dxa" w:w="238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Чек-лист ТО заполнен</w:t>
            </w:r>
          </w:p>
        </w:tc>
        <w:tc>
          <w:tcPr>
            <w:tcW w:type="dxa" w:w="453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Задача координатору на отчет и счет.</w:t>
            </w:r>
          </w:p>
        </w:tc>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1 рабочий день.</w:t>
            </w:r>
          </w:p>
        </w:tc>
      </w:tr>
      <w:tr>
        <w:trPr>
          <w:cantSplit/>
        </w:trPr>
        <w:tc>
          <w:tcPr>
            <w:tcW w:type="dxa" w:w="238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Есть оборудование к замене</w:t>
            </w:r>
          </w:p>
        </w:tc>
        <w:tc>
          <w:tcPr>
            <w:tcW w:type="dxa" w:w="453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Добавить список в задачу; при необходимости подзадача сметчику.</w:t>
            </w:r>
          </w:p>
        </w:tc>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До выставления счета.</w:t>
            </w:r>
          </w:p>
        </w:tc>
      </w:tr>
      <w:tr>
        <w:trPr>
          <w:cantSplit/>
        </w:trPr>
        <w:tc>
          <w:tcPr>
            <w:tcW w:type="dxa" w:w="238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Отчет готов, но не отправлен</w:t>
            </w:r>
          </w:p>
        </w:tc>
        <w:tc>
          <w:tcPr>
            <w:tcW w:type="dxa" w:w="453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Напоминание координатору.</w:t>
            </w:r>
          </w:p>
        </w:tc>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В конце рабочего дня.</w:t>
            </w:r>
          </w:p>
        </w:tc>
      </w:tr>
      <w:tr>
        <w:trPr>
          <w:cantSplit/>
        </w:trPr>
        <w:tc>
          <w:tcPr>
            <w:tcW w:type="dxa" w:w="238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Наступил срок оплаты</w:t>
            </w:r>
          </w:p>
        </w:tc>
        <w:tc>
          <w:tcPr>
            <w:tcW w:type="dxa" w:w="453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Задача ответственному по дебиторской задолженности.</w:t>
            </w:r>
          </w:p>
        </w:tc>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По условиям счета/договора.</w:t>
            </w:r>
          </w:p>
        </w:tc>
      </w:tr>
      <w:tr>
        <w:trPr>
          <w:cantSplit/>
        </w:trPr>
        <w:tc>
          <w:tcPr>
            <w:tcW w:type="dxa" w:w="238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Изменение состава активных сделок клиента</w:t>
            </w:r>
          </w:p>
        </w:tc>
        <w:tc>
          <w:tcPr>
            <w:tcW w:type="dxa" w:w="453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rPr>
              <w:t>Проверенный робот отражает статус компании по всем подтверждённым договорам/услугам и карте ID. Отдельная новая работа не подтверждает новый договор. Пересчёт сверяется с реестром; спорные случаи идут координатору.</w:t>
            </w:r>
          </w:p>
        </w:tc>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Лог пересчета доступен администратору; переводы в «Бывший клиент» (расторжение договора) и «На паузе» выполняются вручную с обязательным комментарием.</w:t>
            </w:r>
          </w:p>
        </w:tc>
      </w:tr>
      <w:tr>
        <w:trPr>
          <w:cantSplit/>
        </w:trPr>
        <w:tc>
          <w:tcPr>
            <w:tcW w:type="dxa" w:w="238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Статус клиента установлен «ТО АПС» / «ТО АПС + Аутсорсинг» (редакция 1.8, уточнено 1.9, дубли исключены 1.10)</w:t>
            </w:r>
          </w:p>
        </w:tc>
        <w:tc>
          <w:tcPr>
            <w:tcW w:type="dxa" w:w="453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Текущая архитектура — роботы сделки обновляют статус компании и запускают следующий цикл по договорной дате (п. 21.1–21.3). Перед созданием проверяется существующая работа и идемпотентный ключ. REST/Cloud Run для изменения компании — резерв, если штатных роботов недостаточно; полный сценарий требует проверки на портале.</w:t>
            </w:r>
          </w:p>
        </w:tc>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rPr>
              <w:t>Ключ отдельной плановой работы включает услугу договора и объект. Технический флаг компании не заменяет этот ключ: у одной компании может быть несколько работ и объектов.</w:t>
            </w:r>
          </w:p>
        </w:tc>
      </w:tr>
      <w:tr>
        <w:trPr>
          <w:cantSplit/>
        </w:trPr>
        <w:tc>
          <w:tcPr>
            <w:tcW w:type="dxa" w:w="238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Сделка воронки «Обслуживание текущих клиентов» на стадии «Новая заявка на обслуживание» (редакция 1.8)</w:t>
            </w:r>
          </w:p>
        </w:tc>
        <w:tc>
          <w:tcPr>
            <w:tcW w:type="dxa" w:w="4535"/>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rPr>
              <w:t>Статус ТО компании меняется только при подтверждённой действующей услуге договора. Вход новой карточки выполнения без договора создаёт очередь проверки, не новый факт активности.</w:t>
            </w:r>
          </w:p>
        </w:tc>
        <w:tc>
          <w:tcPr>
            <w:tcW w:type="dxa" w:w="272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Выполняется сразу при входе сделки в стадию; не зависит от способа создания сделки (вручную или автоматически).</w:t>
            </w:r>
          </w:p>
        </w:tc>
      </w:tr>
    </w:tbl>
    <w:p>
      <w:pPr>
        <w:pageBreakBefore w:val="0"/>
        <w:widowControl/>
        <w:spacing w:after="20"/>
      </w:pPr>
    </w:p>
    <w:p>
      <w:pPr>
        <w:pageBreakBefore w:val="0"/>
        <w:widowControl/>
      </w:pPr>
      <w:r>
        <w:t>SLA первого контакта, follow-up и стадийные напоминания реализуются роботами CRM «Ждать», проверкой условия, постановкой задачи и уведомлением. Плановое ТО запускается по UF_CRM_NEXT_SERVICE_DATE индивидуально для договора/объекта с защитой от дублей (п. 21.3); Cloud Scheduler остается резервным вариантом после проверки ограничений роботов. Условия класса используют UF_CRM_ICP_SEGMENT; UF_CRM_ICP_TYPE хранит сценарий ICP-1…ICP-5/ICP-C. Обработка событий задач для учета времени по п. 6.5 требует отдельной проверки реализации: наличие полей времени не означает готовность автоматического расчета.</w:t>
      </w:r>
    </w:p>
    <w:p>
      <w:pPr>
        <w:pStyle w:val="Heading1"/>
        <w:keepNext/>
        <w:pageBreakBefore w:val="0"/>
        <w:widowControl/>
      </w:pPr>
      <w:r>
        <w:rPr>
          <w:color w:val="000000"/>
          <w:u w:val="none"/>
        </w:rPr>
        <w:t>9 События аналитики и интеграции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blHeader/>
          <w:tblHeader/>
        </w:trPr>
        <w:tc>
          <w:tcPr>
            <w:tcW w:type="dxa" w:w="204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Событие</w:t>
            </w:r>
          </w:p>
        </w:tc>
        <w:tc>
          <w:tcPr>
            <w:tcW w:type="dxa" w:w="4139"/>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Условие формирования</w:t>
            </w:r>
          </w:p>
        </w:tc>
        <w:tc>
          <w:tcPr>
            <w:tcW w:type="dxa" w:w="3458"/>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Параметры</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lead_created</w:t>
            </w:r>
          </w:p>
        </w:tc>
        <w:tc>
          <w:tcPr>
            <w:tcW w:type="dxa" w:w="413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В CRM создано валидное обращение.</w:t>
            </w:r>
          </w:p>
        </w:tc>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rPr>
              <w:t>CRM ID, source, campaign, landing, service_type.</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qualified_lead</w:t>
            </w:r>
          </w:p>
        </w:tc>
        <w:tc>
          <w:tcPr>
            <w:tcW w:type="dxa" w:w="413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Выполнено определение квалифицированного обращения.</w:t>
            </w:r>
          </w:p>
        </w:tc>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rPr>
              <w:t>ICP class/score, object type, area, service_type.</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visit_scheduled</w:t>
            </w:r>
          </w:p>
        </w:tc>
        <w:tc>
          <w:tcPr>
            <w:tcW w:type="dxa" w:w="413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Назначены дата и инженер.</w:t>
            </w:r>
          </w:p>
        </w:tc>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Object ID, planned date, funnel.</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visit_done</w:t>
            </w:r>
          </w:p>
        </w:tc>
        <w:tc>
          <w:tcPr>
            <w:tcW w:type="dxa" w:w="413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Фактический выезд, инженер и результат внесены.</w:t>
            </w:r>
          </w:p>
        </w:tc>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Visit ID, result, defect count.</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quote_sent</w:t>
            </w:r>
          </w:p>
        </w:tc>
        <w:tc>
          <w:tcPr>
            <w:tcW w:type="dxa" w:w="413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Клиенту отправлен персональный расчет/КП.</w:t>
            </w:r>
          </w:p>
        </w:tc>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Value, currency KZT, service_type, deal ID.</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invoice_issued</w:t>
            </w:r>
          </w:p>
        </w:tc>
        <w:tc>
          <w:tcPr>
            <w:tcW w:type="dxa" w:w="413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Счет отправлен клиенту; допускается счет Bitrix24 или прикрепленный счет 1С.</w:t>
            </w:r>
          </w:p>
        </w:tc>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Invoice ID, value, equipment value.</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payment_received</w:t>
            </w:r>
          </w:p>
        </w:tc>
        <w:tc>
          <w:tcPr>
            <w:tcW w:type="dxa" w:w="413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Оплата подтверждена.</w:t>
            </w:r>
          </w:p>
        </w:tc>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Paid value, payment date, invoice ID.</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contract_won</w:t>
            </w:r>
          </w:p>
        </w:tc>
        <w:tc>
          <w:tcPr>
            <w:tcW w:type="dxa" w:w="413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Подтверждены ID договора и фактическая дата заключения. Оплата, выполнение работ и MRR не являются условием события contract_won.</w:t>
            </w:r>
          </w:p>
        </w:tc>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Value, currency KZT, gross profit, MRR, service_type.</w:t>
            </w:r>
          </w:p>
        </w:tc>
      </w:tr>
      <w:tr>
        <w:trPr>
          <w:cantSplit/>
        </w:trPr>
        <w:tc>
          <w:tcPr>
            <w:tcW w:type="dxa" w:w="204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work_completed</w:t>
            </w:r>
          </w:p>
        </w:tc>
        <w:tc>
          <w:tcPr>
            <w:tcW w:type="dxa" w:w="4139"/>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Работа завершена и отчет отправлен.</w:t>
            </w:r>
          </w:p>
        </w:tc>
        <w:tc>
          <w:tcPr>
            <w:tcW w:type="dxa" w:w="345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Work type, duration, defects, replacements.</w:t>
            </w:r>
          </w:p>
        </w:tc>
      </w:tr>
    </w:tbl>
    <w:p>
      <w:pPr>
        <w:pageBreakBefore w:val="0"/>
        <w:widowControl/>
        <w:spacing w:after="20"/>
      </w:pPr>
    </w:p>
    <w:p>
      <w:pPr>
        <w:pageBreakBefore w:val="0"/>
        <w:widowControl/>
      </w:pPr>
      <w:r>
        <w:t>В GA4 и Google Ads передавать только согласованный набор событий. Микроконверсии оставить Secondary. Для Google Ads офлайн-конверсий хранить click ID, время исходного взаимодействия, время конверсии, value и currency. Повторная отправка одного события должна блокироваться уникальным ключом подтверждённый CONTRACT_ID + EVENT_NAME для contract_won; event_id для повторной доставки остальных событий (согласовано с единым контрактом данных v1.7).</w:t>
      </w:r>
    </w:p>
    <w:p>
      <w:pPr>
        <w:pStyle w:val="Heading1"/>
        <w:keepNext/>
        <w:pageBreakBefore w:val="0"/>
        <w:widowControl/>
      </w:pPr>
      <w:r>
        <w:rPr>
          <w:color w:val="000000"/>
          <w:u w:val="none"/>
        </w:rPr>
        <w:t>10 Отчеты и дашборды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blHeader/>
          <w:tblHeader/>
        </w:trPr>
        <w:tc>
          <w:tcPr>
            <w:tcW w:type="dxa" w:w="2154"/>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Дашборд</w:t>
            </w:r>
          </w:p>
        </w:tc>
        <w:tc>
          <w:tcPr>
            <w:tcW w:type="dxa" w:w="4422"/>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Показатели</w:t>
            </w:r>
          </w:p>
        </w:tc>
        <w:tc>
          <w:tcPr>
            <w:tcW w:type="dxa" w:w="306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Разрезы</w:t>
            </w:r>
          </w:p>
        </w:tc>
      </w:tr>
      <w:tr>
        <w:trPr>
          <w:cantSplit/>
        </w:trPr>
        <w:tc>
          <w:tcPr>
            <w:tcW w:type="dxa" w:w="21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Маркетинг</w:t>
            </w:r>
          </w:p>
        </w:tc>
        <w:tc>
          <w:tcPr>
            <w:tcW w:type="dxa" w:w="4422"/>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Расход, показы, клики, CPC, лиды, CPL, ICP A/B, стоимость ICP A/B.</w:t>
            </w:r>
          </w:p>
        </w:tc>
        <w:tc>
          <w:tcPr>
            <w:tcW w:type="dxa" w:w="306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rPr>
              <w:t>First/last source, campaign, keyword/search term, landing, service_type.</w:t>
            </w:r>
          </w:p>
        </w:tc>
      </w:tr>
      <w:tr>
        <w:trPr>
          <w:cantSplit/>
        </w:trPr>
        <w:tc>
          <w:tcPr>
            <w:tcW w:type="dxa" w:w="21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Воронка продаж</w:t>
            </w:r>
          </w:p>
        </w:tc>
        <w:tc>
          <w:tcPr>
            <w:tcW w:type="dxa" w:w="4422"/>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Лид → квалификация → обследование → КП → счет → оплата/договор; конверсии и время стадий.</w:t>
            </w:r>
          </w:p>
        </w:tc>
        <w:tc>
          <w:tcPr>
            <w:tcW w:type="dxa" w:w="306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Воронка, ICP, менеджер, объект, отрасль, площадь.</w:t>
            </w:r>
          </w:p>
        </w:tc>
      </w:tr>
      <w:tr>
        <w:trPr>
          <w:cantSplit/>
        </w:trPr>
        <w:tc>
          <w:tcPr>
            <w:tcW w:type="dxa" w:w="21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Выезды</w:t>
            </w:r>
          </w:p>
        </w:tc>
        <w:tc>
          <w:tcPr>
            <w:tcW w:type="dxa" w:w="4422"/>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Назначено, состоялось, отменено, стоимость состоявшегося выезда, SLA результата.</w:t>
            </w:r>
          </w:p>
        </w:tc>
        <w:tc>
          <w:tcPr>
            <w:tcW w:type="dxa" w:w="306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Источник, услуга, инженер, причина отмены.</w:t>
            </w:r>
          </w:p>
        </w:tc>
      </w:tr>
      <w:tr>
        <w:trPr>
          <w:cantSplit/>
        </w:trPr>
        <w:tc>
          <w:tcPr>
            <w:tcW w:type="dxa" w:w="21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Экономика</w:t>
            </w:r>
          </w:p>
        </w:tc>
        <w:tc>
          <w:tcPr>
            <w:tcW w:type="dxa" w:w="4422"/>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CAC, выручка, валовая прибыль, новый MRR, средний чек, win rate, LTV/CAC после накопления.</w:t>
            </w:r>
          </w:p>
        </w:tc>
        <w:tc>
          <w:tcPr>
            <w:tcW w:type="dxa" w:w="306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Источник, услуга, ICP, менеджер, период.</w:t>
            </w:r>
          </w:p>
        </w:tc>
      </w:tr>
      <w:tr>
        <w:trPr>
          <w:cantSplit/>
        </w:trPr>
        <w:tc>
          <w:tcPr>
            <w:tcW w:type="dxa" w:w="21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ТО и выполнение</w:t>
            </w:r>
          </w:p>
        </w:tc>
        <w:tc>
          <w:tcPr>
            <w:tcW w:type="dxa" w:w="4422"/>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План/факт работ, просрочки, длительность, дефекты, позиции к замене, счета и оплаты.</w:t>
            </w:r>
          </w:p>
        </w:tc>
        <w:tc>
          <w:tcPr>
            <w:tcW w:type="dxa" w:w="306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Клиент, объект, договор, вид работы, техник, координатор.</w:t>
            </w:r>
          </w:p>
        </w:tc>
      </w:tr>
      <w:tr>
        <w:trPr>
          <w:cantSplit/>
        </w:trPr>
        <w:tc>
          <w:tcPr>
            <w:tcW w:type="dxa" w:w="2154"/>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Качество данных</w:t>
            </w:r>
          </w:p>
        </w:tc>
        <w:tc>
          <w:tcPr>
            <w:tcW w:type="dxa" w:w="4422"/>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Пустые обязательные поля, сделки без следующего шага, потерянная атрибуция, дубли, события с ошибками.</w:t>
            </w:r>
          </w:p>
        </w:tc>
        <w:tc>
          <w:tcPr>
            <w:tcW w:type="dxa" w:w="306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Ответственный, сущность, дата, источник.</w:t>
            </w:r>
          </w:p>
        </w:tc>
      </w:tr>
    </w:tbl>
    <w:p>
      <w:pPr>
        <w:pageBreakBefore w:val="0"/>
        <w:widowControl/>
        <w:spacing w:after="20"/>
      </w:pPr>
    </w:p>
    <w:p>
      <w:pPr>
        <w:pageBreakBefore w:val="0"/>
        <w:widowControl/>
      </w:pPr>
      <w:r>
        <w:t>Два обязательных расчетных KPI: стоимость состоявшегося выезда = расходы канала / состоявшиеся выезды; стоимость персонального расчета = расходы канала / расчеты, фактически отправленные клиентам. Для деления на ноль возвращать пустое значение, а не 0.</w:t>
      </w:r>
    </w:p>
    <w:p>
      <w:pPr>
        <w:pageBreakBefore w:val="0"/>
        <w:widowControl/>
      </w:pPr>
      <w:r>
        <w:t>Учёт времени сохраняет задачи, участников, интервалы и категорию труда с привязкой к work_id, объекту, договору, услуге и воронке. На первом этапе автоматически учитываются человеко-часы ТО по п. 6.5; обследования остаются без таймера. Для остальных категорий на втором этапе утверждают источник учёта до расчёта полной загрузки. Один сотрудник не имеет пересекающихся подтверждённых интервалов; длительность выезда и сумма времени команды показываются отдельно. Расчёт труда, ставок и свободной мощности выполняется по общей методике MG-07 и MG-11.</w:t>
      </w:r>
    </w:p>
    <w:p>
      <w:pPr>
        <w:pStyle w:val="Heading1"/>
        <w:keepNext/>
        <w:pageBreakBefore w:val="0"/>
        <w:widowControl/>
      </w:pPr>
      <w:r>
        <w:rPr>
          <w:color w:val="000000"/>
          <w:u w:val="none"/>
        </w:rPr>
        <w:t>11 Роли и права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blHeader/>
          <w:tblHeader/>
        </w:trPr>
        <w:tc>
          <w:tcPr>
            <w:tcW w:type="dxa" w:w="2551"/>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Роль</w:t>
            </w:r>
          </w:p>
        </w:tc>
        <w:tc>
          <w:tcPr>
            <w:tcW w:type="dxa" w:w="7087"/>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Права и ответственность</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Руководитель</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Все отчеты, бюджеты, экономика, эскалации; право ручной корректировки ICP с комментарием.</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Менеджер</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Лиды, контакты и профильные продажи; не изменяет first-touch и системные ID.</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Координатор</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Планирование выездов/работ, контроль чек-листов, отчетов, счетов и отправки клиенту.</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Инженер/техник</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Мобильный доступ только к назначенным объектам, обследованиям и работам; заполнение чек-листа и фото.</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Сметчик/снабжение</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Позиции оборудования, цены и расчет; без доступа к маркетинговым бюджетам.</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Маркетолог/аналитик</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Атрибуция и агрегированные отчеты; без изменения коммерческих стадий и техрезультатов.</w:t>
            </w:r>
          </w:p>
        </w:tc>
      </w:tr>
      <w:tr>
        <w:trPr>
          <w:cantSplit/>
        </w:trPr>
        <w:tc>
          <w:tcPr>
            <w:tcW w:type="dxa" w:w="2551"/>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Администратор</w:t>
            </w:r>
          </w:p>
        </w:tc>
        <w:tc>
          <w:tcPr>
            <w:tcW w:type="dxa" w:w="7087"/>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7"/>
              </w:rPr>
              <w:t>Настройки, интеграции, журнал ошибок; изменения в продуктиве через согласованный журнал изменений.</w:t>
            </w:r>
          </w:p>
        </w:tc>
      </w:tr>
    </w:tbl>
    <w:p>
      <w:pPr>
        <w:pageBreakBefore w:val="0"/>
        <w:widowControl/>
        <w:spacing w:after="20"/>
      </w:pPr>
    </w:p>
    <w:p>
      <w:pPr>
        <w:pStyle w:val="Heading1"/>
        <w:keepNext/>
        <w:pageBreakBefore w:val="0"/>
        <w:widowControl/>
      </w:pPr>
      <w:r>
        <w:rPr>
          <w:color w:val="000000"/>
          <w:u w:val="none"/>
        </w:rPr>
        <w:t>12 Контроль качества данных</w:t>
      </w:r>
    </w:p>
    <w:p>
      <w:pPr>
        <w:pStyle w:val="ListBullet"/>
        <w:pageBreakBefore w:val="0"/>
        <w:widowControl/>
      </w:pPr>
      <w:r>
        <w:t>Кандидаты на дубли выявляются по БИН, нормализованным телефону/email, названию и адресу. Совпадение названия или контактных данных не разрешает объединение. Связи строятся по подтверждённым системным ID и карте соответствий; спорную связь утверждает назначенный владелец. Автоматическое удаление или объединение компаний аналитическим импортом запрещено; прямые решения заказчика о раздельных компаниях сохраняются.</w:t>
      </w:r>
    </w:p>
    <w:p>
      <w:pPr>
        <w:pStyle w:val="ListBullet"/>
        <w:pageBreakBefore w:val="0"/>
        <w:widowControl/>
      </w:pPr>
      <w:r>
        <w:t>Историю значимых изменений хранить: стадия, сумма, ответственный, ICP, дата выезда, счет, оплата, шаблон чек-листа, статус клиента.</w:t>
      </w:r>
    </w:p>
    <w:p>
      <w:pPr>
        <w:pStyle w:val="ListBullet"/>
        <w:pageBreakBefore w:val="0"/>
        <w:widowControl/>
      </w:pPr>
      <w:r>
        <w:t>Технические пользователи интеграций должны быть отдельными; ошибки обмена регистрируются и видны администратору.</w:t>
      </w:r>
    </w:p>
    <w:p>
      <w:pPr>
        <w:pStyle w:val="ListBullet"/>
        <w:pageBreakBefore w:val="0"/>
        <w:widowControl/>
      </w:pPr>
      <w:r>
        <w:t>Часовой пояс отчётности — Asia/Qyzylorda; технические timestamps — UTC с зоной. Договорные даты DATE сохраняются без преобразования часового пояса. Месяц — начало включительно, начало следующего месяца исключительно.</w:t>
      </w:r>
    </w:p>
    <w:p>
      <w:pPr>
        <w:pStyle w:val="Heading1"/>
        <w:keepNext/>
        <w:pageBreakBefore w:val="0"/>
        <w:widowControl/>
      </w:pPr>
      <w:r>
        <w:rPr>
          <w:color w:val="000000"/>
          <w:u w:val="none"/>
        </w:rPr>
        <w:t>13 Требования к рабочей среде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blHeader/>
          <w:tblHeader/>
        </w:trPr>
        <w:tc>
          <w:tcPr>
            <w:tcW w:type="dxa" w:w="2438"/>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Компонент</w:t>
            </w:r>
          </w:p>
        </w:tc>
        <w:tc>
          <w:tcPr>
            <w:tcW w:type="dxa" w:w="7200"/>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Настройка</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Рабочие представления</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Очередь новых лидов; обследования сегодня; работы на неделю; чек-листы ждут отчета; счета ждут оплаты; просроченные следующие шаги.</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Карточки</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Поля сгруппированы: Клиент, Объект, Потребность, Атрибуция, ICP, Коммерция, Исполнение, Связи. Второстепенные технические поля скрыты от обычных пользователей.</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Мобильная работа</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Крупные поля выбора, минимальный ручной ввод, обязательные фото только там, где они подтверждают дефект/замену; работа при нестабильной связи проверяется пилотом.</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Шаблоны задач</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Квалификация; обследование; отчет; счет за оборудование; follow-up; контроль оплаты; продление договора.</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Шаблоны документов</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Отчет обследования, отчет ТО, КП по трем направлениям, счет/ссылка на счет. Поля подставляются из CRM без повторного ввода.</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Календарь</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Календари инженеров и плановых работ, запрет двойного назначения при подтвержденном конфликте.</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Тестовый контур</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Перед продуктивным запуском — копия справочников, тестовые пользователи и тестовые интеграционные ключи.</w:t>
            </w:r>
          </w:p>
        </w:tc>
      </w:tr>
    </w:tbl>
    <w:p>
      <w:pPr>
        <w:pageBreakBefore w:val="0"/>
        <w:widowControl/>
        <w:spacing w:after="20"/>
      </w:pPr>
    </w:p>
    <w:p>
      <w:pPr>
        <w:pStyle w:val="Heading1"/>
        <w:keepNext/>
        <w:pageBreakBefore w:val="0"/>
        <w:widowControl/>
      </w:pPr>
      <w:r>
        <w:rPr>
          <w:color w:val="000000"/>
          <w:u w:val="none"/>
        </w:rPr>
        <w:t>14 Порядок внедрения</w:t>
      </w:r>
      <w:r>
        <w:rPr>
          <w:rStyle w:val="CommentReference"/>
          <w:color w:val="000000"/>
          <w:u w:val="none"/>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tblHeader w:val="true"/>
          <w:cantSplit/>
          <w:tblHeader/>
          <w:tblHeader/>
          <w:tblHeader/>
        </w:trPr>
        <w:tc>
          <w:tcPr>
            <w:tcW w:type="dxa" w:w="2268"/>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Этап</w:t>
            </w:r>
          </w:p>
        </w:tc>
        <w:tc>
          <w:tcPr>
            <w:tcW w:type="dxa" w:w="7370"/>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7"/>
              </w:rPr>
              <w:t>Результат</w:t>
            </w:r>
          </w:p>
        </w:tc>
      </w:tr>
      <w:tr>
        <w:trPr>
          <w:cantSplit/>
        </w:trPr>
        <w:tc>
          <w:tcPr>
            <w:tcW w:type="dxa" w:w="2268"/>
            <w:vAlign w:val="center"/>
            <w:shd w:fill="FFFFFF"/>
            <w:tcMar>
              <w:top w:w="85" w:type="dxa"/>
              <w:bottom w:w="85" w:type="dxa"/>
              <w:left w:w="85" w:type="dxa"/>
              <w:right w:w="85" w:type="dxa"/>
            </w:tcMar>
          </w:tcPr>
          <w:p>
            <w:pPr>
              <w:keepNext w:val="0"/>
              <w:pageBreakBefore w:val="0"/>
              <w:spacing w:after="60" w:line="252" w:lineRule="auto"/>
            </w:pPr>
            <w:r>
              <w:rPr>
                <w:color w:val="000000"/>
                <w:sz w:val="20"/>
              </w:rPr>
              <w:t>1 Продажи и обслуживание</w:t>
            </w:r>
          </w:p>
        </w:tc>
        <w:tc>
          <w:tcPr>
            <w:tcW w:type="dxa" w:w="7370"/>
            <w:vAlign w:val="center"/>
            <w:shd w:fill="FFFFFF"/>
            <w:tcMar>
              <w:top w:w="85" w:type="dxa"/>
              <w:bottom w:w="85" w:type="dxa"/>
              <w:left w:w="85" w:type="dxa"/>
              <w:right w:w="85" w:type="dxa"/>
            </w:tcMar>
          </w:tcPr>
          <w:p>
            <w:pPr>
              <w:keepNext w:val="0"/>
              <w:pageBreakBefore w:val="0"/>
              <w:spacing w:after="60" w:line="252" w:lineRule="auto"/>
            </w:pPr>
            <w:r>
              <w:rPr>
                <w:color w:val="000000"/>
                <w:sz w:val="20"/>
              </w:rPr>
              <w:t>Проверка фактической схемы; источники и первичная услуга; обследование и КП; перевод подходящих обращений в ТО; реестр договоров/объектов; плановое ТО, чек-листы, замечания и отчеты; фактическое время ТО; четыре базовых отчета. Сохранять историю с запуска.</w:t>
            </w:r>
          </w:p>
        </w:tc>
      </w:tr>
      <w:tr>
        <w:trPr>
          <w:cantSplit/>
        </w:trPr>
        <w:tc>
          <w:tcPr>
            <w:tcW w:type="dxa" w:w="2268"/>
            <w:vAlign w:val="center"/>
            <w:shd w:fill="FFFFFF"/>
            <w:tcMar>
              <w:top w:w="85" w:type="dxa"/>
              <w:bottom w:w="85" w:type="dxa"/>
              <w:left w:w="85" w:type="dxa"/>
              <w:right w:w="85" w:type="dxa"/>
            </w:tcMar>
          </w:tcPr>
          <w:p>
            <w:pPr>
              <w:keepNext w:val="0"/>
              <w:pageBreakBefore w:val="0"/>
              <w:spacing w:after="60" w:line="252" w:lineRule="auto"/>
            </w:pPr>
            <w:r>
              <w:rPr>
                <w:color w:val="000000"/>
                <w:sz w:val="20"/>
              </w:rPr>
              <w:t>2 Экономика и развитие</w:t>
            </w:r>
          </w:p>
        </w:tc>
        <w:tc>
          <w:tcPr>
            <w:tcW w:type="dxa" w:w="7370"/>
            <w:vAlign w:val="center"/>
            <w:shd w:fill="FFFFFF"/>
            <w:tcMar>
              <w:top w:w="85" w:type="dxa"/>
              <w:bottom w:w="85" w:type="dxa"/>
              <w:left w:w="85" w:type="dxa"/>
              <w:right w:w="85" w:type="dxa"/>
            </w:tcMar>
          </w:tcPr>
          <w:p>
            <w:pPr>
              <w:keepNext w:val="0"/>
              <w:pageBreakBefore w:val="0"/>
              <w:spacing w:after="60" w:line="252" w:lineRule="auto"/>
            </w:pPr>
            <w:r>
              <w:rPr>
                <w:color w:val="000000"/>
                <w:sz w:val="20"/>
              </w:rPr>
              <w:t>После приемки этапа 1 и подтверждения данных: юнит экономика объекта за месяц и разовой работы, CAC и окупаемость, сегменты, удержание, загрузка, качество, продажи на 90 дней. Полный пакет из десяти ежемесячных отчетов и решения с ответственными.</w:t>
            </w:r>
          </w:p>
        </w:tc>
      </w:tr>
    </w:tbl>
    <w:p>
      <w:pPr>
        <w:pageBreakBefore w:val="0"/>
        <w:widowControl/>
      </w:pPr>
      <w:r>
        <w:t>Два этапа CRM сохраняются: продажи/обслуживание, затем экономика/развитие. Детализация — отчётность v1.3, разделы 19–22, и единый план U1–U8 управленческого ТЗ v1.1. Сначала подтверждаются схема, ключи и начальная база; далее операционный пилот, импорт, закрытый месяц, расчёты и прогнозы. Независимую подготовку ведут параллельно; приёмка конкретного блока требует его источников и тестов.</w:t>
      </w:r>
    </w:p>
    <w:p>
      <w:pPr>
        <w:pageBreakBefore w:val="0"/>
        <w:widowControl/>
        <w:spacing w:after="20"/>
      </w:pPr>
    </w:p>
    <w:p>
      <w:pPr>
        <w:pStyle w:val="Heading1"/>
        <w:keepNext/>
        <w:pageBreakBefore w:val="0"/>
        <w:widowControl/>
      </w:pPr>
      <w:r>
        <w:rPr>
          <w:color w:val="000000"/>
          <w:u w:val="none"/>
        </w:rPr>
        <w:t>15 Приемочные испытания</w:t>
      </w:r>
    </w:p>
    <w:p>
      <w:pPr>
        <w:pageBreakBefore w:val="0"/>
        <w:widowControl/>
        <w:ind w:left="397" w:hanging="397"/>
      </w:pPr>
      <w:r>
        <w:t>Тест 1. Форма обслуживания с UTM и GCLID создает одно обращение, сохраняет first-touch и last-touch, рассчитывает ICP и назначает SLA.</w:t>
      </w:r>
    </w:p>
    <w:p>
      <w:pPr>
        <w:pageBreakBefore w:val="0"/>
        <w:widowControl/>
        <w:ind w:left="397" w:hanging="397"/>
      </w:pPr>
      <w:r>
        <w:t>Тест 2. Повторное обращение того же контакта обновляет last-touch, не меняет first-touch и не создает необоснованный дубль компании/объекта.</w:t>
      </w:r>
    </w:p>
    <w:p>
      <w:pPr>
        <w:pageBreakBefore w:val="0"/>
        <w:widowControl/>
        <w:ind w:left="397" w:hanging="397"/>
      </w:pPr>
      <w:r>
        <w:t>Тест 3. Квалификация не завершается без типа объекта, площади, региона, услуги и следующего шага.</w:t>
      </w:r>
    </w:p>
    <w:p>
      <w:pPr>
        <w:pageBreakBefore w:val="0"/>
        <w:widowControl/>
        <w:ind w:left="397" w:hanging="397"/>
      </w:pPr>
      <w:r>
        <w:t>Тест 4. Координатор назначает инженера и дату обследования в Общей воронке; обязательные поля проверяются при переходе на стадию. Значения сохраняются при смене воронки той же сделки. Автозаполнение из задачи не требуется.</w:t>
      </w:r>
    </w:p>
    <w:p>
      <w:pPr>
        <w:pageBreakBefore w:val="0"/>
        <w:widowControl/>
        <w:ind w:left="397" w:hanging="397"/>
      </w:pPr>
      <w:r>
        <w:t>Тест 5. После принятого обследования координатор переводит ту же сделку в выбранную воронку либо продолжает разовую продажу. ID, объект, выводы и первая атрибуция сохраняются; новая копия продажи не появляется.</w:t>
      </w:r>
    </w:p>
    <w:p>
      <w:pPr>
        <w:pageBreakBefore w:val="0"/>
        <w:widowControl/>
        <w:ind w:left="397" w:hanging="397"/>
      </w:pPr>
      <w:r>
        <w:t>Тест 6. КП нельзя перевести в отправленное без суммы, даты и файла/ссылки; событие quote_sent создается один раз.</w:t>
      </w:r>
    </w:p>
    <w:p>
      <w:pPr>
        <w:pageBreakBefore w:val="0"/>
        <w:widowControl/>
        <w:ind w:left="397" w:hanging="397"/>
      </w:pPr>
      <w:r>
        <w:t>Тест 7. Подписанная сделка ТО фиксирует договор/строку услуги, объекты, условия и даты; с даты начала входит в базу/MRR и создаёт первую работу по графику. Одна работа не увеличивает число договоров. Прибыль показывается только при подтверждённой методике и затратах.</w:t>
      </w:r>
    </w:p>
    <w:p>
      <w:pPr>
        <w:pageBreakBefore w:val="0"/>
        <w:widowControl/>
        <w:ind w:left="397" w:hanging="397"/>
      </w:pPr>
      <w:r>
        <w:t>Тест 8. Работы трех видов показывают соответствующий дополнительный блок чек-листа и версию шаблона.</w:t>
      </w:r>
    </w:p>
    <w:p>
      <w:pPr>
        <w:pageBreakBefore w:val="0"/>
        <w:widowControl/>
        <w:ind w:left="397" w:hanging="397"/>
      </w:pPr>
      <w:r>
        <w:t>Тест 9. Отметка оборудования к замене создает одну задачу координатору с полным списком; повторный запуск не создает дубль.</w:t>
      </w:r>
    </w:p>
    <w:p>
      <w:pPr>
        <w:pageBreakBefore w:val="0"/>
        <w:widowControl/>
        <w:ind w:left="397" w:hanging="397"/>
      </w:pPr>
      <w:r>
        <w:t>Тест 10. После заполнения чек-листа координатор получает задачу на отчет и счет со сроком 1 рабочий день.</w:t>
      </w:r>
    </w:p>
    <w:p>
      <w:pPr>
        <w:pageBreakBefore w:val="0"/>
        <w:widowControl/>
        <w:ind w:left="397" w:hanging="397"/>
      </w:pPr>
      <w:r>
        <w:t>Тест 11. Работа закрывается после отправки отчета и перевода в «Счет отправлен». Статус оплаты фиксируется в Bitrix24 и может поступить из 1С либо быть подтвержден уполномоченным лицом.</w:t>
      </w:r>
    </w:p>
    <w:p>
      <w:pPr>
        <w:pageBreakBefore w:val="0"/>
        <w:widowControl/>
        <w:ind w:left="397" w:hanging="397"/>
      </w:pPr>
      <w:r>
        <w:t>Тест 12. Дашборды сходятся с контрольной выборкой по количеству лидов, выездов, КП, счетов, оплат, выручке, прибыли и MRR.</w:t>
      </w:r>
    </w:p>
    <w:p>
      <w:pPr>
        <w:pageBreakBefore w:val="0"/>
        <w:widowControl/>
        <w:ind w:left="397" w:hanging="397"/>
      </w:pPr>
      <w:r>
        <w:t>Тест 13. Офлайн-события GA4/Google Ads содержат корректные click ID, время, value/currency и защищены от повторной отправки.</w:t>
      </w:r>
    </w:p>
    <w:p>
      <w:pPr>
        <w:pageBreakBefore w:val="0"/>
        <w:widowControl/>
        <w:ind w:left="397" w:hanging="397"/>
      </w:pPr>
      <w:r>
        <w:t>Тест 14. Права техника не позволяют видеть чужие объекты и маркетинговую экономику; менеджер не может менять first-touch.</w:t>
      </w:r>
    </w:p>
    <w:p>
      <w:pPr>
        <w:pageBreakBefore w:val="0"/>
        <w:widowControl/>
        <w:ind w:left="397" w:hanging="397"/>
      </w:pPr>
      <w:r>
        <w:t>Тест 15. Экспорт контрольной сделки содержит все связи и идентификаторы, достаточные для независимой сверки.</w:t>
      </w:r>
    </w:p>
    <w:p>
      <w:pPr>
        <w:pageBreakBefore w:val="0"/>
        <w:widowControl/>
      </w:pPr>
      <w:r>
        <w:t>Приемка считается успешной после прохождения всех критических тестов и не менее 10 сквозных сценариев реклама → сайт/звонок → CRM → ICP → обследование/расчет → КП → счет/договор → офлайн-конверсия без дублей и потери атрибуции.</w:t>
      </w:r>
    </w:p>
    <w:p>
      <w:pPr>
        <w:pStyle w:val="Heading1"/>
        <w:keepNext/>
        <w:pageBreakBefore w:val="0"/>
        <w:widowControl/>
      </w:pPr>
      <w:r>
        <w:rPr>
          <w:color w:val="000000"/>
          <w:u w:val="none"/>
        </w:rPr>
        <w:t>16 Результаты, передаваемые исполнителем</w:t>
      </w:r>
    </w:p>
    <w:p>
      <w:pPr>
        <w:pStyle w:val="ListBullet"/>
        <w:pageBreakBefore w:val="0"/>
        <w:widowControl/>
      </w:pPr>
      <w:r>
        <w:t>Настроенный продуктивный портал и тестовый контур либо согласованный способ тестирования.</w:t>
      </w:r>
    </w:p>
    <w:p>
      <w:pPr>
        <w:pStyle w:val="ListBullet"/>
        <w:pageBreakBefore w:val="0"/>
        <w:widowControl/>
      </w:pPr>
      <w:r>
        <w:t>Реестр сущностей, полей, типов, обязательности, справочников и технических кодов.</w:t>
      </w:r>
    </w:p>
    <w:p>
      <w:pPr>
        <w:pStyle w:val="ListBullet"/>
        <w:pageBreakBefore w:val="0"/>
        <w:widowControl/>
      </w:pPr>
      <w:r>
        <w:t>Карта стадий, роботов, триггеров, SLA, шаблонов задач и уведомлений.</w:t>
      </w:r>
    </w:p>
    <w:p>
      <w:pPr>
        <w:pStyle w:val="ListBullet"/>
        <w:pageBreakBefore w:val="0"/>
        <w:widowControl/>
      </w:pPr>
      <w:r>
        <w:t>Версии чек-листов обследования и трех видов ТО.</w:t>
      </w:r>
    </w:p>
    <w:p>
      <w:pPr>
        <w:pStyle w:val="ListBullet"/>
        <w:pageBreakBefore w:val="0"/>
        <w:widowControl/>
      </w:pPr>
      <w:r>
        <w:t>Описание интеграций, webhooks/API, уникальных ключей событий и журнала ошибок.</w:t>
      </w:r>
    </w:p>
    <w:p>
      <w:pPr>
        <w:pStyle w:val="ListBullet"/>
        <w:pageBreakBefore w:val="0"/>
        <w:widowControl/>
      </w:pPr>
      <w:r>
        <w:t>Набор BI-отчетов с формулами показателей и правилами фильтрации.</w:t>
      </w:r>
    </w:p>
    <w:p>
      <w:pPr>
        <w:pStyle w:val="ListBullet"/>
        <w:pageBreakBefore w:val="0"/>
        <w:widowControl/>
      </w:pPr>
      <w:r>
        <w:t>Протокол приемочных тестов, инструкция пользователей и регламент поддержки.</w:t>
      </w:r>
    </w:p>
    <w:p>
      <w:pPr>
        <w:pStyle w:val="Heading1"/>
        <w:keepNext/>
        <w:pageBreakBefore w:val="0"/>
        <w:widowControl/>
      </w:pPr>
      <w:r>
        <w:rPr>
          <w:color w:val="000000"/>
          <w:u w:val="none"/>
        </w:rPr>
        <w:t>17 Вопросы для фиксации до начала настройки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cantSplit/>
          <w:tblHeader/>
          <w:tblHeader/>
          <w:tblHeader/>
        </w:trPr>
        <w:tc>
          <w:tcPr>
            <w:tcW w:type="dxa" w:w="2438"/>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Решение</w:t>
            </w:r>
          </w:p>
        </w:tc>
        <w:tc>
          <w:tcPr>
            <w:tcW w:type="dxa" w:w="7200"/>
            <w:shd w:fill="E7EBEF"/>
            <w:tcMar>
              <w:top w:w="85" w:type="dxa"/>
              <w:start w:w="120" w:type="dxa"/>
              <w:bottom w:w="85" w:type="dxa"/>
              <w:end w:w="120" w:type="dxa"/>
              <w:left w:w="85" w:type="dxa"/>
              <w:right w:w="85" w:type="dxa"/>
            </w:tcMar>
            <w:vAlign w:val="center"/>
          </w:tcPr>
          <w:p>
            <w:pPr>
              <w:keepNext/>
              <w:pageBreakBefore w:val="0"/>
              <w:spacing w:after="60" w:line="252" w:lineRule="auto"/>
              <w:jc w:val="center"/>
            </w:pPr>
            <w:r>
              <w:rPr>
                <w:b/>
                <w:color w:val="000000"/>
                <w:sz w:val="16"/>
              </w:rPr>
              <w:t>Что необходимо утвердить</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Редакция Bitrix24</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20"/>
              </w:rPr>
              <w:t>Облачный Bitrix24, тариф «Стандартный». Используются CRM, до 10 воронок, роботы CRM, задачи, права CRM, REST/webhooks и BI-конструктор. Не использовать бизнес-процессы, Списки, регулярные задачи и расширенные права на проекты.</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Лиды</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Рабочий сайт — прямое создание Сделки через Cloud Run. Классический Лид допустим для отдельного канала; схема фиксируется в карте сущностей, без параллельных дублей.</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Счета и оплаты</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rPr>
              <w:t>Движение денег подтверждает банк, документ/счёт — 1С либо подтверждённый юридический документ; CRM хранит отражённые статус и связь. Не суммировать отражения одной оплаты из разных систем.</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Отчеты</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Форма и шаблон отчета, способ подписания, получатели и срок отправки.</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Чек-листы</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Финальный технический состав по типам систем, договорам и нормативным требованиям; обязательность фото/подписи.</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Рабочее время и SLA</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Календарь, праздники, дежурства и правила аварийных обращений.</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Экономика</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Метод расчета валовой прибыли, рекламных расходов, MRR и даты признания выручки.</w:t>
            </w:r>
          </w:p>
        </w:tc>
      </w:tr>
      <w:tr>
        <w:trPr>
          <w:cantSplit/>
        </w:trPr>
        <w:tc>
          <w:tcPr>
            <w:tcW w:type="dxa" w:w="2438"/>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Интеграции</w:t>
            </w:r>
          </w:p>
        </w:tc>
        <w:tc>
          <w:tcPr>
            <w:tcW w:type="dxa" w:w="7200"/>
            <w:tcMar>
              <w:top w:w="85" w:type="dxa"/>
              <w:start w:w="120" w:type="dxa"/>
              <w:bottom w:w="85" w:type="dxa"/>
              <w:end w:w="120" w:type="dxa"/>
              <w:left w:w="85" w:type="dxa"/>
              <w:right w:w="85" w:type="dxa"/>
            </w:tcMar>
            <w:vAlign w:val="center"/>
            <w:shd w:fill="FFFFFF"/>
          </w:tcPr>
          <w:p>
            <w:pPr>
              <w:keepNext w:val="0"/>
              <w:pageBreakBefore w:val="0"/>
              <w:spacing w:after="60" w:line="252" w:lineRule="auto"/>
            </w:pPr>
            <w:r>
              <w:rPr>
                <w:color w:val="000000"/>
                <w:sz w:val="16"/>
              </w:rPr>
              <w:t>Провайдер телефонии/call-tracking, сайт/CMS, почта, WhatsApp, учетная система и владельцы доступов.</w:t>
            </w:r>
          </w:p>
        </w:tc>
      </w:tr>
    </w:tbl>
    <w:p>
      <w:pPr>
        <w:pageBreakBefore w:val="0"/>
        <w:widowControl/>
        <w:spacing w:after="20"/>
      </w:pPr>
    </w:p>
    <w:p>
      <w:pPr>
        <w:pStyle w:val="Heading1"/>
        <w:pageBreakBefore w:val="0"/>
        <w:widowControl/>
      </w:pPr>
      <w:r>
        <w:rPr>
          <w:color w:val="000000"/>
          <w:u w:val="none"/>
        </w:rPr>
        <w:t>18 Техническая спецификация аналитического контура</w:t>
      </w:r>
    </w:p>
    <w:p>
      <w:pPr>
        <w:pageBreakBefore w:val="0"/>
        <w:widowControl/>
      </w:pPr>
      <w:r>
        <w:t>Этот раздел устанавливает единый контракт данных для сайта, Cloud Run, BigQuery, Bitrix24, GA4, Google Ads и сервисов коллтрекинга. Технические коды ниже являются каноническими: создание альтернативных полей с тем же смыслом не допускается.</w:t>
      </w:r>
    </w:p>
    <w:p>
      <w:pPr>
        <w:pStyle w:val="Heading2"/>
        <w:pageBreakBefore w:val="0"/>
        <w:widowControl/>
      </w:pPr>
      <w:r>
        <w:rPr>
          <w:color w:val="000000"/>
          <w:u w:val="none"/>
        </w:rPr>
        <w:t>18.1 Архитектура и источники истины</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cantSplit/>
          <w:tblHeader/>
          <w:tblHeader/>
          <w:tblHeader/>
        </w:trPr>
        <w:tc>
          <w:tcPr>
            <w:tcW w:type="dxa" w:w="3362"/>
            <w:shd w:fill="E7EBEF"/>
            <w:vAlign w:val="center"/>
            <w:tcMar>
              <w:top w:w="85" w:type="dxa"/>
              <w:start w:w="110" w:type="dxa"/>
              <w:bottom w:w="85" w:type="dxa"/>
              <w:end w:w="110" w:type="dxa"/>
              <w:left w:w="85" w:type="dxa"/>
              <w:right w:w="85" w:type="dxa"/>
            </w:tcMar>
          </w:tcPr>
          <w:p>
            <w:pPr>
              <w:keepNext/>
              <w:pageBreakBefore w:val="0"/>
              <w:spacing w:after="60" w:line="252" w:lineRule="auto"/>
            </w:pPr>
            <w:r>
              <w:rPr>
                <w:b/>
                <w:color w:val="000000"/>
                <w:sz w:val="18"/>
              </w:rPr>
              <w:t>Компонент</w:t>
            </w:r>
          </w:p>
        </w:tc>
        <w:tc>
          <w:tcPr>
            <w:tcW w:type="dxa" w:w="3362"/>
            <w:shd w:fill="E7EBEF"/>
            <w:vAlign w:val="center"/>
            <w:tcMar>
              <w:top w:w="85" w:type="dxa"/>
              <w:start w:w="110" w:type="dxa"/>
              <w:bottom w:w="85" w:type="dxa"/>
              <w:end w:w="110" w:type="dxa"/>
              <w:left w:w="85" w:type="dxa"/>
              <w:right w:w="85" w:type="dxa"/>
            </w:tcMar>
          </w:tcPr>
          <w:p>
            <w:pPr>
              <w:keepNext/>
              <w:pageBreakBefore w:val="0"/>
              <w:spacing w:after="60" w:line="252" w:lineRule="auto"/>
            </w:pPr>
            <w:r>
              <w:rPr>
                <w:b/>
                <w:color w:val="000000"/>
                <w:sz w:val="18"/>
              </w:rPr>
              <w:t>Назначение</w:t>
            </w:r>
          </w:p>
        </w:tc>
        <w:tc>
          <w:tcPr>
            <w:tcW w:type="dxa" w:w="3362"/>
            <w:shd w:fill="E7EBEF"/>
            <w:vAlign w:val="center"/>
            <w:tcMar>
              <w:top w:w="85" w:type="dxa"/>
              <w:start w:w="110" w:type="dxa"/>
              <w:bottom w:w="85" w:type="dxa"/>
              <w:end w:w="110" w:type="dxa"/>
              <w:left w:w="85" w:type="dxa"/>
              <w:right w:w="85" w:type="dxa"/>
            </w:tcMar>
          </w:tcPr>
          <w:p>
            <w:pPr>
              <w:keepNext/>
              <w:pageBreakBefore w:val="0"/>
              <w:spacing w:after="60" w:line="252" w:lineRule="auto"/>
            </w:pPr>
            <w:r>
              <w:rPr>
                <w:b/>
                <w:color w:val="000000"/>
                <w:sz w:val="18"/>
              </w:rPr>
              <w:t>Источник истины</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Tilda или CMS</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Формирует веб-событие и передает параметры визита и формы.</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Точка входа, UTM, click ID, Client ID, CTA и ответы квиза.</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Cloud Run webhook</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Валидирует, нормализует, обогащает, сохраняет event_id, создает его при отсутствии и блокирует повторы.</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received_at, IP/география, журнал приема и статус доставки.</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BigQuery</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Хранит сырые и нормализованные события, рекламные расходы и очередь офлайн-конверсий.</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rPr>
              <w:t>Существующий журнал событий и рекламных данных; локальное ядро финансов использует согласованный импорт, сохраняя RAW и источник.</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Bitrix24</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Хранит клиента, объект, квалификацию, стадии, суммы, работы, счета и оплаты.</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rPr>
              <w:t>Операционные события, связи, договорные условия; движение денег/стоимость подтверждаются банком/1С.</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GA4</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Анализирует поведение и согласованные веб- и CRM-события.</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Веб-аналитика; без персональных данных.</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Google Ads</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Получает Primary и Secondary conversions и предоставляет расходы.</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Оптимизация кампаний и рекламная экономика.</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Коллтрекинг</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Связывает динамический номер, звонок, источник, сессию и запись.</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Телефонные обращения и качество звонков.</w:t>
            </w:r>
          </w:p>
        </w:tc>
      </w:tr>
    </w:tbl>
    <w:p>
      <w:pPr>
        <w:pageBreakBefore w:val="0"/>
        <w:widowControl/>
        <w:spacing w:after="0"/>
      </w:pPr>
    </w:p>
    <w:p>
      <w:pPr>
        <w:pageBreakBefore w:val="0"/>
        <w:widowControl/>
      </w:pPr>
      <w:r>
        <w:t>Рабочий вход сайта — Tilda/CMS → Cloud Run с прямым созданием сделки и журналом BigQuery. Bitrix24 → crm-events → BigQuery сохраняет подтверждённые события; отправка в GA4/Google Ads выполняется отдельно после тестов и проверки согласий. Локальная система читает CRM, банк, 1С и согласованные аналитические наборы; расчёт не требует доступности облака после принятого импорта.</w:t>
      </w:r>
    </w:p>
    <w:p>
      <w:pPr>
        <w:pStyle w:val="Heading2"/>
        <w:pageBreakBefore w:val="0"/>
        <w:widowControl/>
      </w:pPr>
      <w:r>
        <w:rPr>
          <w:color w:val="000000"/>
          <w:u w:val="none"/>
        </w:rPr>
        <w:t>18.2 Канонический реестр полей</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1"/>
        <w:gridCol w:w="2521"/>
        <w:gridCol w:w="2521"/>
        <w:gridCol w:w="2521"/>
      </w:tblGrid>
      <w:tr>
        <w:trPr>
          <w:tblHeader w:val="true"/>
          <w:cantSplit/>
          <w:tblHeader/>
          <w:tblHeader/>
          <w:tblHeader/>
        </w:trPr>
        <w:tc>
          <w:tcPr>
            <w:tcW w:type="dxa" w:w="2521"/>
            <w:shd w:fill="E7EBEF"/>
            <w:vAlign w:val="center"/>
            <w:tcMar>
              <w:top w:w="85" w:type="dxa"/>
              <w:start w:w="110" w:type="dxa"/>
              <w:bottom w:w="85" w:type="dxa"/>
              <w:end w:w="110" w:type="dxa"/>
              <w:left w:w="85" w:type="dxa"/>
              <w:right w:w="85" w:type="dxa"/>
            </w:tcMar>
          </w:tcPr>
          <w:p>
            <w:pPr>
              <w:keepNext/>
              <w:pageBreakBefore w:val="0"/>
              <w:spacing w:after="60" w:line="252" w:lineRule="auto"/>
            </w:pPr>
            <w:r>
              <w:rPr>
                <w:b/>
                <w:color w:val="000000"/>
                <w:sz w:val="18"/>
              </w:rPr>
              <w:t>Поле формы или API</w:t>
            </w:r>
          </w:p>
        </w:tc>
        <w:tc>
          <w:tcPr>
            <w:tcW w:type="dxa" w:w="2521"/>
            <w:shd w:fill="E7EBEF"/>
            <w:vAlign w:val="center"/>
            <w:tcMar>
              <w:top w:w="85" w:type="dxa"/>
              <w:start w:w="110" w:type="dxa"/>
              <w:bottom w:w="85" w:type="dxa"/>
              <w:end w:w="110" w:type="dxa"/>
              <w:left w:w="85" w:type="dxa"/>
              <w:right w:w="85" w:type="dxa"/>
            </w:tcMar>
          </w:tcPr>
          <w:p>
            <w:pPr>
              <w:keepNext/>
              <w:pageBreakBefore w:val="0"/>
              <w:spacing w:after="60" w:line="252" w:lineRule="auto"/>
            </w:pPr>
            <w:r>
              <w:rPr>
                <w:b/>
                <w:color w:val="000000"/>
                <w:sz w:val="18"/>
              </w:rPr>
              <w:t>BigQuery</w:t>
            </w:r>
          </w:p>
        </w:tc>
        <w:tc>
          <w:tcPr>
            <w:tcW w:type="dxa" w:w="2521"/>
            <w:shd w:fill="E7EBEF"/>
            <w:vAlign w:val="center"/>
            <w:tcMar>
              <w:top w:w="85" w:type="dxa"/>
              <w:start w:w="110" w:type="dxa"/>
              <w:bottom w:w="85" w:type="dxa"/>
              <w:end w:w="110" w:type="dxa"/>
              <w:left w:w="85" w:type="dxa"/>
              <w:right w:w="85" w:type="dxa"/>
            </w:tcMar>
          </w:tcPr>
          <w:p>
            <w:pPr>
              <w:keepNext/>
              <w:pageBreakBefore w:val="0"/>
              <w:spacing w:after="60" w:line="252" w:lineRule="auto"/>
            </w:pPr>
            <w:r>
              <w:rPr>
                <w:b/>
                <w:color w:val="000000"/>
                <w:sz w:val="18"/>
              </w:rPr>
              <w:t>Bitrix24</w:t>
            </w:r>
          </w:p>
        </w:tc>
        <w:tc>
          <w:tcPr>
            <w:tcW w:type="dxa" w:w="2521"/>
            <w:shd w:fill="E7EBEF"/>
            <w:vAlign w:val="center"/>
            <w:tcMar>
              <w:top w:w="85" w:type="dxa"/>
              <w:start w:w="110" w:type="dxa"/>
              <w:bottom w:w="85" w:type="dxa"/>
              <w:end w:w="110" w:type="dxa"/>
              <w:left w:w="85" w:type="dxa"/>
              <w:right w:w="85" w:type="dxa"/>
            </w:tcMar>
          </w:tcPr>
          <w:p>
            <w:pPr>
              <w:keepNext/>
              <w:pageBreakBefore w:val="0"/>
              <w:spacing w:after="60" w:line="252" w:lineRule="auto"/>
            </w:pPr>
            <w:r>
              <w:rPr>
                <w:b/>
                <w:color w:val="000000"/>
                <w:sz w:val="18"/>
              </w:rPr>
              <w:t>Правило</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event_id</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event_id</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UF_CRM_EVENT_ID</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Уникальный ключ события; обязателен.</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event_name</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event_name</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UF_CRM_EVENT_NAME</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Код события из утвержденного справочника.</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schema_version</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schema_version</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UF_CRM_SCHEMA_VERSION</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Версия контракта данных, начальное значение 2.1.</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visitor_id</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visitor_id</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UF_CRM_VISITOR_ID</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Анонимный ID посетителя.</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ga_session_id</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ga_session_id</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UF_CRM_GA_SESSION_ID</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Анонимный ID сессии.</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ga_client_id</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ga_client_id</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UF_CRM_GA_CLIENT_ID</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GA4 Client ID; использовать только UF_CRM_GA_CLIENT_ID.</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utm_source/medium/campaign/content/term</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utm_*</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UF_CRM_FIRST_UTM_* и UF_CRM_LAST_UTM_*</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First-touch не изменяется; last-touch обновляется.</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gclid/gbraid/wbraid/yclid</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одноименные</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UF_CRM_GCLID/UF_CRM_GBRAID/UF_CRM_WBRAID/UF_CRM_YCLID/UF_CRM_DCLID/UF_CRM_FBCLID/UF_CRM_GAD_SOURCE</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Хранить ID и timestamp получения.</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first_landing_page</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first_landing_page</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UF_CRM_FIRST_LANDING</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Первая посадочная страница.</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page_url/page_title</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page_url/page_title</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UF_CRM_PAGE_URL/UF_CRM_PAGE_TITLE</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Страница отправки обращения.</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first_referrer</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first_referrer</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UF_CRM_FIRST_REFERRER</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Источник перехода первого визита; direct хранить явно.</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last_referrer</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last_referrer</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UF_CRM_LAST_REFERRER</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Источник перехода последнего визита; direct хранить явно.</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lead_source_block</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lead_source_block</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UF_CRM_ENTRY_POINT</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ID блока Tilda либо код источника формы.</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cta_location/cta_text</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cta_location/cta_text</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UF_CRM_CTA_LOCATION/UF_CRM_CTA_TEXT</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Расположение и текст CTA.</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service_type</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service_type</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UF_CRM_SERVICE_TYPE</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rPr>
              <w:t>Технический service_type сохраняется в исходном payload. UF_CRM_SERVICE_TYPE хранит утверждённое CRM-значение услуги, например «Пожарный аудит» для fire_audit. Тип/ID значений и сценарий маршрутизации проверяются в карте; исходная услуга сохраняется отдельно от последующей.</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object_type/object_area</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object_type/area</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UF_CRM_OBJECT_TYPE/UF_CRM_OBJECT_AREA</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В формах допускается object_area, в BigQuery хранить area.</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project_exists</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project_available</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UF_CRM_PROJECT_AVAILABLE</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Наличие проектной документации.</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device_type/os/platform</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одноименные</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UF_CRM_DEVICE_TYPE/UF_CRM_DEVICE_OS/UF_CRM_PLATFORM</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Технический контекст визита.</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time_on_page_seconds/max_scroll_percent</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одноименные</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UF_CRM_TIME_ON_PAGE_SECONDS/UF_CRM_SCROLL_DEPTH_PERCENT</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Поведение до отправки формы.</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is_returning_visitor</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is_returning_visitor</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UF_CRM_VISITOR_TYPE</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Признак первого или повторного визита.</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call_id/call_source/call_recording_url</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одноименные</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UF_CRM_CALL_ID/UF_CRM_CALL_SOURCE/UF_CRM_CALL_RECORDING_URL</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Параметры телефонного обращения.</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received_at/ip_hash/geo_*</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одноименные</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Технические поля интеграции</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Формируются сервером; IP в рекламные системы не передается.</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raw_payload</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raw_payload</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Не выводить пользователям</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Исходное тело события для диагностики с ограниченным сроком хранения.</w:t>
            </w:r>
          </w:p>
        </w:tc>
      </w:tr>
      <w:tr>
        <w:trPr>
          <w:cantSplit/>
        </w:trPr>
        <w:tc>
          <w:tcPr>
            <w:tcW w:type="dxa" w:w="2154"/>
            <w:vAlign w:val="center"/>
            <w:shd w:fill="FFFFFF"/>
            <w:tcMar>
              <w:top w:w="85" w:type="dxa"/>
              <w:start w:w="110" w:type="dxa"/>
              <w:bottom w:w="85" w:type="dxa"/>
              <w:end w:w="110" w:type="dxa"/>
              <w:left w:w="85" w:type="dxa"/>
              <w:right w:w="85" w:type="dxa"/>
            </w:tcMar>
          </w:tcPr>
          <w:p>
            <w:pPr>
              <w:keepNext w:val="0"/>
              <w:pageBreakBefore w:val="0"/>
              <w:spacing w:after="60" w:line="252" w:lineRule="auto"/>
            </w:pPr>
            <w:r>
              <w:rPr>
                <w:color w:val="000000"/>
                <w:sz w:val="17"/>
              </w:rPr>
              <w:t>client_status</w:t>
            </w:r>
          </w:p>
        </w:tc>
        <w:tc>
          <w:tcPr>
            <w:tcW w:type="dxa" w:w="1984"/>
            <w:vAlign w:val="center"/>
            <w:shd w:fill="FFFFFF"/>
            <w:tcMar>
              <w:top w:w="85" w:type="dxa"/>
              <w:start w:w="110" w:type="dxa"/>
              <w:bottom w:w="85" w:type="dxa"/>
              <w:end w:w="110" w:type="dxa"/>
              <w:left w:w="85" w:type="dxa"/>
              <w:right w:w="85" w:type="dxa"/>
            </w:tcMar>
          </w:tcPr>
          <w:p>
            <w:pPr>
              <w:keepNext w:val="0"/>
              <w:pageBreakBefore w:val="0"/>
              <w:spacing w:after="60" w:line="252" w:lineRule="auto"/>
            </w:pPr>
            <w:r>
              <w:rPr>
                <w:color w:val="000000"/>
                <w:sz w:val="17"/>
              </w:rPr>
              <w:t>client_status</w:t>
            </w:r>
          </w:p>
        </w:tc>
        <w:tc>
          <w:tcPr>
            <w:tcW w:type="dxa" w:w="2494"/>
            <w:vAlign w:val="center"/>
            <w:shd w:fill="FFFFFF"/>
            <w:tcMar>
              <w:top w:w="85" w:type="dxa"/>
              <w:start w:w="110" w:type="dxa"/>
              <w:bottom w:w="85" w:type="dxa"/>
              <w:end w:w="110" w:type="dxa"/>
              <w:left w:w="85" w:type="dxa"/>
              <w:right w:w="85" w:type="dxa"/>
            </w:tcMar>
          </w:tcPr>
          <w:p>
            <w:pPr>
              <w:keepNext w:val="0"/>
              <w:pageBreakBefore w:val="0"/>
              <w:spacing w:after="60" w:line="252" w:lineRule="auto"/>
            </w:pPr>
            <w:r>
              <w:rPr>
                <w:color w:val="000000"/>
                <w:sz w:val="17"/>
              </w:rPr>
              <w:t>UF_CRM_1789642172868</w:t>
            </w:r>
          </w:p>
        </w:tc>
        <w:tc>
          <w:tcPr>
            <w:tcW w:type="dxa" w:w="2381"/>
            <w:vAlign w:val="center"/>
            <w:shd w:fill="FFFFFF"/>
            <w:tcMar>
              <w:top w:w="85" w:type="dxa"/>
              <w:start w:w="110" w:type="dxa"/>
              <w:bottom w:w="85" w:type="dxa"/>
              <w:end w:w="110" w:type="dxa"/>
              <w:left w:w="85" w:type="dxa"/>
              <w:right w:w="85" w:type="dxa"/>
            </w:tcMar>
          </w:tcPr>
          <w:p>
            <w:pPr>
              <w:keepNext w:val="0"/>
              <w:pageBreakBefore w:val="0"/>
              <w:spacing w:after="60" w:line="252" w:lineRule="auto"/>
            </w:pPr>
            <w:r>
              <w:rPr>
                <w:color w:val="000000"/>
              </w:rPr>
              <w:t>Производный статус компании по подтверждённым договорам и карте системных ID. Совпадение БИН/названия без проверки конфликта не разрешает объединение. Комментарий и основание обязательны для ручной корректировки.</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client_status_comment</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client_status_comment</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UF_CRM_1789642304955</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Комментарий к статусу «На паузе» или «Бывший клиент» — причина и дата изменения; обязателен при этих статусах.</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last_landing_page</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last_landing_page</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UF_CRM_LAST_LANDING</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Последняя посадочная страница текущего визита (обновляется, в отличие от UF_CRM_PAGE_URL — страницы фактической отправки обращения).</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page_path</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page_path</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UF_CRM_PAGE_PATH</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Путь страницы отправки обращения без домена.</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ga_session_number</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ga_session_number</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UF_CRM_GA_SESSION_NUMBER</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Номер сессии GA4, если доступен; обязателен по единому контракту данных v1.1.</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form_name / form_location</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form_name / form_location</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UF_CRM_FORM_NAME / UF_CRM_FORM_LOCATION</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Понятное название формы и её расположение на странице (hero/footer/popup/calculator).</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first_visit_at / last_visit_at</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first_visit_at / last_visit_at</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UF_CRM_FIRST_VISIT_AT / UF_CRM_LAST_VISIT_AT</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Дата и время первого и последнего визита; требуется ТЗ аналитики страниц, §16.</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consent_analytics / consent_ads</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consent_analytics / consent_ads</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UF_CRM_CONSENT_ANALYTICS / UF_CRM_CONSENT_ADS</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Согласие Consent Mode v2 по категориям analytics/ads на момент обращения.</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consent_timestamp / consent_version</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consent_timestamp / consent_version</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UF_CRM_CONSENT_TIMESTAMP / UF_CRM_CONSENT_VERSION</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Дата и версия согласия на обработку данных.</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ICP: тип персоны (сценарий 1-5)</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icp_type</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UF_CRM_ICP_TYPE</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Список: ICP-1 (ТО) / ICP-2 (Смена подрядчика) / ICP-3 (Новый объект) / ICP-4 (Неисправность/модернизация) / ICP-5 (Аудит/проверка) / ICP-C. Источник: медиаплан, разделы 23-26.</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(не передаётся с сайта; вычисляется внутри CRM)</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UF_CRM_ICP_SEGMENT</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Класс приоритета A/B/C — производная величина от UF_CRM_ICP_SCORE (см. раздел 5: A ≥ 70, B 50–69, C менее 50). Интерфейсный ярлык «ICP: класс». Заполняется и пересчитывается только роботами, вручную не редактируется. Отдельная сущность от UF_CRM_ICP_TYPE (сценарий клиента) — поля не путать и не дублировать. Основание оценки хранится в UF_CRM_ICP_REASON («ICP: основание оценки», строка): заполняется роботом вместе с баллом и классом, вручную не редактируется.</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ICP: скоринг и роль в закупке</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icp_score / buying_role</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UF_CRM_ICP_SCORE / UF_CRM_BUYING_ROLE</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Автоскоринг 0-100 (формула — раздел 5) и роль контакта: ЛПР/влияющий/procurement/технический/инициатор.</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ICP: число объектов, действующая АПС</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object_count / aps_exists</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UF_CRM_OBJECT_COUNT / UF_CRM_APS_EXISTS</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Количество объектов клиента и признак действующей АПС на объекте.</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ICP: текущий подрядчик и окончание договора</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current_contractor / contract_end</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UF_CRM_CURRENT_CONTRACTOR / UF_CRM_CURRENT_CONTRACTOR_END</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Признак текущего подрядчика (не Pozharnik) и дата окончания его договора — основа тега «окно смены подрядчика».</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ICP: триггер и боли клиента</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trigger / pain</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UF_CRM_TRIGGER / UF_CRM_PAIN</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Триггер обращения (договор/недовольство/неисправность/проверка/стройка/реконструкция/модернизация) и множественный список болей.</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ICP: следующий шаг</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next_step / next_step_date</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UF_CRM_NEXT_STEP / UF_CRM_NEXT_STEP_DATE</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Следующий шаг по сделке и контрольная дата/время его выполнения.</w:t>
            </w:r>
          </w:p>
        </w:tc>
      </w:tr>
      <w:tr>
        <w:trPr>
          <w:cantSplit/>
        </w:trPr>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ICP: экономика сделки</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mrr / gross_profit</w:t>
            </w:r>
          </w:p>
        </w:tc>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UF_CRM_MRR / UF_CRM_GROSS_PROFIT</w:t>
            </w:r>
          </w:p>
        </w:tc>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rPr>
              <w:t>Договорный MRR и подтверждённая/оценочная прибыль имеют разные источники. Расчёт финансов и статус достоверности — по управленческой методике; не извлекать прибыль из оплаты и не увеличивать MRR каждой работой.</w:t>
            </w:r>
          </w:p>
        </w:tc>
      </w:tr>
      <w:tr>
        <w:trPr>
          <w:cantSplit/>
        </w:trPr>
        <w:tc>
          <w:tcPr>
            <w:tcW w:type="dxa" w:w="2521"/>
            <w:vAlign w:val="center"/>
            <w:shd w:fill="FFFFFF"/>
            <w:tcMar>
              <w:top w:w="85" w:type="dxa"/>
              <w:bottom w:w="85" w:type="dxa"/>
              <w:left w:w="85" w:type="dxa"/>
              <w:right w:w="85" w:type="dxa"/>
            </w:tcMar>
          </w:tcPr>
          <w:p>
            <w:pPr>
              <w:keepNext w:val="0"/>
              <w:pageBreakBefore w:val="0"/>
              <w:spacing w:after="60" w:line="252" w:lineRule="auto"/>
            </w:pPr>
            <w:r>
              <w:rPr>
                <w:color w:val="000000"/>
                <w:sz w:val="20"/>
              </w:rPr>
              <w:t>next_service_date</w:t>
            </w:r>
          </w:p>
        </w:tc>
        <w:tc>
          <w:tcPr>
            <w:tcW w:type="dxa" w:w="2521"/>
            <w:vAlign w:val="center"/>
            <w:shd w:fill="FFFFFF"/>
            <w:tcMar>
              <w:top w:w="85" w:type="dxa"/>
              <w:bottom w:w="85" w:type="dxa"/>
              <w:left w:w="85" w:type="dxa"/>
              <w:right w:w="85" w:type="dxa"/>
            </w:tcMar>
          </w:tcPr>
          <w:p>
            <w:pPr>
              <w:keepNext w:val="0"/>
              <w:pageBreakBefore w:val="0"/>
              <w:spacing w:after="60" w:line="252" w:lineRule="auto"/>
            </w:pPr>
            <w:r>
              <w:rPr>
                <w:color w:val="000000"/>
                <w:sz w:val="20"/>
              </w:rPr>
              <w:t>next_service_date</w:t>
            </w:r>
          </w:p>
        </w:tc>
        <w:tc>
          <w:tcPr>
            <w:tcW w:type="dxa" w:w="2521"/>
            <w:vAlign w:val="center"/>
            <w:shd w:fill="FFFFFF"/>
            <w:tcMar>
              <w:top w:w="85" w:type="dxa"/>
              <w:bottom w:w="85" w:type="dxa"/>
              <w:left w:w="85" w:type="dxa"/>
              <w:right w:w="85" w:type="dxa"/>
            </w:tcMar>
          </w:tcPr>
          <w:p>
            <w:pPr>
              <w:keepNext w:val="0"/>
              <w:pageBreakBefore w:val="0"/>
              <w:spacing w:after="60" w:line="252" w:lineRule="auto"/>
            </w:pPr>
            <w:r>
              <w:rPr>
                <w:color w:val="000000"/>
                <w:sz w:val="20"/>
              </w:rPr>
              <w:t>UF_CRM_NEXT_SERVICE_DATE</w:t>
            </w:r>
          </w:p>
        </w:tc>
        <w:tc>
          <w:tcPr>
            <w:tcW w:type="dxa" w:w="2521"/>
            <w:vAlign w:val="center"/>
            <w:shd w:fill="FFFFFF"/>
            <w:tcMar>
              <w:top w:w="85" w:type="dxa"/>
              <w:bottom w:w="85" w:type="dxa"/>
              <w:left w:w="85" w:type="dxa"/>
              <w:right w:w="85" w:type="dxa"/>
            </w:tcMar>
          </w:tcPr>
          <w:p>
            <w:pPr>
              <w:keepNext w:val="0"/>
              <w:pageBreakBefore w:val="0"/>
              <w:spacing w:after="60" w:line="252" w:lineRule="auto"/>
            </w:pPr>
            <w:r>
              <w:rPr>
                <w:color w:val="000000"/>
                <w:sz w:val="20"/>
              </w:rPr>
              <w:t>Следующая плановая дата обслуживания. После создания плановой работы рассчитывается новая дата по периодичности договора; Cloud Scheduler/Cloud Run использует поле только для создания работы с защитой от дублей.</w:t>
            </w:r>
          </w:p>
        </w:tc>
      </w:tr>
    </w:tbl>
    <w:p>
      <w:pPr>
        <w:pageBreakBefore w:val="0"/>
        <w:widowControl/>
        <w:spacing w:after="0"/>
      </w:pPr>
    </w:p>
    <w:p>
      <w:pPr>
        <w:pStyle w:val="Heading2"/>
        <w:pageBreakBefore w:val="0"/>
        <w:widowControl/>
      </w:pPr>
      <w:r>
        <w:rPr>
          <w:color w:val="000000"/>
          <w:u w:val="none"/>
        </w:rPr>
        <w:t>18.3 События и конверсии</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7"/>
        <w:gridCol w:w="2017"/>
        <w:gridCol w:w="2017"/>
        <w:gridCol w:w="2017"/>
        <w:gridCol w:w="2017"/>
      </w:tblGrid>
      <w:tr>
        <w:trPr>
          <w:tblHeader w:val="true"/>
          <w:cantSplit/>
          <w:tblHeader/>
          <w:tblHeader/>
          <w:tblHeader/>
        </w:trPr>
        <w:tc>
          <w:tcPr>
            <w:tcW w:type="dxa" w:w="2017"/>
            <w:shd w:fill="E7EBEF"/>
            <w:vAlign w:val="center"/>
            <w:tcMar>
              <w:top w:w="85" w:type="dxa"/>
              <w:start w:w="110" w:type="dxa"/>
              <w:bottom w:w="85" w:type="dxa"/>
              <w:end w:w="110" w:type="dxa"/>
              <w:left w:w="85" w:type="dxa"/>
              <w:right w:w="85" w:type="dxa"/>
            </w:tcMar>
          </w:tcPr>
          <w:p>
            <w:pPr>
              <w:keepNext/>
              <w:pageBreakBefore w:val="0"/>
              <w:spacing w:after="60" w:line="252" w:lineRule="auto"/>
            </w:pPr>
            <w:r>
              <w:rPr>
                <w:b/>
                <w:color w:val="000000"/>
                <w:sz w:val="18"/>
              </w:rPr>
              <w:t>Событие</w:t>
            </w:r>
          </w:p>
        </w:tc>
        <w:tc>
          <w:tcPr>
            <w:tcW w:type="dxa" w:w="2017"/>
            <w:shd w:fill="E7EBEF"/>
            <w:vAlign w:val="center"/>
            <w:tcMar>
              <w:top w:w="85" w:type="dxa"/>
              <w:start w:w="110" w:type="dxa"/>
              <w:bottom w:w="85" w:type="dxa"/>
              <w:end w:w="110" w:type="dxa"/>
              <w:left w:w="85" w:type="dxa"/>
              <w:right w:w="85" w:type="dxa"/>
            </w:tcMar>
          </w:tcPr>
          <w:p>
            <w:pPr>
              <w:keepNext/>
              <w:pageBreakBefore w:val="0"/>
              <w:spacing w:after="60" w:line="252" w:lineRule="auto"/>
            </w:pPr>
            <w:r>
              <w:rPr>
                <w:b/>
                <w:color w:val="000000"/>
                <w:sz w:val="18"/>
              </w:rPr>
              <w:t>Источник истины</w:t>
            </w:r>
          </w:p>
        </w:tc>
        <w:tc>
          <w:tcPr>
            <w:tcW w:type="dxa" w:w="2017"/>
            <w:shd w:fill="E7EBEF"/>
            <w:vAlign w:val="center"/>
            <w:tcMar>
              <w:top w:w="85" w:type="dxa"/>
              <w:start w:w="110" w:type="dxa"/>
              <w:bottom w:w="85" w:type="dxa"/>
              <w:end w:w="110" w:type="dxa"/>
              <w:left w:w="85" w:type="dxa"/>
              <w:right w:w="85" w:type="dxa"/>
            </w:tcMar>
          </w:tcPr>
          <w:p>
            <w:pPr>
              <w:keepNext/>
              <w:pageBreakBefore w:val="0"/>
              <w:spacing w:after="60" w:line="252" w:lineRule="auto"/>
            </w:pPr>
            <w:r>
              <w:rPr>
                <w:b/>
                <w:color w:val="000000"/>
                <w:sz w:val="18"/>
              </w:rPr>
              <w:t>Роль</w:t>
            </w:r>
          </w:p>
        </w:tc>
        <w:tc>
          <w:tcPr>
            <w:tcW w:type="dxa" w:w="2017"/>
            <w:shd w:fill="E7EBEF"/>
            <w:vAlign w:val="center"/>
            <w:tcMar>
              <w:top w:w="85" w:type="dxa"/>
              <w:start w:w="110" w:type="dxa"/>
              <w:bottom w:w="85" w:type="dxa"/>
              <w:end w:w="110" w:type="dxa"/>
              <w:left w:w="85" w:type="dxa"/>
              <w:right w:w="85" w:type="dxa"/>
            </w:tcMar>
          </w:tcPr>
          <w:p>
            <w:pPr>
              <w:keepNext/>
              <w:pageBreakBefore w:val="0"/>
              <w:spacing w:after="60" w:line="252" w:lineRule="auto"/>
            </w:pPr>
            <w:r>
              <w:rPr>
                <w:b/>
                <w:color w:val="000000"/>
                <w:sz w:val="18"/>
              </w:rPr>
              <w:t>Обязательные параметры</w:t>
            </w:r>
          </w:p>
        </w:tc>
        <w:tc>
          <w:tcPr>
            <w:tcW w:type="dxa" w:w="2017"/>
            <w:shd w:fill="E7EBEF"/>
            <w:vAlign w:val="center"/>
            <w:tcMar>
              <w:top w:w="85" w:type="dxa"/>
              <w:start w:w="110" w:type="dxa"/>
              <w:bottom w:w="85" w:type="dxa"/>
              <w:end w:w="110" w:type="dxa"/>
              <w:left w:w="85" w:type="dxa"/>
              <w:right w:w="85" w:type="dxa"/>
            </w:tcMar>
          </w:tcPr>
          <w:p>
            <w:pPr>
              <w:keepNext/>
              <w:pageBreakBefore w:val="0"/>
              <w:spacing w:after="60" w:line="252" w:lineRule="auto"/>
            </w:pPr>
            <w:r>
              <w:rPr>
                <w:b/>
                <w:color w:val="000000"/>
                <w:sz w:val="18"/>
              </w:rPr>
              <w:t>Дедупликация</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pz_cta_click</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GTM/dataLayer</w:t>
            </w:r>
          </w:p>
        </w:tc>
        <w:tc>
          <w:tcPr>
            <w:tcW w:type="dxa" w:w="158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CTA, страница, service_type, ga_session_id</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event_id</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pz_form_start</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GTM/dataLayer</w:t>
            </w:r>
          </w:p>
        </w:tc>
        <w:tc>
          <w:tcPr>
            <w:tcW w:type="dxa" w:w="158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form_id, page_url, service_type</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event_id</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pz_form_submit</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GTM/dataLayer</w:t>
            </w:r>
          </w:p>
        </w:tc>
        <w:tc>
          <w:tcPr>
            <w:tcW w:type="dxa" w:w="158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Диагностическое</w:t>
            </w:r>
          </w:p>
        </w:tc>
        <w:tc>
          <w:tcPr>
            <w:tcW w:type="dxa" w:w="266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form_id, ga_session_id</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event_id</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pz_form_success</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Tilda/GTM</w:t>
            </w:r>
          </w:p>
        </w:tc>
        <w:tc>
          <w:tcPr>
            <w:tcW w:type="dxa" w:w="158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Secondary; источник lead_created</w:t>
            </w:r>
          </w:p>
        </w:tc>
        <w:tc>
          <w:tcPr>
            <w:tcW w:type="dxa" w:w="266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form_id, UTM, click ID, Client ID</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event_id</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lead_created</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Bitrix24 после валидного создания</w:t>
            </w:r>
          </w:p>
        </w:tc>
        <w:tc>
          <w:tcPr>
            <w:tcW w:type="dxa" w:w="158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CRM ID, source, campaign, landing, service_type</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подтверждённый CONTRACT_ID + EVENT_NAME для contract_won; event_id для повторной доставки остальных событий</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qualified_lead</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Bitrix24 после ICP</w:t>
            </w:r>
          </w:p>
        </w:tc>
        <w:tc>
          <w:tcPr>
            <w:tcW w:type="dxa" w:w="158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score, class, object_type, area, service_type</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подтверждённый CONTRACT_ID + EVENT_NAME для contract_won; event_id для повторной доставки остальных событий</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visit_scheduled</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Bitrix24</w:t>
            </w:r>
          </w:p>
        </w:tc>
        <w:tc>
          <w:tcPr>
            <w:tcW w:type="dxa" w:w="158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object_id, planned_at, funnel</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подтверждённый CONTRACT_ID + EVENT_NAME для contract_won; event_id для повторной доставки остальных событий</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visit_done</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Bitrix24</w:t>
            </w:r>
          </w:p>
        </w:tc>
        <w:tc>
          <w:tcPr>
            <w:tcW w:type="dxa" w:w="158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visit_id, result, defect_count</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подтверждённый CONTRACT_ID + EVENT_NAME для contract_won; event_id для повторной доставки остальных событий</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quote_sent</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Bitrix24 после фактической отправки</w:t>
            </w:r>
          </w:p>
        </w:tc>
        <w:tc>
          <w:tcPr>
            <w:tcW w:type="dxa" w:w="158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value, currency, service_type, deal_id</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подтверждённый CONTRACT_ID + EVENT_NAME для contract_won; event_id для повторной доставки остальных событий</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invoice_issued</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Bitrix24</w:t>
            </w:r>
          </w:p>
        </w:tc>
        <w:tc>
          <w:tcPr>
            <w:tcW w:type="dxa" w:w="158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invoice_id, value, equipment_value</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подтверждённый CONTRACT_ID + EVENT_NAME для contract_won; event_id для повторной доставки остальных событий</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payment_received</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rPr>
              <w:t>Подтверждённый платёж банка; операционное отражение в CRM с основанием. Модель ручного подтверждения/1С до банка маркируется предварительной.</w:t>
            </w:r>
          </w:p>
        </w:tc>
        <w:tc>
          <w:tcPr>
            <w:tcW w:type="dxa" w:w="158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paid_value, payment_at, invoice_id</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rPr>
              <w:t>PAYMENT_ID + EVENT_NAME + BUSINESS_REVISION; разные частичные платежи не подавляются ключом одной сделки.</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contract_won</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Bitrix24</w:t>
            </w:r>
          </w:p>
        </w:tc>
        <w:tc>
          <w:tcPr>
            <w:tcW w:type="dxa" w:w="158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Primary</w:t>
            </w:r>
          </w:p>
        </w:tc>
        <w:tc>
          <w:tcPr>
            <w:tcW w:type="dxa" w:w="266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contract_id, contract_signed_at, event_id, service_type; currency=KZT и value — при подтверждённой сумме. gross_profit и MRR передаются только при готовности данных; неизвестные значения не заменять нулём.</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подтверждённый CONTRACT_ID + EVENT_NAME для contract_won; event_id для повторной доставки остальных событий</w:t>
            </w:r>
          </w:p>
        </w:tc>
      </w:tr>
      <w:tr>
        <w:trPr>
          <w:cantSplit/>
        </w:trPr>
        <w:tc>
          <w:tcPr>
            <w:tcW w:type="dxa" w:w="170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work_completed</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Bitrix24 после отправки отчета</w:t>
            </w:r>
          </w:p>
        </w:tc>
        <w:tc>
          <w:tcPr>
            <w:tcW w:type="dxa" w:w="158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Secondary</w:t>
            </w:r>
          </w:p>
        </w:tc>
        <w:tc>
          <w:tcPr>
            <w:tcW w:type="dxa" w:w="266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work_type, duration, defects, replacements</w:t>
            </w:r>
          </w:p>
        </w:tc>
        <w:tc>
          <w:tcPr>
            <w:tcW w:type="dxa" w:w="215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подтверждённый CONTRACT_ID + EVENT_NAME для contract_won; event_id для повторной доставки остальных событий</w:t>
            </w:r>
          </w:p>
        </w:tc>
      </w:tr>
    </w:tbl>
    <w:p>
      <w:pPr>
        <w:pageBreakBefore w:val="0"/>
        <w:widowControl/>
        <w:spacing w:after="0"/>
      </w:pPr>
    </w:p>
    <w:p>
      <w:pPr>
        <w:pageBreakBefore w:val="0"/>
        <w:widowControl/>
      </w:pPr>
      <w:r>
        <w:t>Событие считается сформированным только после выполнения бизнес-условия, а не по клику на кнопку. При временной ошибке доставки применяется очередь повторов; успешная отправка фиксируется timestamp, внешним response ID и версией события.</w:t>
      </w:r>
    </w:p>
    <w:p>
      <w:pPr>
        <w:pStyle w:val="Heading2"/>
        <w:pageBreakBefore w:val="0"/>
        <w:widowControl/>
      </w:pPr>
      <w:r>
        <w:rPr>
          <w:color w:val="000000"/>
          <w:u w:val="none"/>
        </w:rPr>
        <w:t>18.4 BigQuery и качество данных</w:t>
      </w:r>
    </w:p>
    <w:p>
      <w:pPr>
        <w:pStyle w:val="ListBullet"/>
        <w:pageBreakBefore w:val="0"/>
        <w:widowControl/>
      </w:pPr>
      <w:r>
        <w:t>Основная таблица: pozharnik_leads.tilda_leads; очередь офлайн-конверсий: pozharnik_leads.google_ads_conversions.</w:t>
      </w:r>
    </w:p>
    <w:p>
      <w:pPr>
        <w:pStyle w:val="ListBullet"/>
        <w:pageBreakBefore w:val="0"/>
        <w:widowControl/>
      </w:pPr>
      <w:r>
        <w:t>Обязательные технические поля: event_id, event_name, schema_version, received_at, source_system, payload_json или raw_payload, processing_status и error_message.</w:t>
      </w:r>
    </w:p>
    <w:p>
      <w:pPr>
        <w:pStyle w:val="ListBullet"/>
        <w:pageBreakBefore w:val="0"/>
        <w:widowControl/>
      </w:pPr>
      <w:r>
        <w:t>Уникальность входящего события: source_system + event_id. Для старых форм резервный ключ: tilda_tranid + form_id.</w:t>
      </w:r>
    </w:p>
    <w:p>
      <w:pPr>
        <w:pStyle w:val="ListBullet"/>
        <w:pageBreakBefore w:val="0"/>
        <w:widowControl/>
      </w:pPr>
      <w:r>
        <w:t>Ошибочные записи не удаляются: они помещаются в журнал ошибок с возможностью повторной обработки.</w:t>
      </w:r>
    </w:p>
    <w:p>
      <w:pPr>
        <w:pStyle w:val="ListBullet"/>
        <w:pageBreakBefore w:val="0"/>
        <w:widowControl/>
      </w:pPr>
      <w:r>
        <w:t>В BI используется единый часовой пояс Asia/Qyzylorda; техническое хранение времени — UTC в ISO 8601 с зоной.</w:t>
      </w:r>
    </w:p>
    <w:p>
      <w:pPr>
        <w:pStyle w:val="ListBullet"/>
        <w:pageBreakBefore w:val="0"/>
        <w:widowControl/>
      </w:pPr>
      <w:r>
        <w:t>Изменение схемы выполняется только с повышением schema_version и обратной совместимостью действующих страниц.</w:t>
      </w:r>
    </w:p>
    <w:p>
      <w:pPr>
        <w:pStyle w:val="Heading2"/>
        <w:pageBreakBefore w:val="0"/>
        <w:widowControl/>
      </w:pPr>
      <w:r>
        <w:rPr>
          <w:color w:val="000000"/>
          <w:u w:val="none"/>
        </w:rPr>
        <w:t>18.5 Google Ads и рекламные расходы</w:t>
      </w:r>
    </w:p>
    <w:p>
      <w:pPr>
        <w:pStyle w:val="ListBullet"/>
        <w:pageBreakBefore w:val="0"/>
        <w:widowControl/>
      </w:pPr>
      <w:r>
        <w:t>Ежедневно импортировать расходы, показы, клики, кампанию, группу объявлений, устройство и дату из Google Ads в BigQuery.</w:t>
      </w:r>
    </w:p>
    <w:p>
      <w:pPr>
        <w:pStyle w:val="ListBullet"/>
        <w:pageBreakBefore w:val="0"/>
        <w:widowControl/>
      </w:pPr>
      <w:r>
        <w:t>Для офлайн-конверсии хранить gclid/gbraid/wbraid, время клика или первого взаимодействия, conversion_time, conversion_name, value, currency_code KZT и order_id/event_id.</w:t>
      </w:r>
    </w:p>
    <w:p>
      <w:pPr>
        <w:pStyle w:val="ListBullet"/>
        <w:pageBreakBefore w:val="0"/>
        <w:widowControl/>
      </w:pPr>
      <w:r>
        <w:t>Если click ID отсутствует, событие остается доступным для CRM-аналитики, но не отправляется как Google Ads click conversion.</w:t>
      </w:r>
    </w:p>
    <w:p>
      <w:pPr>
        <w:pStyle w:val="ListBullet"/>
        <w:pageBreakBefore w:val="0"/>
        <w:widowControl/>
      </w:pPr>
      <w:r>
        <w:t>Primary conversions: только contract_won по факту заключения договора. Единственная основная конверсия Google Ads — contract_won из CRM по факту заключения договора, с фактической датой заключения. Форма, квалификация, назначение и проведение выезда, КП, счёт, оплата и завершение работ — Secondary и не включаются в цели кампании для ставок, включая custom goals. Начало обучения рекламы — после 10 уникальных подтверждённых contract_won, успешно переданных в Google Ads; промежуточные стадии в этот порог не входят.</w:t>
      </w:r>
    </w:p>
    <w:p>
      <w:pPr>
        <w:pStyle w:val="ListBullet"/>
        <w:pageBreakBefore w:val="0"/>
        <w:widowControl/>
      </w:pPr>
      <w:r>
        <w:t>Перед публикацией изменения конверсий тестируются на отдельной записи и сверяются по response ID Google Ads и строке очереди BigQuery.</w:t>
      </w:r>
    </w:p>
    <w:p>
      <w:pPr>
        <w:pStyle w:val="Heading2"/>
        <w:pageBreakBefore w:val="0"/>
        <w:widowControl/>
      </w:pPr>
      <w:r>
        <w:rPr>
          <w:color w:val="000000"/>
          <w:u w:val="none"/>
        </w:rPr>
        <w:t>18.6 Коллтрекинг и обращения вне сайта</w:t>
      </w:r>
    </w:p>
    <w:p>
      <w:pPr>
        <w:pStyle w:val="ListBullet"/>
        <w:pageBreakBefore w:val="0"/>
        <w:widowControl/>
      </w:pPr>
      <w:r>
        <w:t>Коллтрекинг передает call_id, подменный номер, исходный номер в защищенное поле CRM, source/medium/campaign, landing, ga_session_id, время, длительность, статус и ссылку на запись.</w:t>
      </w:r>
    </w:p>
    <w:p>
      <w:pPr>
        <w:pStyle w:val="ListBullet"/>
        <w:pageBreakBefore w:val="0"/>
        <w:widowControl/>
      </w:pPr>
      <w:r>
        <w:t>Telegram, email, WhatsApp и ручной ввод используют тот же event_id, source_system и справочник service_type.</w:t>
      </w:r>
    </w:p>
    <w:p>
      <w:pPr>
        <w:pStyle w:val="ListBullet"/>
        <w:pageBreakBefore w:val="0"/>
        <w:widowControl/>
      </w:pPr>
      <w:r>
        <w:t>При совпадении телефона или email обращение связывается с существующим контактом; first-touch не изменяется, last-touch обновляется.</w:t>
      </w:r>
    </w:p>
    <w:p>
      <w:pPr>
        <w:pStyle w:val="ListBullet"/>
        <w:pageBreakBefore w:val="0"/>
        <w:widowControl/>
      </w:pPr>
      <w:r>
        <w:t>Запись звонка доступна только ролям с соответствующими правами и не передается в GA4, GTM или Google Ads.</w:t>
      </w:r>
    </w:p>
    <w:p>
      <w:pPr>
        <w:pStyle w:val="Heading2"/>
        <w:pageBreakBefore w:val="0"/>
        <w:widowControl/>
      </w:pPr>
      <w:r>
        <w:rPr>
          <w:color w:val="000000"/>
          <w:u w:val="none"/>
        </w:rPr>
        <w:t>18.7 Персональные данные и безопасность</w:t>
      </w:r>
    </w:p>
    <w:p>
      <w:pPr>
        <w:pStyle w:val="ListBullet"/>
        <w:pageBreakBefore w:val="0"/>
        <w:widowControl/>
      </w:pPr>
      <w:r>
        <w:t>Запрещено передавать в GA4, GTM и Google Ads имя, телефон, email, БИН, точный адрес, запись звонка и свободный комментарий клиента.</w:t>
      </w:r>
    </w:p>
    <w:p>
      <w:pPr>
        <w:pStyle w:val="ListBullet"/>
        <w:pageBreakBefore w:val="0"/>
        <w:widowControl/>
      </w:pPr>
      <w:r>
        <w:t>IP определяется только на серверной стороне. Для аналитики использовать ip_hash; сохранение полного IP и GeoIP включается только после утверждения политики конфиденциальности.</w:t>
      </w:r>
    </w:p>
    <w:p>
      <w:pPr>
        <w:pStyle w:val="ListBullet"/>
        <w:pageBreakBefore w:val="0"/>
        <w:widowControl/>
      </w:pPr>
      <w:r>
        <w:t>raw_payload доступен только техническому администратору и хранится не более 90 дней, если иной срок не утвержден владельцем данных.</w:t>
      </w:r>
    </w:p>
    <w:p>
      <w:pPr>
        <w:pStyle w:val="ListBullet"/>
        <w:pageBreakBefore w:val="0"/>
        <w:widowControl/>
      </w:pPr>
      <w:r>
        <w:t>Секреты webhook, REST и API хранятся в переменных окружения или менеджере секретов и не размещаются в коде страниц или документации для пользователей.</w:t>
      </w:r>
    </w:p>
    <w:p>
      <w:pPr>
        <w:pStyle w:val="ListBullet"/>
        <w:pageBreakBefore w:val="0"/>
        <w:widowControl/>
      </w:pPr>
      <w:r>
        <w:t>Доступы интеграций предоставляются отдельным техническим пользователям по принципу минимальных прав; операции и ошибки журналируются.</w:t>
      </w:r>
    </w:p>
    <w:p>
      <w:pPr>
        <w:pStyle w:val="Heading2"/>
        <w:pageBreakBefore w:val="0"/>
        <w:widowControl/>
      </w:pPr>
      <w:r>
        <w:rPr>
          <w:color w:val="000000"/>
          <w:u w:val="none"/>
        </w:rPr>
        <w:t>18.8 Дополнительные приемочные испытания</w:t>
      </w:r>
    </w:p>
    <w:p>
      <w:pPr>
        <w:pageBreakBefore w:val="0"/>
        <w:widowControl/>
      </w:pPr>
      <w:r>
        <w:t>Тест 16. Все канонические поля одной тестовой формы совпадают по значениям в Tilda payload, BigQuery и Bitrix24.</w:t>
      </w:r>
    </w:p>
    <w:p>
      <w:pPr>
        <w:pageBreakBefore w:val="0"/>
        <w:widowControl/>
      </w:pPr>
      <w:r>
        <w:t>Тест 17. GCLID, GBRAID, WBRAID и YCLID сохраняются вместе со временем получения; YM Client ID и GA Client ID доступны для связи визита.</w:t>
      </w:r>
    </w:p>
    <w:p>
      <w:pPr>
        <w:pageBreakBefore w:val="0"/>
        <w:widowControl/>
      </w:pPr>
      <w:r>
        <w:t>Тест 18. Повторная отправка одинакового event_id не создает вторую строку события, сделку, задачу или офлайн-конверсию.</w:t>
      </w:r>
    </w:p>
    <w:p>
      <w:pPr>
        <w:pageBreakBefore w:val="0"/>
        <w:widowControl/>
      </w:pPr>
      <w:r>
        <w:t>Тест 19. События pz_* видны в GTM Preview и GA4 DebugView, но персональные данные в параметрах отсутствуют.</w:t>
      </w:r>
    </w:p>
    <w:p>
      <w:pPr>
        <w:pageBreakBefore w:val="0"/>
        <w:widowControl/>
      </w:pPr>
      <w:r>
        <w:t>Тест 20. Расходы Google Ads за контрольный день совпадают с кабинетом; CPL, CAC и стоимость выезда рассчитываются без деления на ноль.</w:t>
      </w:r>
    </w:p>
    <w:p>
      <w:pPr>
        <w:pageBreakBefore w:val="0"/>
        <w:widowControl/>
      </w:pPr>
      <w:r>
        <w:t>Тест 21. Тестовый звонок связывается с источником, сессией и CRM-карточкой; запись недоступна неуполномоченной роли.</w:t>
      </w:r>
    </w:p>
    <w:p>
      <w:pPr>
        <w:pageBreakBefore w:val="0"/>
        <w:widowControl/>
      </w:pPr>
      <w:r>
        <w:t>Тест 22. Ошибка Bitrix24 или Google Ads попадает в журнал и успешно обрабатывается повторно без дубля.</w:t>
      </w:r>
    </w:p>
    <w:p>
      <w:pPr>
        <w:pageBreakBefore w:val="0"/>
        <w:widowControl/>
      </w:pPr>
      <w:r>
        <w:t>Тест 23. Экспорт тестового события содержит event_id, schema_version, timestamps, source_system и все связи для независимой сверки.</w:t>
      </w:r>
    </w:p>
    <w:p>
      <w:pPr>
        <w:pageBreakBefore w:val="0"/>
        <w:widowControl/>
      </w:pPr>
    </w:p>
    <w:p>
      <w:pPr>
        <w:pageBreakBefore w:val="0"/>
        <w:widowControl/>
      </w:pPr>
      <w:r>
        <w:t>Тест 24. ICP-score и класс A/B/C пересчитываются без бизнес-процесса; UF_CRM_ICP_TYPE, UF_CRM_ICP_SCORE и UF_CRM_ICP_SEGMENT не смешиваются и не дублируются.</w:t>
      </w:r>
    </w:p>
    <w:p>
      <w:pPr>
        <w:pageBreakBefore w:val="0"/>
        <w:widowControl/>
      </w:pPr>
    </w:p>
    <w:p>
      <w:pPr>
        <w:pageBreakBefore w:val="0"/>
        <w:widowControl/>
      </w:pPr>
      <w:r>
        <w:t>Тест 25. Просроченный SLA создает одно уведомление или задачу, а повторный запуск планировщика не создает дубль.</w:t>
      </w:r>
    </w:p>
    <w:p>
      <w:pPr>
        <w:pageBreakBefore w:val="0"/>
        <w:widowControl/>
      </w:pPr>
    </w:p>
    <w:p>
      <w:pPr>
        <w:pageBreakBefore w:val="0"/>
        <w:widowControl/>
      </w:pPr>
      <w:r>
        <w:t>Тест 26. Наступление UF_CRM_NEXT_SERVICE_DATE создает одну плановую работу ТО и следующую дату обслуживания; повторный запуск идемпотентен.</w:t>
      </w:r>
    </w:p>
    <w:p>
      <w:pPr>
        <w:pageBreakBefore w:val="0"/>
        <w:widowControl/>
      </w:pPr>
    </w:p>
    <w:p>
      <w:pPr>
        <w:pageBreakBefore w:val="0"/>
        <w:widowControl/>
      </w:pPr>
      <w:r>
        <w:t>Тест 27. Техник видит только назначенные ему сделки и задачи; коммерческая экономика и рекламные расходы недоступны через права CRM и не размещаются в проектах.</w:t>
      </w:r>
    </w:p>
    <w:p>
      <w:pPr>
        <w:pageBreakBefore w:val="0"/>
        <w:widowControl/>
      </w:pPr>
      <w:r>
        <w:t>Тест 28. Два техника принимают свои задачи по одному объекту в разное время и завершают в разное время; в сделке без ручного ввода появляются самое раннее начало, самое позднее окончание, число техников 2 и человеко-часы, равные сумме их интервалов.</w:t>
      </w:r>
    </w:p>
    <w:p>
      <w:pPr>
        <w:pageBreakBefore w:val="0"/>
        <w:widowControl/>
      </w:pPr>
      <w:r>
        <w:t>Тест 29. Техник закрывает свою задачу раньше остальных (срочный вызов), и его интервал закрывается независимо; при выходе сделки со стадии «В работе» незавершенные интервалы закрываются автоматически с пометкой; повторный запуск расчета не меняет итог.</w:t>
      </w:r>
    </w:p>
    <w:p>
      <w:pPr>
        <w:pStyle w:val="Heading1"/>
        <w:pageBreakBefore w:val="0"/>
        <w:widowControl/>
      </w:pPr>
      <w:r>
        <w:rPr>
          <w:color w:val="000000"/>
          <w:u w:val="none"/>
        </w:rPr>
        <w:t>19 Зафиксированные решения редакции 1.3–1.9</w:t>
      </w:r>
    </w:p>
    <w:p>
      <w:pPr>
        <w:pageBreakBefore w:val="0"/>
        <w:widowControl/>
      </w:pPr>
      <w:r>
        <w:t>Исторические сведения сохранены для сверки. Они не являются инструкцией повторного внедрения и не отменяют актуальных требований редакции от 08.10.2026.</w:t>
      </w:r>
    </w:p>
    <w:p>
      <w:pPr>
        <w:pageBreakBefore w:val="0"/>
        <w:widowControl/>
      </w:pPr>
      <w:r>
        <w:t>Этот раздел сохраняет историю решений до редакции 1.16. Для реализации на тарифе «Стандартный» приоритет имеет раздел 21; он отменяет противоречащие ему формулировки предыдущих разделов. Канонические технические наименования определяются приложением «Единый контракт данных Pozharnik v1.0».</w:t>
      </w:r>
    </w:p>
    <w:p>
      <w:pPr>
        <w:pStyle w:val="ListBullet"/>
        <w:pageBreakBefore w:val="0"/>
        <w:widowControl/>
      </w:pPr>
      <w:r>
        <w:t>Обследование, продажи, монтаж, проектирование, аварийные работы и обслуживание текущих клиентов ведутся в отдельных воронках сделок без создания дополнительных CRM-сущностей.</w:t>
      </w:r>
    </w:p>
    <w:p>
      <w:pPr>
        <w:pStyle w:val="ListBullet"/>
        <w:pageBreakBefore w:val="0"/>
        <w:widowControl/>
      </w:pPr>
      <w:r>
        <w:t>Ответственный по сделке — координатор. Исполнителя на всю работу или отдельный этап назначает координатор.</w:t>
      </w:r>
    </w:p>
    <w:p>
      <w:pPr>
        <w:pStyle w:val="ListBullet"/>
        <w:pageBreakBefore w:val="0"/>
        <w:widowControl/>
      </w:pPr>
      <w:r>
        <w:t>Историческое решение об оплате в Bitrix24 заменено редакцией 1.24: банк подтверждает деньги, 1С — документы, CRM отражает подтверждённый статус с ссылкой на источник. Ручная отметка без основания остаётся предварительной.</w:t>
      </w:r>
      <w:r>
        <w:rPr>
          <w:rStyle w:val="CommentReference"/>
        </w:rPr>
      </w:r>
    </w:p>
    <w:p>
      <w:pPr>
        <w:pStyle w:val="ListBullet"/>
        <w:pageBreakBefore w:val="0"/>
        <w:widowControl/>
      </w:pPr>
      <w:r>
        <w:t>Переход в стадию «Счет отправлен» считается выполнением задачи координатора и не блокируется отсутствием счета Bitrix24. Разрешено приложить счет 1С.</w:t>
      </w:r>
    </w:p>
    <w:p>
      <w:pPr>
        <w:pStyle w:val="ListBullet"/>
        <w:pageBreakBefore w:val="0"/>
        <w:widowControl/>
      </w:pPr>
      <w:r>
        <w:t>Канонический event_id создается на странице и сохраняется Cloud Run; Cloud Run создает его только при отсутствии.</w:t>
      </w:r>
    </w:p>
    <w:p>
      <w:pPr>
        <w:pStyle w:val="ListBullet"/>
        <w:pageBreakBefore w:val="0"/>
        <w:widowControl/>
      </w:pPr>
      <w:r>
        <w:t>Для новых полей используется только префикс UF_CRM_. Поля-дубли без этого префикса не создавать.</w:t>
      </w:r>
    </w:p>
    <w:p>
      <w:pPr>
        <w:pStyle w:val="ListBullet"/>
        <w:pageBreakBefore w:val="0"/>
        <w:widowControl/>
      </w:pPr>
      <w:r>
        <w:t>Редакция 1.4: добавлен единый справочник «Статус клиента» на уровне компании (см. 4.1, 18.2) — ТО АПС, ТО АПС + Аутсорсинг, Проектирование, Монтаж, Согласование, Бывший клиент, Свободный. Статус пересчитывается автоматически роботом по активным сделкам воронок и не редактируется вручную, кроме перевода в «Бывший клиент» с обязательным комментарием ответственного.</w:t>
      </w:r>
    </w:p>
    <w:p>
      <w:pPr>
        <w:pStyle w:val="ListBullet"/>
        <w:pageBreakBefore w:val="0"/>
        <w:widowControl/>
      </w:pPr>
      <w:r>
        <w:t>Редакция 1.5: уточнены правила статуса клиента (см. 4.1) — «ТО АПС» присваивается по факту исполняемой сделки в воронке «Обслуживание текущих клиентов» и является приоритетным статусом, не меняющимся при дополнительных услугах или участии в других воронках продаж; точный триггер «Бывший клиент» — расторжение договора; сделки и статус связываются по БИН и названию компании (см. раздел 12); добавлен статус «На паузе» с обязательным комментарием причины (UF_CRM_1789642304955, см. 18.2).</w:t>
      </w:r>
    </w:p>
    <w:p>
      <w:pPr>
        <w:pStyle w:val="ListBullet"/>
        <w:pageBreakBefore w:val="0"/>
        <w:widowControl/>
      </w:pPr>
      <w:r>
        <w:t>Редакция 1.6: поля «Статус клиента» и «Комментарий к статусу клиента» созданы в продуктивном портале Bitrix24 на карточке компании; фактические технические коды, присвоенные платформой автоматически при создании через интерфейс (код нельзя задать вручную в облачной версии) — UF_CRM_1789642172868 (Статус клиента) и UF_CRM_1789642304955 (Комментарий к статусу клиента); везде далее в документе используются эти фактические коды.</w:t>
      </w:r>
    </w:p>
    <w:p>
      <w:pPr>
        <w:pStyle w:val="ListBullet"/>
        <w:pageBreakBefore w:val="0"/>
        <w:widowControl/>
      </w:pPr>
      <w:r>
        <w:rPr>
          <w:b/>
        </w:rPr>
        <w:t>Редакция 1.7 (17 сентября 2026).</w:t>
      </w:r>
      <w:r>
        <w:t xml:space="preserve"> По итогам сквозной проверки с ТЗ аналитики страниц, единым контрактом данных v1.1 и медиапланом: ключ дедупликации CRM-событий приведен к VERSION (было EVENT_VERSION); поле UF_CRM_YM_CLIENT_ID (Яндекс.Метрика) удалено из разделов 4.2 и 18.2 как не входящее в согласованный стек аналитики; добавлены UF_CRM_DCLID/UF_CRM_FBCLID/UF_CRM_GAD_SOURCE; UF_CRM_PAGE_URL выделен в отдельное поле (ранее совпадал с UF_CRM_LAST_LANDING), добавлено отдельное поле UF_CRM_LAST_LANDING для last_landing_page и UF_CRM_PAGE_PATH для page_path; пара UF_CRM_REFERRER заменена на UF_CRM_FIRST_REFERRER/UF_CRM_LAST_REFERRER; добавлены UF_CRM_FORM_NAME и UF_CRM_FORM_LOCATION; добавлены UF_CRM_GA_SESSION_NUMBER, UF_CRM_FIRST_VISIT_AT/UF_CRM_LAST_VISIT_AT и UF_CRM_CONSENT_ANALYTICS/ADS/TIMESTAMP/VERSION; в раздел 18.2 перенесены 13 канонических полей ICP-квалификации из медиаплана (раздел 26) с префиксом UF_CRM_ — UF_CRM_ICP_TYPE, UF_CRM_ICP_SCORE, UF_CRM_BUYING_ROLE и другие.</w:t>
      </w:r>
    </w:p>
    <w:p>
      <w:pPr>
        <w:pStyle w:val="ListBullet"/>
        <w:pageBreakBefore w:val="0"/>
        <w:widowControl/>
      </w:pPr>
      <w:r>
        <w:rPr>
          <w:b/>
        </w:rPr>
        <w:t>Редакция 1.8 (17 сентября 2026).</w:t>
      </w:r>
      <w:r>
        <w:t xml:space="preserve"> В продуктивном портале Bitrix24 настроена двусторонняя синхронизация статуса клиента и воронки «Обслуживание текущих клиентов» (см. раздел 8): бизнес-процесс на карточке компании (шаблон «Статус ТО АПС → воронка Обслуживание текущих клиентов», автозапуск «При изменении») при статусе клиента «ТО АПС» или «ТО АПС + Аутсорсинг» создает сделку в этой воронке на стадии «Новая заявка на обслуживание» и ставит ответственному задачу «Обследование (ТО АПС)»; на этой же стадии робот «Изменить компанию» присваивает связанной компании статус клиента «ТО АПС» — обратное направление. Зафиксированы два ограничения для последующего решения: (1) срок задачи обследования задан фиксированным интервалом «+30 дней от постановки», а не привязкой к концу календарного месяца и без повторения, так как ни бизнес-процессы карточки компании, ни роботы CRM-воронок Bitrix24 не поддерживают периодические/регулярные задачи — для истинной ежемесячной регулярности требуется либо ручная постановка следующей задачи, либо использование модуля «Регулярные задачи» Bitrix24 вне БП/CRM-автоматизации; (2) автозапуск «При изменении» повторяет проверку при каждом изменении карточки компании, поэтому повторное сохранение компании со статусом «ТО АПС»/«ТО АПС + Аутсорсинг» без проверки существующей активной сделки может создать дублирующую сделку — до внедрения проверки на дубль изменения статуса действующих клиентов проводить с контролем ответственного.</w:t>
      </w:r>
    </w:p>
    <w:p>
      <w:pPr>
        <w:pStyle w:val="ListBullet"/>
        <w:pageBreakBefore w:val="0"/>
        <w:widowControl/>
      </w:pPr>
      <w:r>
        <w:rPr>
          <w:b/>
        </w:rPr>
        <w:t>Редакция 1.9 (17 сентября 2026).</w:t>
      </w:r>
      <w:r>
        <w:t xml:space="preserve"> По решению заказчика задача «Обследование (ТО АПС)» (создававшаяся роботом «Поставить задачу» на стадии «Новая заявка на обслуживание», см. редакцию 1.8) отменена и удалена из робота в продуктивном портале — регулярное обследование в рамках ТО этим триггером не автоматизируется. Направление А теперь ограничено созданием сделки: бизнес-процесс карточки компании при статусе «ТО АПС»/«ТО АПС + Аутсорсинг» создает сделку в воронке «Обслуживание текущих клиентов» на стадии «Новая заявка на обслуживание» без сопутствующей задачи; направление Б (робот «Изменить компанию», присваивающий статус «ТО АПС» при входе сделки в эту стадию) не изменилось. Ограничение редакции 1.8 о фиксированном сроке задачи снято вместе с самой задачей; ограничение о риске дублирования сделки при повторном изменении карточки компании остается в силе.</w:t>
      </w:r>
    </w:p>
    <w:p>
      <w:pPr>
        <w:pStyle w:val="ListBullet"/>
        <w:pageBreakBefore w:val="0"/>
        <w:widowControl/>
      </w:pPr>
      <w:r>
        <w:rPr>
          <w:b/>
        </w:rPr>
        <w:t>Редакция 1.10 (17 сентября 2026).</w:t>
      </w:r>
      <w:r>
        <w:t xml:space="preserve"> Ограничение редакций 1.8–1.9 о риске дублирования сделки при повторном изменении карточки компании устранено проверкой дублей непосредственно в шаблоне бизнес-процесса (см. 8): на карточку компании добавлено техническое поле «Заявка ТО активна» (UF_CRM_1789665974650, тип Да/Нет, служебное, не выводится в интерфейс сделки). Направление А дополнено условием — сделка в воронке «Обслуживание текущих клиентов» создается только если флаг «Заявка ТО активна» не равен «Да»; сразу после создания сделки флаг устанавливается в «Да», поэтому повторное сохранение карточки компании со статусом «ТО АПС»/«ТО АПС + Аутсорсинг» новую сделку не создает. При выходе компании из статусов «ТО АПС»/«ТО АПС + Аутсорсинг» флаг сбрасывается в «Нет», что допускает создание новой сделки при повторном переходе клиента в эти статусы в будущем. Направление Б (робот «Изменить компанию») не изменилось.</w:t>
      </w:r>
    </w:p>
    <w:p>
      <w:pPr>
        <w:pStyle w:val="ListBullet"/>
        <w:pageBreakBefore w:val="0"/>
        <w:widowControl/>
      </w:pPr>
      <w:r>
        <w:rPr>
          <w:b/>
        </w:rPr>
        <w:t>Редакция 1.11 (21 сентября 2026).</w:t>
      </w:r>
      <w:r>
        <w:t xml:space="preserve"> По решению заказчика: (1) раздел 6.1 «Обследование с чек-листом» как отдельная структура стадий и чек-лист исключены из ТЗ — обследование ведется обычными стадиями сделки внутри Общей воронки, без отдельного смарт-процесса; последующие подразделы раздела 6 перенумерованы (6.1 Продажа ТО АПС, 6.2 Продажа Монтаж АПС, 6.3 Продажа Проектирование, 6.4 Выполнение работ ТО). (2) Функция автосоздания компании (шаблон «Автосоздание и привязка компании к сделке») отключена во всех воронках, включая Общую — новая компания к сделке автоматически больше не создается нигде. Вместо этого при переходе сделки в Общей воронке на стадию «Согласование условий» ответственному ставится задача добавить существующую или новую компанию к сделке вручную.</w:t>
      </w:r>
    </w:p>
    <w:p>
      <w:pPr>
        <w:pStyle w:val="ListBullet"/>
        <w:pageBreakBefore w:val="0"/>
        <w:widowControl/>
      </w:pPr>
      <w:r>
        <w:rPr>
          <w:b/>
        </w:rPr>
        <w:t>Редакция 1.12 (21 сентября 2026).</w:t>
      </w:r>
      <w:r>
        <w:t xml:space="preserve"> По решению заказчика требование о технических гейтах обязательных полей на переходах между стадиями (блокировка перехода сделки без заполнения обязательных данных) исключено из ТЗ — в используемой редакции Bitrix24 нет встроенного механизма такой блокировки перехода. Контроль обязательных данных по стадиям (раздел 6) сохраняется другими средствами: напоминаниями и задачами ответственному, а также отчетностью по незаполненным полям, без технического запрета перехода сделки на следующую стадию. Для полей обследования (ответственный инженер, дата и время обследования, файл чек-листа) это исключение отменено редакцией 1.19: настройка «Обязательное на стадии» в портале доступна и блокирует переход.</w:t>
      </w:r>
    </w:p>
    <w:p>
      <w:pPr>
        <w:pStyle w:val="ListBullet"/>
        <w:pageBreakBefore w:val="0"/>
        <w:widowControl/>
      </w:pPr>
      <w:r>
        <w:rPr>
          <w:b/>
        </w:rPr>
        <w:t>Редакция 1.13 (22 сентября 2026).</w:t>
      </w:r>
      <w:r>
        <w:t xml:space="preserve"> По решению заказчика: (1) в раздел 10 добавлено требование учета затрат времени по каждому клиенту отдельно по воронкам — чтобы считать время, потраченное на каждый бизнес-процесс и услугу; учет ведется задачами Bitrix24 с привязкой к сделке/компании и встроенным учетом рабочего времени, агрегация — отчетами модуля «Задачи» или BI-конструктором. (2) В разделы 5 и 8 добавлено явное уточнение, что расчет ICP-скоринга и SLA-таймеры/эскалации выполняются нативными средствами Bitrix24 (роботы и бизнес-процессы CRM), без внешнего сервиса или вебхука.</w:t>
      </w:r>
    </w:p>
    <w:p>
      <w:pPr>
        <w:pStyle w:val="Heading1"/>
        <w:pageBreakBefore w:val="0"/>
        <w:widowControl/>
        <w:spacing w:before="120" w:after="160"/>
      </w:pPr>
      <w:r>
        <w:rPr>
          <w:color w:val="000000"/>
          <w:u w:val="none"/>
        </w:rPr>
        <w:t>Согласованная редакция 1.15</w:t>
      </w:r>
    </w:p>
    <w:p>
      <w:pPr>
        <w:pageBreakBefore w:val="0"/>
        <w:widowControl/>
      </w:pPr>
      <w:r>
        <w:rPr>
          <w:b/>
        </w:rPr>
        <w:t>Дата согласования: 22 сентября 2026 года. Исторический статус прежнего выпуска; новая редакция требует отдельной приёмки внедрения.</w:t>
      </w:r>
      <w:r/>
      <w:r>
        <w:rPr>
          <w:b/>
        </w:rPr>
      </w:r>
      <w:r/>
    </w:p>
    <w:p>
      <w:pPr>
        <w:pageBreakBefore w:val="0"/>
        <w:widowControl/>
        <w:spacing w:after="200"/>
      </w:pPr>
      <w:r>
        <w:t>Эта редакция устраняет расхождения между сайтом, GTM, GA4, Cloud Run, BigQuery и Bitrix24. При конфликте с предыдущими формулировками применяется приведенная ниже матрица. Новые поля и интеграции должны использовать только канонические технические имена.</w:t>
      </w:r>
    </w:p>
    <w:p>
      <w:pPr>
        <w:pStyle w:val="Heading2"/>
        <w:pageBreakBefore w:val="0"/>
        <w:widowControl/>
      </w:pPr>
      <w:r>
        <w:rPr>
          <w:color w:val="000000"/>
          <w:u w:val="none"/>
        </w:rPr>
        <w:t>Согласованная матрица полей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3"/>
        <w:gridCol w:w="2493"/>
        <w:gridCol w:w="2493"/>
        <w:gridCol w:w="2493"/>
      </w:tblGrid>
      <w:tr>
        <w:trPr>
          <w:tblHeader/>
          <w:cantSplit/>
          <w:tblHeader/>
          <w:tblHeader/>
          <w:tblHeader/>
        </w:trPr>
        <w:tc>
          <w:tcPr>
            <w:tcW w:type="dxa" w:w="1757"/>
            <w:shd w:fill="E7EBEF"/>
            <w:vAlign w:val="center"/>
            <w:tcMar>
              <w:top w:w="85" w:type="dxa"/>
              <w:bottom w:w="85" w:type="dxa"/>
              <w:left w:w="85" w:type="dxa"/>
              <w:right w:w="85" w:type="dxa"/>
            </w:tcMar>
          </w:tcPr>
          <w:p>
            <w:pPr>
              <w:keepNext/>
              <w:pageBreakBefore w:val="0"/>
              <w:spacing w:after="60" w:line="252" w:lineRule="auto"/>
            </w:pPr>
            <w:r>
              <w:rPr>
                <w:b/>
                <w:color w:val="000000"/>
                <w:sz w:val="18"/>
              </w:rPr>
              <w:t>Группа</w:t>
            </w:r>
          </w:p>
        </w:tc>
        <w:tc>
          <w:tcPr>
            <w:tcW w:type="dxa" w:w="3458"/>
            <w:shd w:fill="E7EBEF"/>
            <w:vAlign w:val="center"/>
            <w:tcMar>
              <w:top w:w="85" w:type="dxa"/>
              <w:bottom w:w="85" w:type="dxa"/>
              <w:left w:w="85" w:type="dxa"/>
              <w:right w:w="85" w:type="dxa"/>
            </w:tcMar>
          </w:tcPr>
          <w:p>
            <w:pPr>
              <w:keepNext/>
              <w:pageBreakBefore w:val="0"/>
              <w:spacing w:after="60" w:line="252" w:lineRule="auto"/>
            </w:pPr>
            <w:r>
              <w:rPr>
                <w:b/>
                <w:color w:val="000000"/>
                <w:sz w:val="18"/>
              </w:rPr>
              <w:t>Сайт GTM GA4 вебхук</w:t>
            </w:r>
          </w:p>
        </w:tc>
        <w:tc>
          <w:tcPr>
            <w:tcW w:type="dxa" w:w="2948"/>
            <w:shd w:fill="E7EBEF"/>
            <w:vAlign w:val="center"/>
            <w:tcMar>
              <w:top w:w="85" w:type="dxa"/>
              <w:bottom w:w="85" w:type="dxa"/>
              <w:left w:w="85" w:type="dxa"/>
              <w:right w:w="85" w:type="dxa"/>
            </w:tcMar>
          </w:tcPr>
          <w:p>
            <w:pPr>
              <w:keepNext/>
              <w:pageBreakBefore w:val="0"/>
              <w:spacing w:after="60" w:line="252" w:lineRule="auto"/>
            </w:pPr>
            <w:r>
              <w:rPr>
                <w:b/>
                <w:color w:val="000000"/>
                <w:sz w:val="18"/>
              </w:rPr>
              <w:t>Bitrix24</w:t>
            </w:r>
          </w:p>
        </w:tc>
        <w:tc>
          <w:tcPr>
            <w:tcW w:type="dxa" w:w="2268"/>
            <w:shd w:fill="E7EBEF"/>
            <w:vAlign w:val="center"/>
            <w:tcMar>
              <w:top w:w="85" w:type="dxa"/>
              <w:bottom w:w="85" w:type="dxa"/>
              <w:left w:w="85" w:type="dxa"/>
              <w:right w:w="85" w:type="dxa"/>
            </w:tcMar>
          </w:tcPr>
          <w:p>
            <w:pPr>
              <w:keepNext/>
              <w:pageBreakBefore w:val="0"/>
              <w:spacing w:after="60" w:line="252" w:lineRule="auto"/>
            </w:pPr>
            <w:r>
              <w:rPr>
                <w:b/>
                <w:color w:val="000000"/>
                <w:sz w:val="18"/>
              </w:rPr>
              <w:t>Правило</w:t>
            </w:r>
          </w:p>
        </w:tc>
      </w:tr>
      <w:tr>
        <w:trPr>
          <w:cantSplit/>
        </w:trPr>
        <w:tc>
          <w:tcPr>
            <w:tcW w:type="dxa" w:w="1757"/>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Предмет обращения</w:t>
            </w:r>
          </w:p>
        </w:tc>
        <w:tc>
          <w:tcPr>
            <w:tcW w:type="dxa" w:w="345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service_type</w:t>
            </w:r>
          </w:p>
        </w:tc>
        <w:tc>
          <w:tcPr>
            <w:tcW w:type="dxa" w:w="294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UF_CRM_SERVICE_TYPE</w:t>
            </w:r>
          </w:p>
        </w:tc>
        <w:tc>
          <w:tcPr>
            <w:tcW w:type="dxa" w:w="226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Поле service запрещено и не создается</w:t>
            </w:r>
          </w:p>
        </w:tc>
      </w:tr>
      <w:tr>
        <w:trPr>
          <w:cantSplit/>
        </w:trPr>
        <w:tc>
          <w:tcPr>
            <w:tcW w:type="dxa" w:w="1757"/>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Поисковая фраза</w:t>
            </w:r>
          </w:p>
        </w:tc>
        <w:tc>
          <w:tcPr>
            <w:tcW w:type="dxa" w:w="345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search_term</w:t>
            </w:r>
          </w:p>
        </w:tc>
        <w:tc>
          <w:tcPr>
            <w:tcW w:type="dxa" w:w="294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UF_CRM_SEARCH_TERM</w:t>
            </w:r>
          </w:p>
        </w:tc>
        <w:tc>
          <w:tcPr>
            <w:tcW w:type="dxa" w:w="226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Передается из URL или рекламного контекста</w:t>
            </w:r>
          </w:p>
        </w:tc>
      </w:tr>
      <w:tr>
        <w:trPr>
          <w:cantSplit/>
        </w:trPr>
        <w:tc>
          <w:tcPr>
            <w:tcW w:type="dxa" w:w="1757"/>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Текущий визит</w:t>
            </w:r>
          </w:p>
        </w:tc>
        <w:tc>
          <w:tcPr>
            <w:tcW w:type="dxa" w:w="345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utm_source, utm_medium, utm_campaign, utm_id, utm_content, utm_term, referrer</w:t>
            </w:r>
          </w:p>
        </w:tc>
        <w:tc>
          <w:tcPr>
            <w:tcW w:type="dxa" w:w="294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Одноименные UF_CRM поля</w:t>
            </w:r>
          </w:p>
        </w:tc>
        <w:tc>
          <w:tcPr>
            <w:tcW w:type="dxa" w:w="226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Не смешивать с first и last touch</w:t>
            </w:r>
          </w:p>
        </w:tc>
      </w:tr>
      <w:tr>
        <w:trPr>
          <w:cantSplit/>
        </w:trPr>
        <w:tc>
          <w:tcPr>
            <w:tcW w:type="dxa" w:w="1757"/>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Первое касание</w:t>
            </w:r>
          </w:p>
        </w:tc>
        <w:tc>
          <w:tcPr>
            <w:tcW w:type="dxa" w:w="345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first_utm_*, first_gclid, first_landing_page, first_referrer, first_visit_at</w:t>
            </w:r>
          </w:p>
        </w:tc>
        <w:tc>
          <w:tcPr>
            <w:tcW w:type="dxa" w:w="294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Одноименные UF_CRM поля</w:t>
            </w:r>
          </w:p>
        </w:tc>
        <w:tc>
          <w:tcPr>
            <w:tcW w:type="dxa" w:w="226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После записи не перезаписывать</w:t>
            </w:r>
          </w:p>
        </w:tc>
      </w:tr>
      <w:tr>
        <w:trPr>
          <w:cantSplit/>
        </w:trPr>
        <w:tc>
          <w:tcPr>
            <w:tcW w:type="dxa" w:w="1757"/>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Последнее касание</w:t>
            </w:r>
          </w:p>
        </w:tc>
        <w:tc>
          <w:tcPr>
            <w:tcW w:type="dxa" w:w="345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last_utm_*, last_gclid, last_landing_page, last_referrer, last_visit_at</w:t>
            </w:r>
          </w:p>
        </w:tc>
        <w:tc>
          <w:tcPr>
            <w:tcW w:type="dxa" w:w="294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Одноименные UF_CRM поля</w:t>
            </w:r>
          </w:p>
        </w:tc>
        <w:tc>
          <w:tcPr>
            <w:tcW w:type="dxa" w:w="226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Обновлять при новом визите</w:t>
            </w:r>
          </w:p>
        </w:tc>
      </w:tr>
      <w:tr>
        <w:trPr>
          <w:cantSplit/>
        </w:trPr>
        <w:tc>
          <w:tcPr>
            <w:tcW w:type="dxa" w:w="1757"/>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Рекламные идентификаторы</w:t>
            </w:r>
          </w:p>
        </w:tc>
        <w:tc>
          <w:tcPr>
            <w:tcW w:type="dxa" w:w="345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gclid, gbraid, wbraid, yclid, dclid, fbclid, gad_source</w:t>
            </w:r>
          </w:p>
        </w:tc>
        <w:tc>
          <w:tcPr>
            <w:tcW w:type="dxa" w:w="294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Одноименные UF_CRM поля</w:t>
            </w:r>
          </w:p>
        </w:tc>
        <w:tc>
          <w:tcPr>
            <w:tcW w:type="dxa" w:w="226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Без переименований и склейки</w:t>
            </w:r>
          </w:p>
        </w:tc>
      </w:tr>
      <w:tr>
        <w:trPr>
          <w:cantSplit/>
        </w:trPr>
        <w:tc>
          <w:tcPr>
            <w:tcW w:type="dxa" w:w="1757"/>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Страница</w:t>
            </w:r>
          </w:p>
        </w:tc>
        <w:tc>
          <w:tcPr>
            <w:tcW w:type="dxa" w:w="345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page_url, page_path, page_title</w:t>
            </w:r>
          </w:p>
        </w:tc>
        <w:tc>
          <w:tcPr>
            <w:tcW w:type="dxa" w:w="294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UF_CRM_PAGE_URL, UF_CRM_PAGE_PATH, UF_CRM_PAGE_TITLE</w:t>
            </w:r>
          </w:p>
        </w:tc>
        <w:tc>
          <w:tcPr>
            <w:tcW w:type="dxa" w:w="226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page_url и page_path не создавать</w:t>
            </w:r>
          </w:p>
        </w:tc>
      </w:tr>
      <w:tr>
        <w:trPr>
          <w:cantSplit/>
        </w:trPr>
        <w:tc>
          <w:tcPr>
            <w:tcW w:type="dxa" w:w="1757"/>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Устройство</w:t>
            </w:r>
          </w:p>
        </w:tc>
        <w:tc>
          <w:tcPr>
            <w:tcW w:type="dxa" w:w="345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device_type, os, platform, screen_resolution, browser_language, timezone</w:t>
            </w:r>
          </w:p>
        </w:tc>
        <w:tc>
          <w:tcPr>
            <w:tcW w:type="dxa" w:w="294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Одноименные UF_CRM поля</w:t>
            </w:r>
          </w:p>
        </w:tc>
        <w:tc>
          <w:tcPr>
            <w:tcW w:type="dxa" w:w="226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user_agent допускается как техническое поле</w:t>
            </w:r>
          </w:p>
        </w:tc>
      </w:tr>
      <w:tr>
        <w:trPr>
          <w:cantSplit/>
        </w:trPr>
        <w:tc>
          <w:tcPr>
            <w:tcW w:type="dxa" w:w="1757"/>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Согласие</w:t>
            </w:r>
          </w:p>
        </w:tc>
        <w:tc>
          <w:tcPr>
            <w:tcW w:type="dxa" w:w="345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consent_analytics, consent_ads, consent_timestamp, consent_version</w:t>
            </w:r>
          </w:p>
        </w:tc>
        <w:tc>
          <w:tcPr>
            <w:tcW w:type="dxa" w:w="294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Одноименные UF_CRM поля</w:t>
            </w:r>
          </w:p>
        </w:tc>
        <w:tc>
          <w:tcPr>
            <w:tcW w:type="dxa" w:w="226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Значения granted или denied; unknown не используется</w:t>
            </w:r>
          </w:p>
        </w:tc>
      </w:tr>
      <w:tr>
        <w:trPr>
          <w:cantSplit/>
        </w:trPr>
        <w:tc>
          <w:tcPr>
            <w:tcW w:type="dxa" w:w="1757"/>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ICP</w:t>
            </w:r>
          </w:p>
        </w:tc>
        <w:tc>
          <w:tcPr>
            <w:tcW w:type="dxa" w:w="345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icp_type</w:t>
            </w:r>
          </w:p>
        </w:tc>
        <w:tc>
          <w:tcPr>
            <w:tcW w:type="dxa" w:w="294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UF_CRM_ICP_TYPE</w:t>
            </w:r>
          </w:p>
        </w:tc>
        <w:tc>
          <w:tcPr>
            <w:tcW w:type="dxa" w:w="2268"/>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7"/>
              </w:rPr>
              <w:t>Сценарий клиента (см. раздел 5); не путать с классом приоритета A/B/C — тот хранится в отдельном поле UF_CRM_ICP_SEGMENT под ярлыком «ICP: класс»</w:t>
            </w:r>
          </w:p>
        </w:tc>
      </w:tr>
    </w:tbl>
    <w:p>
      <w:pPr>
        <w:pStyle w:val="Heading2"/>
        <w:pageBreakBefore w:val="0"/>
        <w:widowControl/>
      </w:pPr>
      <w:r>
        <w:rPr>
          <w:color w:val="000000"/>
          <w:u w:val="none"/>
        </w:rPr>
        <w:t>Правила Consent Mode v2</w:t>
      </w:r>
    </w:p>
    <w:p>
      <w:pPr>
        <w:pStyle w:val="ListBullet"/>
        <w:pageBreakBefore w:val="0"/>
        <w:widowControl/>
      </w:pPr>
      <w:r>
        <w:t>До выбора пользователя все четыре сигнала Google Consent Mode имеют значение denied.</w:t>
      </w:r>
    </w:p>
    <w:p>
      <w:pPr>
        <w:pStyle w:val="ListBullet"/>
        <w:pageBreakBefore w:val="0"/>
        <w:widowControl/>
      </w:pPr>
      <w:r>
        <w:t>Кнопка «Принять» устанавливает consent_analytics=granted и consent_ads=granted. Кнопка «Только необходимые» устанавливает оба значения denied.</w:t>
      </w:r>
    </w:p>
    <w:p>
      <w:pPr>
        <w:pStyle w:val="ListBullet"/>
        <w:pageBreakBefore w:val="0"/>
        <w:widowControl/>
      </w:pPr>
      <w:r>
        <w:t>Выбор хранится локально вместе с consent_timestamp и consent_version=1.0 и применяется при последующих визитах.</w:t>
      </w:r>
    </w:p>
    <w:p>
      <w:pPr>
        <w:pStyle w:val="ListBullet"/>
        <w:pageBreakBefore w:val="0"/>
        <w:widowControl/>
      </w:pPr>
      <w:r>
        <w:t>Согласие на обработку персональных данных в форме не заменяет выбор аналитических и рекламных технологий.</w:t>
      </w:r>
    </w:p>
    <w:p>
      <w:pPr>
        <w:pStyle w:val="Heading2"/>
        <w:pageBreakBefore w:val="0"/>
        <w:widowControl/>
      </w:pPr>
      <w:r>
        <w:rPr>
          <w:color w:val="000000"/>
          <w:u w:val="none"/>
        </w:rPr>
        <w:t>Фактическое состояние внедрения</w:t>
      </w:r>
    </w:p>
    <w:p>
      <w:pPr>
        <w:pageBreakBefore w:val="0"/>
        <w:widowControl/>
      </w:pPr>
      <w:r>
        <w:t>Исторические сведения сохранены для сверки. Они не являются инструкцией повторного внедрения и не отменяют актуальных требований редакции от 08.10.2026.</w:t>
      </w:r>
    </w:p>
    <w:p>
      <w:pPr>
        <w:pStyle w:val="ListBullet"/>
        <w:pageBreakBefore w:val="0"/>
        <w:widowControl/>
      </w:pPr>
      <w:r>
        <w:t>GTM-контейнер GTM-WVGQ5BZ4: опубликована версия 7 с каноническим контрактом данных и Consent Mode v2.</w:t>
      </w:r>
    </w:p>
    <w:p>
      <w:pPr>
        <w:pStyle w:val="ListBullet"/>
        <w:pageBreakBefore w:val="0"/>
        <w:widowControl/>
      </w:pPr>
      <w:r>
        <w:t>GA4: Google tag G-K3055R6Y7X и мост событий pz_*; очередь сохраняет события до загрузки Google tag.</w:t>
      </w:r>
    </w:p>
    <w:p>
      <w:pPr>
        <w:pStyle w:val="ListBullet"/>
        <w:pageBreakBefore w:val="0"/>
        <w:widowControl/>
      </w:pPr>
      <w:r>
        <w:t>Cloud Run: сервис tilda-webhook-to-bigquery, ревизия tilda-webhook-to-bigquery-00061-zb7; маппинг канонических полей в Bitrix24 обновлен.</w:t>
      </w:r>
    </w:p>
    <w:p>
      <w:pPr>
        <w:pStyle w:val="ListBullet"/>
        <w:pageBreakBefore w:val="0"/>
        <w:widowControl/>
      </w:pPr>
      <w:r>
        <w:t>Consent Mode v2: до выбора пользователя analytics_storage, ad_storage, ad_user_data и ad_personalization имеют значение denied. После выбора передаются granted или denied.</w:t>
      </w:r>
    </w:p>
    <w:p>
      <w:pPr>
        <w:pStyle w:val="ListBullet"/>
        <w:pageBreakBefore w:val="0"/>
        <w:widowControl/>
      </w:pPr>
      <w:r>
        <w:t>Тестовый payload contract_test принят вебхуком без создания тестовой сделки в Bitrix24.</w:t>
      </w:r>
    </w:p>
    <w:p>
      <w:pPr>
        <w:pStyle w:val="Heading2"/>
        <w:pageBreakBefore w:val="0"/>
        <w:widowControl/>
      </w:pPr>
      <w:r>
        <w:rPr>
          <w:color w:val="000000"/>
          <w:u w:val="none"/>
        </w:rPr>
        <w:t>Легаси и запреты</w:t>
      </w:r>
    </w:p>
    <w:p>
      <w:pPr>
        <w:pStyle w:val="ListBullet"/>
        <w:pageBreakBefore w:val="0"/>
        <w:widowControl/>
      </w:pPr>
      <w:r>
        <w:t>Поле service не создавать, не заполнять и не использовать в правилах или отчетах. Единственное поле предмета обращения — service_type.</w:t>
      </w:r>
    </w:p>
    <w:p>
      <w:pPr>
        <w:pStyle w:val="ListBullet"/>
        <w:pageBreakBefore w:val="0"/>
        <w:widowControl/>
      </w:pPr>
      <w:r>
        <w:t>page_url и page_path не использовать. Канонические поля — first_landing_page, last_landing_page, page_url и page_path.</w:t>
      </w:r>
    </w:p>
    <w:p>
      <w:pPr>
        <w:pStyle w:val="ListBullet"/>
        <w:pageBreakBefore w:val="0"/>
        <w:widowControl/>
      </w:pPr>
      <w:r>
        <w:t>Дубли без префикса UF_CRM_ в Bitrix24 не создавать. Существующие дубли сначала выгрузить, сопоставить по техническому коду и только затем архивировать.</w:t>
      </w:r>
    </w:p>
    <w:p>
      <w:pPr>
        <w:pStyle w:val="ListBullet"/>
        <w:pageBreakBefore w:val="0"/>
        <w:widowControl/>
      </w:pPr>
      <w:r>
        <w:t>Поля UF_CRM_ICP_TYPE, UF_CRM_ICP_SCORE и UF_CRM_ICP_SEGMENT — три разные сущности с разным назначением (сценарий клиента, числовой балл и производный класс приоритета соответственно); создавать дубли любого из них запрещено. Интерфейсный ярлык «ICP: сегмент» переименован в «ICP: класс» и относится к полю UF_CRM_ICP_SEGMENT; UF_CRM_ICP_TYPE используется исключительно для сценариев ICP-1…ICP-5/ICP-C.</w:t>
      </w:r>
    </w:p>
    <w:p>
      <w:pPr>
        <w:pStyle w:val="ListBullet"/>
        <w:pageBreakBefore w:val="0"/>
        <w:widowControl/>
      </w:pPr>
      <w:r>
        <w:t>Текущие UTM и referrer хранятся отдельно от first и last touch.</w:t>
      </w:r>
    </w:p>
    <w:p>
      <w:pPr>
        <w:pStyle w:val="Heading2"/>
        <w:pageBreakBefore w:val="0"/>
        <w:widowControl/>
      </w:pPr>
      <w:r>
        <w:rPr>
          <w:color w:val="000000"/>
          <w:u w:val="none"/>
        </w:rPr>
        <w:t>Критерии приемки согласованной редакции</w:t>
      </w:r>
    </w:p>
    <w:p>
      <w:pPr>
        <w:pStyle w:val="ListBullet"/>
        <w:pageBreakBefore w:val="0"/>
        <w:widowControl/>
      </w:pPr>
      <w:r>
        <w:t>На новой сессии до выбора пользователя в формах записаны denied, denied, пустой timestamp и consent_version=1.0.</w:t>
      </w:r>
    </w:p>
    <w:p>
      <w:pPr>
        <w:pStyle w:val="ListBullet"/>
        <w:pageBreakBefore w:val="0"/>
        <w:widowControl/>
      </w:pPr>
      <w:r>
        <w:t>После выбора пользователя timestamp заполнен в ISO 8601, а granted или denied одинаковы на странице, в payload и Bitrix24.</w:t>
      </w:r>
    </w:p>
    <w:p>
      <w:pPr>
        <w:pStyle w:val="ListBullet"/>
        <w:pageBreakBefore w:val="0"/>
        <w:widowControl/>
      </w:pPr>
      <w:r>
        <w:t>service_type, search_term, технический контекст, click ID, referrer, page_title и platform передаются без переименования.</w:t>
      </w:r>
    </w:p>
    <w:p>
      <w:pPr>
        <w:pStyle w:val="ListBullet"/>
        <w:pageBreakBefore w:val="0"/>
        <w:widowControl/>
      </w:pPr>
      <w:r>
        <w:t>Один event_id связывает событие страницы, payload, строку BigQuery и запись Bitrix24; повторная доставка не создает дубль.</w:t>
      </w:r>
    </w:p>
    <w:p>
      <w:pPr>
        <w:pStyle w:val="ListBullet"/>
        <w:pageBreakBefore w:val="0"/>
        <w:widowControl/>
      </w:pPr>
      <w:r>
        <w:t>GA4 и Google Ads не получают персональные данные из формы.</w:t>
      </w:r>
    </w:p>
    <w:p>
      <w:pPr>
        <w:pStyle w:val="Heading2"/>
        <w:pageBreakBefore w:val="0"/>
        <w:widowControl/>
      </w:pPr>
      <w:r>
        <w:rPr>
          <w:color w:val="000000"/>
          <w:u w:val="none"/>
        </w:rPr>
        <w:t>История редакции</w:t>
      </w:r>
    </w:p>
    <w:p>
      <w:pPr>
        <w:pageBreakBefore w:val="0"/>
        <w:widowControl/>
      </w:pPr>
      <w:r>
        <w:t>Исторические сведения сохранены для сверки. Они не являются инструкцией повторного внедрения и не отменяют актуальных требований редакции от 08.10.2026.</w:t>
      </w:r>
    </w:p>
    <w:p>
      <w:pPr>
        <w:pageBreakBefore w:val="0"/>
        <w:widowControl/>
      </w:pPr>
      <w:r>
        <w:t>1.14 от 22 сентября 2026 года. Согласованы канонические имена полей, разделение текущей, первой и последней атрибуции, UF_CRM_ICP_TYPE, Consent Mode v2, вебхук и фактически опубликованные версии интеграций.</w:t>
      </w:r>
    </w:p>
    <w:p>
      <w:pPr>
        <w:pageBreakBefore w:val="0"/>
        <w:widowControl/>
      </w:pPr>
      <w:r>
        <w:t>1.16 от 23 сентября 2026 года. Устранена коллизия ярлыков ICP-полей: интерфейсный ярлык «ICP: сегмент» переименован в «ICP: класс» и закреплён за UF_CRM_ICP_SEGMENT (производный класс приоритета A/B/C); UF_CRM_ICP_TYPE оставлен исключительно для сценария клиента ICP-1…5/ICP-C. В канонический реестр полей (18.2) добавлена строка UF_CRM_ICP_SEGMENT. Уточнено, что SLA-роботы и роботы контроля сравнивают класс только с UF_CRM_ICP_SEGMENT.</w:t>
      </w:r>
    </w:p>
    <w:p>
      <w:pPr>
        <w:pageBreakBefore w:val="0"/>
        <w:widowControl/>
      </w:pPr>
      <w:r>
        <w:br w:type="page"/>
      </w:r>
    </w:p>
    <w:p>
      <w:pPr>
        <w:pStyle w:val="Heading1"/>
        <w:keepNext/>
        <w:pageBreakBefore w:val="0"/>
        <w:widowControl/>
      </w:pPr>
      <w:r>
        <w:rPr>
          <w:color w:val="000000"/>
          <w:u w:val="none"/>
        </w:rPr>
        <w:t>20 Поддержка единого конверсионного сценария</w:t>
      </w:r>
    </w:p>
    <w:p>
      <w:pPr>
        <w:pageBreakBefore w:val="0"/>
        <w:widowControl/>
      </w:pPr>
      <w:r>
        <w:t>Редакция 1.15 от 22 сентября 2026 года. Bitrix24 принимает те же канонические значения, которые сформированы страницей и переданы через webhook.</w:t>
      </w:r>
    </w:p>
    <w:p>
      <w:pPr>
        <w:pStyle w:val="Heading2"/>
        <w:pageBreakBefore w:val="0"/>
        <w:widowControl/>
      </w:pPr>
      <w:r>
        <w:rPr>
          <w:color w:val="000000"/>
          <w:u w:val="none"/>
        </w:rPr>
        <w:t>Поля и соответствия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blHeader/>
          <w:tblHeader/>
        </w:trPr>
        <w:tc>
          <w:tcPr>
            <w:tcW w:type="dxa" w:w="2268"/>
            <w:vAlign w:val="center"/>
            <w:shd w:fill="E7EBEF"/>
            <w:tcBorders>
              <w:top w:val="single" w:sz="4" w:color="D9E0E7"/>
              <w:left w:val="single" w:sz="4" w:color="D9E0E7"/>
              <w:bottom w:val="single" w:sz="4" w:color="D9E0E7"/>
              <w:right w:val="single" w:sz="4" w:color="D9E0E7"/>
              <w:insideH w:val="single" w:sz="4" w:color="D9E0E7"/>
              <w:insideV w:val="single" w:sz="4" w:color="D9E0E7"/>
            </w:tcBorders>
            <w:tcMar>
              <w:top w:w="85" w:type="dxa"/>
              <w:bottom w:w="85" w:type="dxa"/>
              <w:left w:w="85" w:type="dxa"/>
              <w:right w:w="85" w:type="dxa"/>
            </w:tcMar>
          </w:tcPr>
          <w:p>
            <w:pPr>
              <w:keepNext/>
              <w:pageBreakBefore w:val="0"/>
              <w:spacing w:after="60" w:line="252" w:lineRule="auto"/>
            </w:pPr>
            <w:r>
              <w:rPr>
                <w:b/>
                <w:color w:val="000000"/>
                <w:sz w:val="18"/>
              </w:rPr>
              <w:t>Payload</w:t>
            </w:r>
          </w:p>
        </w:tc>
        <w:tc>
          <w:tcPr>
            <w:tcW w:type="dxa" w:w="3118"/>
            <w:vAlign w:val="center"/>
            <w:shd w:fill="E7EBEF"/>
            <w:tcBorders>
              <w:top w:val="single" w:sz="4" w:color="D9E0E7"/>
              <w:left w:val="single" w:sz="4" w:color="D9E0E7"/>
              <w:bottom w:val="single" w:sz="4" w:color="D9E0E7"/>
              <w:right w:val="single" w:sz="4" w:color="D9E0E7"/>
              <w:insideH w:val="single" w:sz="4" w:color="D9E0E7"/>
              <w:insideV w:val="single" w:sz="4" w:color="D9E0E7"/>
            </w:tcBorders>
            <w:tcMar>
              <w:top w:w="85" w:type="dxa"/>
              <w:bottom w:w="85" w:type="dxa"/>
              <w:left w:w="85" w:type="dxa"/>
              <w:right w:w="85" w:type="dxa"/>
            </w:tcMar>
          </w:tcPr>
          <w:p>
            <w:pPr>
              <w:keepNext/>
              <w:pageBreakBefore w:val="0"/>
              <w:spacing w:after="60" w:line="252" w:lineRule="auto"/>
            </w:pPr>
            <w:r>
              <w:rPr>
                <w:b/>
                <w:color w:val="000000"/>
                <w:sz w:val="18"/>
              </w:rPr>
              <w:t>Поле Bitrix24</w:t>
            </w:r>
          </w:p>
        </w:tc>
        <w:tc>
          <w:tcPr>
            <w:tcW w:type="dxa" w:w="6520"/>
            <w:vAlign w:val="center"/>
            <w:shd w:fill="E7EBEF"/>
            <w:tcBorders>
              <w:top w:val="single" w:sz="4" w:color="D9E0E7"/>
              <w:left w:val="single" w:sz="4" w:color="D9E0E7"/>
              <w:bottom w:val="single" w:sz="4" w:color="D9E0E7"/>
              <w:right w:val="single" w:sz="4" w:color="D9E0E7"/>
              <w:insideH w:val="single" w:sz="4" w:color="D9E0E7"/>
              <w:insideV w:val="single" w:sz="4" w:color="D9E0E7"/>
            </w:tcBorders>
            <w:tcMar>
              <w:top w:w="85" w:type="dxa"/>
              <w:bottom w:w="85" w:type="dxa"/>
              <w:left w:w="85" w:type="dxa"/>
              <w:right w:w="85" w:type="dxa"/>
            </w:tcMar>
          </w:tcPr>
          <w:p>
            <w:pPr>
              <w:keepNext/>
              <w:pageBreakBefore w:val="0"/>
              <w:spacing w:after="60" w:line="252" w:lineRule="auto"/>
            </w:pPr>
            <w:r>
              <w:rPr>
                <w:b/>
                <w:color w:val="000000"/>
                <w:sz w:val="18"/>
              </w:rPr>
              <w:t>Правило</w:t>
            </w:r>
          </w:p>
        </w:tc>
      </w:tr>
      <w:tr>
        <w:trPr>
          <w:cantSplit/>
        </w:trPr>
        <w:tc>
          <w:tcPr>
            <w:tcW w:type="dxa" w:w="226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service_type</w:t>
            </w:r>
          </w:p>
        </w:tc>
        <w:tc>
          <w:tcPr>
            <w:tcW w:type="dxa" w:w="311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UF_CRM_SERVICE_TYPE</w:t>
            </w:r>
          </w:p>
        </w:tc>
        <w:tc>
          <w:tcPr>
            <w:tcW w:type="dxa" w:w="6520"/>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rPr>
              <w:t>Технический код сохраняется в payload; карта преобразует его в утверждённую услугу/ID списка CRM. service запрещено. Сценарий обращения не смешивается с услугой.</w:t>
            </w:r>
          </w:p>
        </w:tc>
      </w:tr>
      <w:tr>
        <w:trPr>
          <w:cantSplit/>
        </w:trPr>
        <w:tc>
          <w:tcPr>
            <w:tcW w:type="dxa" w:w="226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requested_action</w:t>
            </w:r>
          </w:p>
        </w:tc>
        <w:tc>
          <w:tcPr>
            <w:tcW w:type="dxa" w:w="311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UF_CRM_REQUESTED_ACTION</w:t>
            </w:r>
          </w:p>
        </w:tc>
        <w:tc>
          <w:tcPr>
            <w:tcW w:type="dxa" w:w="6520"/>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Список: calculate; engineer_visit; audit_booking; contact_request; document_download</w:t>
            </w:r>
          </w:p>
        </w:tc>
      </w:tr>
      <w:tr>
        <w:trPr>
          <w:cantSplit/>
        </w:trPr>
        <w:tc>
          <w:tcPr>
            <w:tcW w:type="dxa" w:w="226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cta_location</w:t>
            </w:r>
          </w:p>
        </w:tc>
        <w:tc>
          <w:tcPr>
            <w:tcW w:type="dxa" w:w="311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UF_CRM_CTA_LOCATION</w:t>
            </w:r>
          </w:p>
        </w:tc>
        <w:tc>
          <w:tcPr>
            <w:tcW w:type="dxa" w:w="6520"/>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Строка/список из канонического справочника</w:t>
            </w:r>
          </w:p>
        </w:tc>
      </w:tr>
      <w:tr>
        <w:trPr>
          <w:cantSplit/>
        </w:trPr>
        <w:tc>
          <w:tcPr>
            <w:tcW w:type="dxa" w:w="226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cta_text</w:t>
            </w:r>
          </w:p>
        </w:tc>
        <w:tc>
          <w:tcPr>
            <w:tcW w:type="dxa" w:w="311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UF_CRM_CTA_TEXT</w:t>
            </w:r>
          </w:p>
        </w:tc>
        <w:tc>
          <w:tcPr>
            <w:tcW w:type="dxa" w:w="6520"/>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Фактический текст кнопки</w:t>
            </w:r>
          </w:p>
        </w:tc>
      </w:tr>
      <w:tr>
        <w:trPr>
          <w:cantSplit/>
        </w:trPr>
        <w:tc>
          <w:tcPr>
            <w:tcW w:type="dxa" w:w="226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form_id</w:t>
            </w:r>
          </w:p>
        </w:tc>
        <w:tc>
          <w:tcPr>
            <w:tcW w:type="dxa" w:w="311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UF_CRM_FORM_ID</w:t>
            </w:r>
          </w:p>
        </w:tc>
        <w:tc>
          <w:tcPr>
            <w:tcW w:type="dxa" w:w="6520"/>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Стабильный идентификатор формы</w:t>
            </w:r>
          </w:p>
        </w:tc>
      </w:tr>
      <w:tr>
        <w:trPr>
          <w:cantSplit/>
        </w:trPr>
        <w:tc>
          <w:tcPr>
            <w:tcW w:type="dxa" w:w="226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event_id</w:t>
            </w:r>
          </w:p>
        </w:tc>
        <w:tc>
          <w:tcPr>
            <w:tcW w:type="dxa" w:w="3118"/>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UF_CRM_EVENT_ID</w:t>
            </w:r>
          </w:p>
        </w:tc>
        <w:tc>
          <w:tcPr>
            <w:tcW w:type="dxa" w:w="6520"/>
            <w:vAlign w:val="center"/>
            <w:tcBorders>
              <w:top w:val="single" w:sz="4" w:color="D9E0E7"/>
              <w:left w:val="single" w:sz="4" w:color="D9E0E7"/>
              <w:bottom w:val="single" w:sz="4" w:color="D9E0E7"/>
              <w:right w:val="single" w:sz="4" w:color="D9E0E7"/>
              <w:insideH w:val="single" w:sz="4" w:color="D9E0E7"/>
              <w:insideV w:val="single" w:sz="4" w:color="D9E0E7"/>
            </w:tcBorders>
            <w:shd w:fill="FFFFFF"/>
            <w:tcMar>
              <w:top w:w="85" w:type="dxa"/>
              <w:bottom w:w="85" w:type="dxa"/>
              <w:left w:w="85" w:type="dxa"/>
              <w:right w:w="85" w:type="dxa"/>
            </w:tcMar>
          </w:tcPr>
          <w:p>
            <w:pPr>
              <w:keepNext w:val="0"/>
              <w:pageBreakBefore w:val="0"/>
              <w:spacing w:after="60" w:line="252" w:lineRule="auto"/>
            </w:pPr>
            <w:r>
              <w:rPr>
                <w:color w:val="000000"/>
                <w:sz w:val="17"/>
              </w:rPr>
              <w:t>Уникальное поле дедупликации; не перезаписывается</w:t>
            </w:r>
          </w:p>
        </w:tc>
      </w:tr>
    </w:tbl>
    <w:p>
      <w:pPr>
        <w:pageBreakBefore w:val="0"/>
        <w:widowControl/>
      </w:pPr>
    </w:p>
    <w:p>
      <w:pPr>
        <w:pStyle w:val="Heading2"/>
        <w:pageBreakBefore w:val="0"/>
        <w:widowControl/>
      </w:pPr>
      <w:r>
        <w:rPr>
          <w:color w:val="000000"/>
          <w:u w:val="none"/>
        </w:rPr>
        <w:t>Автоматизация и отчётность</w:t>
      </w:r>
    </w:p>
    <w:p>
      <w:pPr>
        <w:pStyle w:val="ListBullet"/>
        <w:keepLines/>
        <w:pageBreakBefore w:val="0"/>
        <w:widowControl/>
      </w:pPr>
      <w:r>
        <w:t>Webhook валидирует service_type и requested_action по справочникам; неизвестные значения записывает в журнал ошибок и не создаёт новые поля автоматически.</w:t>
      </w:r>
    </w:p>
    <w:p>
      <w:pPr>
        <w:pStyle w:val="ListBullet"/>
        <w:keepLines/>
        <w:pageBreakBefore w:val="0"/>
        <w:widowControl/>
      </w:pPr>
      <w:r>
        <w:t>Любая коммерческая форма создаёт сделку в Общей воронке; requested_action и service_type сохраняют исходную потребность. Профильную воронку назначает координатор сменой воронки той же сделки.</w:t>
      </w:r>
    </w:p>
    <w:p>
      <w:pPr>
        <w:pStyle w:val="ListBullet"/>
        <w:keepLines/>
        <w:pageBreakBefore w:val="0"/>
        <w:widowControl/>
      </w:pPr>
      <w:r>
        <w:t>Дашборд показывает заявки, квалифицированные лиды, сделки и выручку по service_type, requested_action, cta_location, first/last source и campaign.</w:t>
      </w:r>
    </w:p>
    <w:p>
      <w:pPr>
        <w:pStyle w:val="ListBullet"/>
        <w:keepLines/>
        <w:pageBreakBefore w:val="0"/>
        <w:widowControl/>
      </w:pPr>
      <w:r>
        <w:t>Легаси-поля и дубли не участвуют в атрибуции. Перед включением отчёта выполняется ручная сверка технических кодов, включая UF_CRM_ICP_TYPE (сценарий) и UF_CRM_ICP_SEGMENT (класс, видимый пользователю лейбл «ICP: класс»).</w:t>
      </w:r>
    </w:p>
    <w:p>
      <w:pPr>
        <w:pStyle w:val="ListBullet"/>
        <w:keepLines/>
        <w:pageBreakBefore w:val="0"/>
        <w:widowControl/>
      </w:pPr>
      <w:r>
        <w:t>Обязательные consent_*, dclid, fbclid, gad_source, referrer, page_title и platform сохраняют точные канонические имена из контракта данных; переименование выполняется только на уровне заранее согласованной карты CRM-полей.</w:t>
      </w:r>
    </w:p>
    <w:p>
      <w:pPr>
        <w:pStyle w:val="Heading2"/>
        <w:pageBreakBefore w:val="0"/>
        <w:widowControl/>
      </w:pPr>
      <w:r>
        <w:rPr>
          <w:color w:val="000000"/>
          <w:u w:val="none"/>
        </w:rPr>
        <w:t>Критерии приёмки</w:t>
      </w:r>
    </w:p>
    <w:p>
      <w:pPr>
        <w:pStyle w:val="ListBullet"/>
        <w:keepLines/>
        <w:pageBreakBefore w:val="0"/>
        <w:widowControl/>
      </w:pPr>
      <w:r>
        <w:t>На странице визуально доминирует один основной CTA; альтернативные CTA не конкурируют с ним по цвету, размеру и частоте.</w:t>
      </w:r>
    </w:p>
    <w:p>
      <w:pPr>
        <w:pStyle w:val="ListBullet"/>
        <w:keepLines/>
        <w:pageBreakBefore w:val="0"/>
        <w:widowControl/>
      </w:pPr>
      <w:r>
        <w:t>На мобильном устройстве калькулятор или короткая форма доступны не позднее третьего–четвёртого экрана.</w:t>
      </w:r>
    </w:p>
    <w:p>
      <w:pPr>
        <w:pStyle w:val="ListBullet"/>
        <w:keepLines/>
        <w:pageBreakBefore w:val="0"/>
        <w:widowControl/>
      </w:pPr>
      <w:r>
        <w:t>Пересекающиеся блоки и дублирующие медиа отсутствуют; обязательные сведения, доверительные элементы и ключевые сценарии сохранены.</w:t>
      </w:r>
    </w:p>
    <w:p>
      <w:pPr>
        <w:pStyle w:val="ListBullet"/>
        <w:keepLines/>
        <w:pageBreakBefore w:val="0"/>
        <w:widowControl/>
      </w:pPr>
      <w:r>
        <w:t>Для переработанной существующей страницы мобильная высота сокращена на 20–25% по сравнению с сохранённым контрольным снимком, либо оформлено обоснование меньшего сокращения.</w:t>
      </w:r>
    </w:p>
    <w:p>
      <w:pPr>
        <w:pStyle w:val="ListBullet"/>
        <w:keepLines/>
        <w:pageBreakBefore w:val="0"/>
        <w:widowControl/>
      </w:pPr>
      <w:r>
        <w:t>Проверены ширины 360, 390, 768 и 1440 px: нет горизонтального переполнения, обрезанного текста и перекрывающихся кнопок.</w:t>
      </w:r>
    </w:p>
    <w:p>
      <w:pPr>
        <w:pStyle w:val="ListBullet"/>
        <w:keepLines/>
        <w:pageBreakBefore w:val="0"/>
        <w:widowControl/>
      </w:pPr>
      <w:r>
        <w:t>Каждый основной CTA передаёт одинаковые service_type, requested_action, cta_location и cta_text во все системы.</w:t>
      </w:r>
    </w:p>
    <w:p>
      <w:pPr>
        <w:pStyle w:val="ListBullet"/>
        <w:keepLines/>
        <w:pageBreakBefore w:val="0"/>
        <w:widowControl/>
      </w:pPr>
      <w:r>
        <w:t>События pz_cta_click, pz_calculator_start, pz_calculator_complete, pz_form_start, pz_form_submit и pz_form_success проходят тест без дублей; generate_lead создаётся только после pz_form_success с тем же event_id.</w:t>
      </w:r>
    </w:p>
    <w:p>
      <w:pPr>
        <w:pStyle w:val="ListBullet"/>
        <w:keepLines/>
        <w:pageBreakBefore w:val="0"/>
        <w:widowControl/>
      </w:pPr>
      <w:r>
        <w:t>Результат сравнивается с исходной версией после согласованного периода и достаточного объёма трафика; до этого изменение не признаётся победителем только по единичным заявкам.</w:t>
      </w:r>
    </w:p>
    <w:p>
      <w:pPr>
        <w:pStyle w:val="Heading2"/>
        <w:pageBreakBefore w:val="0"/>
        <w:widowControl/>
      </w:pPr>
      <w:r>
        <w:rPr>
          <w:color w:val="000000"/>
          <w:u w:val="none"/>
        </w:rPr>
        <w:t>История редакции</w:t>
      </w:r>
    </w:p>
    <w:p>
      <w:pPr>
        <w:pageBreakBefore w:val="0"/>
        <w:widowControl/>
      </w:pPr>
      <w:r>
        <w:t>Исторические сведения сохранены для сверки. Они не являются инструкцией повторного внедрения и не отменяют актуальных требований редакции от 08.10.2026.</w:t>
      </w:r>
    </w:p>
    <w:p>
      <w:pPr>
        <w:pageBreakBefore w:val="0"/>
        <w:widowControl/>
      </w:pPr>
      <w:r>
        <w:t>Версия 1.15 от 22 сентября 2026 года: добавлены requested_action, единая маршрутизация CTA и отчётность по качеству конверсионных сценариев.</w:t>
      </w:r>
    </w:p>
    <w:p>
      <w:pPr>
        <w:pStyle w:val="ListBullet"/>
        <w:pageBreakBefore w:val="0"/>
        <w:widowControl/>
      </w:pPr>
      <w:r>
        <w:t>21 Реализация на тарифе Стандартный</w:t>
      </w:r>
    </w:p>
    <w:p>
      <w:pPr>
        <w:pStyle w:val="ListBullet"/>
        <w:pageBreakBefore w:val="0"/>
        <w:widowControl/>
      </w:pPr>
      <w:r>
        <w:t>Раздел определяет обязательную архитектуру для облачного Bitrix24 на тарифе «Стандартный» и имеет приоритет над прежними формулировками о бизнес-процессах, Списках, регулярных задачах и расширенных правах на проекты. Целевые показатели, канонические поля, семь действующих воронок, ICP-квалификация, SLA и сквозная аналитика сохраняются.</w:t>
      </w:r>
    </w:p>
    <w:p>
      <w:pPr>
        <w:pStyle w:val="ListBullet"/>
        <w:pageBreakBefore w:val="0"/>
        <w:widowControl/>
      </w:pPr>
      <w:r>
        <w:t>21.1 Матрица замены функций</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3"/>
        <w:gridCol w:w="2493"/>
        <w:gridCol w:w="2493"/>
        <w:gridCol w:w="2493"/>
      </w:tblGrid>
      <w:tr>
        <w:trPr>
          <w:tblHeader w:val="true"/>
          <w:cantSplit/>
          <w:tblHeader/>
          <w:tblHeader/>
          <w:tblHeader/>
        </w:trPr>
        <w:tc>
          <w:tcPr>
            <w:tcW w:type="dxa" w:w="2493"/>
            <w:vAlign w:val="center"/>
            <w:tcMar>
              <w:top w:w="85" w:type="dxa"/>
              <w:start w:w="110" w:type="dxa"/>
              <w:bottom w:w="85" w:type="dxa"/>
              <w:end w:w="110" w:type="dxa"/>
              <w:left w:w="85" w:type="dxa"/>
              <w:right w:w="85" w:type="dxa"/>
            </w:tcMar>
            <w:shd w:fill="E7EBEF"/>
          </w:tcPr>
          <w:p>
            <w:pPr>
              <w:keepNext/>
              <w:pageBreakBefore w:val="0"/>
              <w:spacing w:after="60" w:line="252" w:lineRule="auto"/>
            </w:pPr>
            <w:r>
              <w:rPr>
                <w:b/>
                <w:color w:val="000000"/>
                <w:sz w:val="18"/>
              </w:rPr>
              <w:t>Недоступная функция</w:t>
            </w:r>
          </w:p>
        </w:tc>
        <w:tc>
          <w:tcPr>
            <w:tcW w:type="dxa" w:w="2493"/>
            <w:vAlign w:val="center"/>
            <w:tcMar>
              <w:top w:w="85" w:type="dxa"/>
              <w:start w:w="110" w:type="dxa"/>
              <w:bottom w:w="85" w:type="dxa"/>
              <w:end w:w="110" w:type="dxa"/>
              <w:left w:w="85" w:type="dxa"/>
              <w:right w:w="85" w:type="dxa"/>
            </w:tcMar>
            <w:shd w:fill="E7EBEF"/>
          </w:tcPr>
          <w:p>
            <w:pPr>
              <w:keepNext/>
              <w:pageBreakBefore w:val="0"/>
              <w:spacing w:after="60" w:line="252" w:lineRule="auto"/>
            </w:pPr>
            <w:r>
              <w:rPr>
                <w:b/>
                <w:color w:val="000000"/>
                <w:sz w:val="18"/>
              </w:rPr>
              <w:t>Решение на Стандартном</w:t>
            </w:r>
          </w:p>
        </w:tc>
        <w:tc>
          <w:tcPr>
            <w:tcW w:type="dxa" w:w="2493"/>
            <w:vAlign w:val="center"/>
            <w:tcMar>
              <w:top w:w="85" w:type="dxa"/>
              <w:start w:w="110" w:type="dxa"/>
              <w:bottom w:w="85" w:type="dxa"/>
              <w:end w:w="110" w:type="dxa"/>
              <w:left w:w="85" w:type="dxa"/>
              <w:right w:w="85" w:type="dxa"/>
            </w:tcMar>
            <w:shd w:fill="E7EBEF"/>
          </w:tcPr>
          <w:p>
            <w:pPr>
              <w:keepNext/>
              <w:pageBreakBefore w:val="0"/>
              <w:spacing w:after="60" w:line="252" w:lineRule="auto"/>
            </w:pPr>
            <w:r>
              <w:rPr>
                <w:b/>
                <w:color w:val="000000"/>
                <w:sz w:val="18"/>
              </w:rPr>
              <w:t>Источник истины</w:t>
            </w:r>
          </w:p>
        </w:tc>
        <w:tc>
          <w:tcPr>
            <w:tcW w:type="dxa" w:w="2493"/>
            <w:vAlign w:val="center"/>
            <w:tcMar>
              <w:top w:w="85" w:type="dxa"/>
              <w:start w:w="110" w:type="dxa"/>
              <w:bottom w:w="85" w:type="dxa"/>
              <w:end w:w="110" w:type="dxa"/>
              <w:left w:w="85" w:type="dxa"/>
              <w:right w:w="85" w:type="dxa"/>
            </w:tcMar>
            <w:shd w:fill="E7EBEF"/>
          </w:tcPr>
          <w:p>
            <w:pPr>
              <w:keepNext/>
              <w:pageBreakBefore w:val="0"/>
              <w:spacing w:after="60" w:line="252" w:lineRule="auto"/>
            </w:pPr>
            <w:r>
              <w:rPr>
                <w:b/>
                <w:color w:val="000000"/>
                <w:sz w:val="18"/>
              </w:rPr>
              <w:t>Контроль</w:t>
            </w:r>
          </w:p>
        </w:tc>
      </w:tr>
      <w:tr>
        <w:trPr>
          <w:cantSplit/>
        </w:trPr>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Бизнес-процессы</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Роботы CRM по стадиям сделки (доступны на «Стандартном» без ограничений). Пересчёт статуса клиента на компании и переход в следующий цикл обслуживания выполняются цепочкой роботов сделки («Изменить компанию», «Копировать/Создать сделку»), а не бизнес-процессом на карточке компании — у сущности «Компания» нет собственного раздела автоматизации по стадиям. Cloud Run используется только для операций, не являющихся CRM-событием (доставка в GA4/Google Ads, агрегация для BI).</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Поля сделки и компании</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Журнал роботов, timeline CRM и лог Cloud Run</w:t>
            </w:r>
          </w:p>
        </w:tc>
      </w:tr>
      <w:tr>
        <w:trPr>
          <w:cantSplit/>
        </w:trPr>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Списки</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Поля типа список в CRM и канонические справочники в ТЗ/конфигурации интеграции</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Технический код поля и утвержденные значения</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Новые значения только через администратора</w:t>
            </w:r>
          </w:p>
        </w:tc>
      </w:tr>
      <w:tr>
        <w:trPr>
          <w:cantSplit/>
        </w:trPr>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Регулярные задачи</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UF_CRM_NEXT_SERVICE_DATE + робот «Ждать до даты» в цепочке сделки — следующая дата рассчитывается и создаётся индивидуально по каждому договору, событие на уровне записи, без внешнего планировщика. Для клиентов с фиксированной календарной периодичностью допустимо использовать нативные «Шаблоны регулярных сделок» Bitrix24. Cloud Scheduler/Cloud Run — опциональный резерв, если объём или сложность контрактов не укладывается в робот-цепочку.</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Карточка договора/объекта и работа ТО</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rPr>
              <w:t>CONTRACT_SERVICE_ID + OBJECT_ID + PLAN_OCCURRENCE_ID + WORK_TYPE</w:t>
            </w:r>
          </w:p>
        </w:tc>
      </w:tr>
      <w:tr>
        <w:trPr>
          <w:cantSplit/>
        </w:trPr>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Права доступа на проекты</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Коммерческие данные хранятся в CRM; доступ техника ограничивается CRM-ролями, ответственным и участниками задач</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CRM и задача, не проект</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Тест под учетной записью техника</w:t>
            </w:r>
          </w:p>
        </w:tc>
      </w:tr>
      <w:tr>
        <w:trPr>
          <w:cantSplit/>
        </w:trPr>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Глубокая автоматизация карточки компании</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Логика переносится на робота сделки: обновление полей компании роботом «Изменить компанию» при смене стадии ТО, создание следующей сделки цикла роботом «Копировать/Создать сделку». Ручное изменение статуса на карточке компании закрывается административно (не является источником пересчёта), так как у компании нет собственных роботов/триггеров по стадиям. REST-событие или Cloud Run — только как резерв, если понадобится триггер вне CRM-событий.</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Компания, связанная сделка и технический флаг</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Лог интеграции и сверка активных сделок</w:t>
            </w:r>
          </w:p>
        </w:tc>
      </w:tr>
    </w:tbl>
    <w:p>
      <w:pPr>
        <w:pStyle w:val="ListBullet"/>
        <w:pageBreakBefore w:val="0"/>
        <w:widowControl/>
      </w:pPr>
      <w:r>
        <w:t>21.2 Сохранение ICP и класса клиента</w:t>
      </w:r>
    </w:p>
    <w:p>
      <w:pPr>
        <w:pStyle w:val="ListBullet"/>
        <w:pageBreakBefore w:val="0"/>
        <w:widowControl/>
      </w:pPr>
      <w:r>
        <w:t>UF_CRM_ICP_TYPE хранит сценарий клиента ICP-1…ICP-5/ICP-C. UF_CRM_ICP_SCORE хранит числовой балл 0–100. UF_CRM_ICP_SEGMENT хранит производный класс приоритета A/B/C. Это три разные сущности; создание альтернативных полей запрещено.</w:t>
      </w:r>
    </w:p>
    <w:p>
      <w:pPr>
        <w:pStyle w:val="ListBullet"/>
        <w:pageBreakBefore w:val="0"/>
        <w:widowControl/>
      </w:pPr>
      <w:r>
        <w:t>Класс A — 70–100, B — 50–69, C — менее 50. Для обследования действует пересчет при входе на стадию (п. 22.8.2); FIELD_CHANGED исключен, чтобы не обходить обязательные поля. Пересчет без смены стадии через Cloud Run — возможная последующая доработка, не подтвержденная текущим статусом. Ручная корректировка балла доступна руководителю с комментарием, класса — запрещена.</w:t>
      </w:r>
    </w:p>
    <w:p>
      <w:pPr>
        <w:pStyle w:val="ListBullet"/>
        <w:pageBreakBefore w:val="0"/>
        <w:widowControl/>
      </w:pPr>
      <w:r>
        <w:t>Статус клиента в UF_CRM_1789642172868 является производным от подтверждённых действующих услуг договора и не заменяет ICP. Наличие карточки выполнения или её успешное завершение само по себе не подтверждает договор. customer_type=new/existing отражает подтверждённую историю клиента на дату исходного обращения; дополнительная разовая продажа не превращает текущего клиента в нового. Правила MG-05 и карта ID определяют расчёт.</w:t>
      </w:r>
    </w:p>
    <w:p>
      <w:pPr>
        <w:pStyle w:val="ListBullet"/>
        <w:pageBreakBefore w:val="0"/>
        <w:widowControl/>
      </w:pPr>
      <w:r>
        <w:t>21.3 SLA и регулярное обслуживание</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3"/>
        <w:gridCol w:w="2493"/>
        <w:gridCol w:w="2493"/>
        <w:gridCol w:w="2493"/>
      </w:tblGrid>
      <w:tr>
        <w:trPr>
          <w:tblHeader w:val="true"/>
          <w:cantSplit/>
          <w:tblHeader/>
          <w:tblHeader/>
          <w:tblHeader/>
        </w:trPr>
        <w:tc>
          <w:tcPr>
            <w:tcW w:type="dxa" w:w="2493"/>
            <w:vAlign w:val="center"/>
            <w:tcMar>
              <w:top w:w="85" w:type="dxa"/>
              <w:start w:w="110" w:type="dxa"/>
              <w:bottom w:w="85" w:type="dxa"/>
              <w:end w:w="110" w:type="dxa"/>
              <w:left w:w="85" w:type="dxa"/>
              <w:right w:w="85" w:type="dxa"/>
            </w:tcMar>
            <w:shd w:fill="E7EBEF"/>
          </w:tcPr>
          <w:p>
            <w:pPr>
              <w:keepNext/>
              <w:pageBreakBefore w:val="0"/>
              <w:spacing w:after="60" w:line="252" w:lineRule="auto"/>
            </w:pPr>
            <w:r>
              <w:rPr>
                <w:b/>
                <w:color w:val="000000"/>
                <w:sz w:val="18"/>
              </w:rPr>
              <w:t>Контроль</w:t>
            </w:r>
          </w:p>
        </w:tc>
        <w:tc>
          <w:tcPr>
            <w:tcW w:type="dxa" w:w="2493"/>
            <w:vAlign w:val="center"/>
            <w:tcMar>
              <w:top w:w="85" w:type="dxa"/>
              <w:start w:w="110" w:type="dxa"/>
              <w:bottom w:w="85" w:type="dxa"/>
              <w:end w:w="110" w:type="dxa"/>
              <w:left w:w="85" w:type="dxa"/>
              <w:right w:w="85" w:type="dxa"/>
            </w:tcMar>
            <w:shd w:fill="E7EBEF"/>
          </w:tcPr>
          <w:p>
            <w:pPr>
              <w:keepNext/>
              <w:pageBreakBefore w:val="0"/>
              <w:spacing w:after="60" w:line="252" w:lineRule="auto"/>
            </w:pPr>
            <w:r>
              <w:rPr>
                <w:b/>
                <w:color w:val="000000"/>
                <w:sz w:val="18"/>
              </w:rPr>
              <w:t>Механизм</w:t>
            </w:r>
          </w:p>
        </w:tc>
        <w:tc>
          <w:tcPr>
            <w:tcW w:type="dxa" w:w="2493"/>
            <w:vAlign w:val="center"/>
            <w:tcMar>
              <w:top w:w="85" w:type="dxa"/>
              <w:start w:w="110" w:type="dxa"/>
              <w:bottom w:w="85" w:type="dxa"/>
              <w:end w:w="110" w:type="dxa"/>
              <w:left w:w="85" w:type="dxa"/>
              <w:right w:w="85" w:type="dxa"/>
            </w:tcMar>
            <w:shd w:fill="E7EBEF"/>
          </w:tcPr>
          <w:p>
            <w:pPr>
              <w:keepNext/>
              <w:pageBreakBefore w:val="0"/>
              <w:spacing w:after="60" w:line="252" w:lineRule="auto"/>
            </w:pPr>
            <w:r>
              <w:rPr>
                <w:b/>
                <w:color w:val="000000"/>
                <w:sz w:val="18"/>
              </w:rPr>
              <w:t>Дедлайн</w:t>
            </w:r>
          </w:p>
        </w:tc>
        <w:tc>
          <w:tcPr>
            <w:tcW w:type="dxa" w:w="2493"/>
            <w:vAlign w:val="center"/>
            <w:tcMar>
              <w:top w:w="85" w:type="dxa"/>
              <w:start w:w="110" w:type="dxa"/>
              <w:bottom w:w="85" w:type="dxa"/>
              <w:end w:w="110" w:type="dxa"/>
              <w:left w:w="85" w:type="dxa"/>
              <w:right w:w="85" w:type="dxa"/>
            </w:tcMar>
            <w:shd w:fill="E7EBEF"/>
          </w:tcPr>
          <w:p>
            <w:pPr>
              <w:keepNext/>
              <w:pageBreakBefore w:val="0"/>
              <w:spacing w:after="60" w:line="252" w:lineRule="auto"/>
            </w:pPr>
            <w:r>
              <w:rPr>
                <w:b/>
                <w:color w:val="000000"/>
                <w:sz w:val="18"/>
              </w:rPr>
              <w:t>Защита от дублей</w:t>
            </w:r>
          </w:p>
        </w:tc>
      </w:tr>
      <w:tr>
        <w:trPr>
          <w:cantSplit/>
        </w:trPr>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Первичный контакт ICP A/B</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Роботы стадии создают задачу и эскалацию</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30 минут в рабочее время</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DEAL_ID + SLA_TYPE + STAGE_ID</w:t>
            </w:r>
          </w:p>
        </w:tc>
      </w:tr>
      <w:tr>
        <w:trPr>
          <w:cantSplit/>
        </w:trPr>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Следующий шаг и follow-up</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Роботы ожидания («Ждать до даты» по UF_CRM_NEXT_STEP_DATE) в цепочке сделки; внешняя резервная проверка не требуется — Cloud Run опционален только для сводной отчётности.</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По UF_CRM_NEXT_STEP_DATE</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DEAL_ID + ACTION_TYPE + DUE_DATE</w:t>
            </w:r>
          </w:p>
        </w:tc>
      </w:tr>
      <w:tr>
        <w:trPr>
          <w:cantSplit/>
        </w:trPr>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Плановое ТО</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Робот «Ждать до даты» в цепочке сделки по UF_CRM_NEXT_SERVICE_DATE создаёт работу/задачу индивидуально по каждому договору (событие на уровне записи, не пакетный обход базы); Cloud Scheduler — опциональный резерв для большого объёма договоров либо для сводных отчётов.</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По договорному графику</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rPr>
              <w:t>CONTRACT_SERVICE_ID + OBJECT_ID + PLAN_OCCURRENCE_ID + WORK_TYPE</w:t>
            </w:r>
          </w:p>
        </w:tc>
      </w:tr>
      <w:tr>
        <w:trPr>
          <w:cantSplit/>
        </w:trPr>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Просрочка отчета/счета</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Робот стадии + робот «Ждать»/«Контроль» с эскалацией задачи и уведомлением ответственному; резервный монитор Cloud Run — опционально, если нужен внешний/агрегированный контроль сверх CRM.</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1 рабочий день</w:t>
            </w:r>
          </w:p>
        </w:tc>
        <w:tc>
          <w:tcPr>
            <w:tcW w:type="dxa" w:w="2493"/>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8"/>
              </w:rPr>
              <w:t>WORK_ID + TASK_TYPE</w:t>
            </w:r>
          </w:p>
        </w:tc>
      </w:tr>
    </w:tbl>
    <w:p>
      <w:pPr>
        <w:pStyle w:val="ListBullet"/>
        <w:pageBreakBefore w:val="0"/>
        <w:widowControl/>
      </w:pPr>
      <w:r>
        <w:t>21.4 Ограничения и емкость</w:t>
      </w:r>
    </w:p>
    <w:p>
      <w:pPr>
        <w:pStyle w:val="ListBullet"/>
        <w:pageBreakBefore w:val="0"/>
        <w:widowControl/>
      </w:pPr>
      <w:r>
        <w:t>Используются семь действующих воронок при лимите тарифа до десяти. Три позиции остаются резервом; новую воронку создают только после проверки, что сценарий нельзя реализовать стадиями существующей.</w:t>
      </w:r>
    </w:p>
    <w:p>
      <w:pPr>
        <w:pStyle w:val="ListBullet"/>
        <w:pageBreakBefore w:val="0"/>
        <w:widowControl/>
      </w:pPr>
      <w:r>
        <w:t>Проекты допускаются для совместной работы без коммерческой информации. Суммы, валовая прибыль, рекламные расходы, ICP и договорные условия остаются в CRM с ролевыми правами. Ограничение доступа техника обеспечивается CRM-ролями и назначением задач, а не правами проекта.</w:t>
      </w:r>
    </w:p>
    <w:p>
      <w:pPr>
        <w:pStyle w:val="ListBullet"/>
        <w:pageBreakBefore w:val="0"/>
        <w:widowControl/>
      </w:pPr>
      <w:r>
        <w:t>Переход на тариф «Стандартный» выполняется только после экспорта шаблонов действующих бизнес-процессов, фиксации текущих роботов и успешного прохождения тестов 24–27. Старые бизнес-процессы отключаются после подтверждения замещающих роботов и Cloud Run, но не удаляются до окончания пилота.</w:t>
      </w:r>
    </w:p>
    <w:p>
      <w:pPr>
        <w:pStyle w:val="ListBullet"/>
        <w:pageBreakBefore w:val="0"/>
        <w:widowControl/>
      </w:pPr>
      <w:r>
        <w:t>21.5 Критерии приемки тарифа Стандартный</w:t>
      </w:r>
    </w:p>
    <w:p>
      <w:pPr>
        <w:pStyle w:val="ListBullet"/>
        <w:pageBreakBefore w:val="0"/>
        <w:widowControl/>
      </w:pPr>
      <w:r>
        <w:t>Все семь воронок доступны, стадии и роботы опубликованы, лимит воронок не превышен.</w:t>
      </w:r>
    </w:p>
    <w:p>
      <w:pPr>
        <w:pStyle w:val="ListBullet"/>
        <w:pageBreakBefore w:val="0"/>
        <w:widowControl/>
      </w:pPr>
      <w:r>
        <w:t>ICP A/B/C, SLA, customer_type и статус клиента сохраняются и пересчитываются без бизнес-процессов.</w:t>
      </w:r>
    </w:p>
    <w:p>
      <w:pPr>
        <w:pStyle w:val="ListBullet"/>
        <w:pageBreakBefore w:val="0"/>
        <w:widowControl/>
      </w:pPr>
      <w:r>
        <w:t>Плановая работа создаётся один раз по ключу CONTRACT_SERVICE_ID + OBJECT_ID + PLAN_OCCURRENCE_ID + WORK_TYPE. Для повторной доставки тот же ключ сохраняется. Перенос и новая работа фиксируются отдельно с историей. Внешний планировщик остаётся резервом; уникальность проверяется и при конкурентном запуске.</w:t>
      </w:r>
    </w:p>
    <w:p>
      <w:pPr>
        <w:pStyle w:val="ListBullet"/>
        <w:pageBreakBefore w:val="0"/>
        <w:widowControl/>
      </w:pPr>
      <w:r>
        <w:t>Техник видит назначенную область и разрешённые поля. Технический пользователь получает минимальные права для своего адаптера; пользователь чтения управленческой системы видит только утверждённый набор. Права BI, локальных наборов, детализации и экспорта проверяются отдельно.</w:t>
      </w:r>
    </w:p>
    <w:p>
      <w:pPr>
        <w:pStyle w:val="ListBullet"/>
        <w:pageBreakBefore w:val="0"/>
        <w:widowControl/>
      </w:pPr>
      <w:r>
        <w:t>BI-конструктор получает канонические поля и показатели без зависимости от Списков.</w:t>
      </w:r>
    </w:p>
    <w:p>
      <w:pPr>
        <w:pStyle w:val="ListBullet"/>
        <w:pageBreakBefore w:val="0"/>
        <w:widowControl/>
      </w:pPr>
      <w:r>
        <w:t>Аварийное отключение Cloud Run не блокирует ручную работу CRM; после восстановления очередь обрабатывается без дублей.</w:t>
      </w:r>
    </w:p>
    <w:p>
      <w:pPr>
        <w:pStyle w:val="ListBullet"/>
        <w:pageBreakBefore w:val="0"/>
        <w:widowControl/>
      </w:pPr>
      <w:r>
        <w:t>История редакции</w:t>
      </w:r>
    </w:p>
    <w:p>
      <w:pPr>
        <w:pageBreakBefore w:val="0"/>
        <w:widowControl/>
      </w:pPr>
      <w:r>
        <w:t>Исторические сведения сохранены для сверки. Они не являются инструкцией повторного внедрения и не отменяют актуальных требований редакции от 08.10.2026.</w:t>
      </w:r>
    </w:p>
    <w:p>
      <w:pPr>
        <w:pStyle w:val="ListBullet"/>
        <w:pageBreakBefore w:val="0"/>
        <w:widowControl/>
      </w:pPr>
      <w:r>
        <w:t>1.17 от 24 сентября 2026 года. ТЗ адаптировано для тарифа «Стандартный»: исключена обязательная зависимость от бизнес-процессов, Списков, регулярных задач и прав доступа на проекты; сохранены ICP, класс A/B/C, SLA и семь воронок; периодические и межсущностные операции перенесены на связку роботов CRM, Cloud Scheduler и Cloud Run с защитой от дублей.</w:t>
      </w:r>
    </w:p>
    <w:p>
      <w:pPr>
        <w:pStyle w:val="ListBullet"/>
        <w:pageBreakBefore w:val="0"/>
        <w:widowControl/>
      </w:pPr>
      <w:r>
        <w:t>1.18 от 28 сентября 2026 года. Уточнена матрица замены функций (табл. 25) и таблица SLA-контроля (табл. 26) по факту проверки тарифа «Стандартный» на портале pozharnikkz.bitrix24.kz: подтверждено, что «Роботы и триггеры» CRM доступны на «Стандартном» без ограничений, а Бизнес-процессы, Дизайнер бизнес-процессов и Смарт-процессы — только с тарифа «Профессиональный» и выше. Пересчёт статуса клиента на карточке компании, создание плановых работ ТО по UF_CRM_NEXT_SERVICE_DATE и контроль просрочек переведены с бизнес-процессов/Cloud Run на цепочки роботов CRM на стороне сделки (робот «Ждать до даты», «Изменить компанию», «Копировать/Создать сделку», «Контроль»), так как у сущности «Компания» нет собственного раздела автоматизации по стадиям. Cloud Run сохраняется только для операций, не являющихся CRM-событием (доставка в GA4/Google Ads, агрегация для BI).</w:t>
      </w:r>
    </w:p>
    <w:p>
      <w:pPr>
        <w:pStyle w:val="ListBullet"/>
        <w:pageBreakBefore w:val="0"/>
        <w:widowControl/>
      </w:pPr>
      <w:r>
        <w:t xml:space="preserve">1.19 от 30 сентября 2026 года. По решению заказчика: (1) для полей обследования (ответственный инженер, дата и время обследования, файл чек-листа) восстановлена техническая блокировка перехода на стадию «КП отправлено» и последующие штатной настройкой «Обязательное на стадии», поскольку проверка портала 29.09.2026 подтвердила, что механизм доступен; исключение редакции 1.12 сохраняется для остальных обязательных полей; (2) добавлено необязательное поле «Ссылка на чек-лист обследования»; ответственный инженер и дата обследования заполняются автоматически из задачи обследования; (3) добавлен п. 6.5 — автоматический учет времени техников в человеко-часах: одна задача на техника, начало по принятию задачи, окончание по завершению или выходу сделки со стадии «В работе», итог как сумма по всем техникам; добавлены тесты 28–29; (4) в п. 6.4 таймер заменен ссылкой на п. 6.5; (5) по факту проверки портала 30 сентября 2026 года: код даты окончания договора текущего подрядчика уточнен на UF_CRM_CURRENT_CONTRACTOR_END (UF_CRM_CONTRACT_END в портале — дата окончания собственного договора), добавлено поле UF_CRM_ICP_REASON, поля UF_CRM_NEXT_SERVICE_DATE и UF_CRM_ICP_TYPE созданы в портале с каноническими кодами, прежнее поле «Дата ближайшего обслуживания» (UF_CRM_SERVICE_SCHEDULE_DATE) в контракте не используется.</w:t>
      </w:r>
    </w:p>
    <w:p>
      <w:pPr>
        <w:pStyle w:val="ListBullet"/>
        <w:pageBreakBefore w:val="0"/>
        <w:widowControl/>
      </w:pPr>
      <w:r>
        <w:t xml:space="preserve">1.20 от 30 сентября 2026 года. По решению заказчика в Общую воронку добавлены три стадии обследования (раздел 22): «Обследование назначено», «Обследование проведено — на проверке», «Обследование принято»; статус качества определяется стадией, поле UF_CRM_SURVEY_QA_STATUS не создается; переход блокируется штатной настройкой «Обязательное на стадии»; техник переводит карточку с телефона; инженер и дата обследования назначаются координатором (автозаполнение из задачи не реализуется); коды полей приведены к порталу (UF_CRM_1788952323, UF_CRM_1788952307, UF_CRM_1789621099, UF_CRM_1789615030, UF_CRM_CURRENT_CONTRACTOR_END); время на обследование не учитывается — человеко-часы только в воронке «Обслуживание текущих клиентов»; бонусы техника входят в первый релиз. Пересчет ICP выполняют роботы CRM (при необходимости — Cloud Run).</w:t>
      </w:r>
    </w:p>
    <w:p>
      <w:pPr>
        <w:pStyle w:val="ListBullet"/>
        <w:pageBreakBefore w:val="0"/>
        <w:widowControl/>
      </w:pPr>
      <w:r>
        <w:t>1.20 (дополнение) от 1 октября 2026 года. Процесс обследования реализован на портале: роботы стадий, бонусы техника, отдельные поля и статус бонуса за ЛПР, список и фильтр для месячных итогов. По решению заказчика с семи полей ICP (UF_CRM_BUYING_ROLE, UF_CRM_OBJECT_COUNT, UF_CRM_CURRENT_CONTRACTOR_END, UF_CRM_TRIGGER, UF_CRM_NEXT_STEP, UF_CRM_NEXT_STEP_DATE, UF_CRM_OBJECT_AREA) снята общая обязательность — они обязательны только настройкой «Обязательное на стадии» (см. 22.8); добавлен раздел 23 — поэтапный план настройки Bitrix24 по Медиаплану v4.3.</w:t>
      </w:r>
    </w:p>
    <w:p>
      <w:pPr>
        <w:pStyle w:val="Heading1"/>
        <w:keepNext/>
        <w:pageBreakBefore w:val="0"/>
        <w:widowControl/>
      </w:pPr>
      <w:r>
        <w:rPr>
          <w:color w:val="000000"/>
          <w:u w:val="none"/>
        </w:rPr>
        <w:t>22 Корректировка Общей воронки</w:t>
      </w:r>
    </w:p>
    <w:p>
      <w:pPr>
        <w:pageBreakBefore w:val="0"/>
        <w:widowControl/>
      </w:pPr>
      <w:r>
        <w:t>Раздел вводит в Общую воронку три стадии обследования как обязательную первичную квалификацию: «Обследование назначено», «Обследование проведено — на проверке», «Обследование принято». Техник и координатор собирают полную информацию о клиенте, объекте, боли, участниках принятия решения и требуемой услуге; после приемки сделка проходит «Согласование условий», где координатор меняет ее воронку или ведет разовую сделку на счет и договор. Отдельного поля статуса качества нет: статус определяется стадией. Учет рабочего времени на обследовании не ведется; человеко-часы считаются только в воронке «Обслуживание текущих клиентов» (п. 6.5). Раздел 22 имеет приоритет над п. 3 и 6.1 в части обследования. Поля UF_CRM_ICP_TYPE, UF_CRM_ICP_SCORE и UF_CRM_ICP_SEGMENT остаются каноническими; дублирующие поля и отдельная шкала качества обследования запрещены.</w:t>
      </w:r>
    </w:p>
    <w:p>
      <w:pPr>
        <w:pStyle w:val="Heading2"/>
        <w:keepNext/>
        <w:pageBreakBefore w:val="0"/>
        <w:widowControl/>
      </w:pPr>
      <w:r>
        <w:rPr>
          <w:color w:val="000000"/>
          <w:u w:val="none"/>
        </w:rPr>
        <w:t xml:space="preserve">22.1 Стадии обследования в Общей воронке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blHeader/>
          <w:tblHeader/>
        </w:trPr>
        <w:tc>
          <w:tcPr>
            <w:tcW w:type="dxa" w:w="1984"/>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 xml:space="preserve">Стадия</w:t>
            </w:r>
          </w:p>
        </w:tc>
        <w:tc>
          <w:tcPr>
            <w:tcW w:type="dxa" w:w="5669"/>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 xml:space="preserve">Вход, обязательные данные и автоматизация</w:t>
            </w:r>
          </w:p>
        </w:tc>
        <w:tc>
          <w:tcPr>
            <w:tcW w:type="dxa" w:w="1984"/>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 xml:space="preserve">Ответственный</w:t>
            </w:r>
          </w:p>
        </w:tc>
      </w:tr>
      <w:tr>
        <w:trPr>
          <w:cantSplit/>
        </w:trPr>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Обследование назначено</w:t>
            </w:r>
          </w:p>
        </w:tc>
        <w:tc>
          <w:tcPr>
            <w:tcW w:type="dxa" w:w="566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Вход: координатор перевел сделку на стадию и заполнил «Ответственный инженер», «Дата и время обследования», «Тип объекта» и адрес объекта; без этих полей переход блокируется. Робот создает задачу технику с датой обследования и ссылкой на карточку и чек-лист.</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w:t>
            </w:r>
          </w:p>
        </w:tc>
      </w:tr>
      <w:tr>
        <w:trPr>
          <w:cantSplit/>
        </w:trPr>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Обследование проведено — на проверке</w:t>
            </w:r>
          </w:p>
        </w:tc>
        <w:tc>
          <w:tcPr>
            <w:tcW w:type="dxa" w:w="566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Техник с мобильного приложения переводит карточку после выезда. Обязательны: площадь, наличие АПС, недовольство подрядчиком, боль, проблема, результат обследования, контакт на объекте; при дефекте — файл чек-листа/акт/фото. Без них переход блокируется. Робот создает координатору задачу на приемку.</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Техник</w:t>
            </w:r>
          </w:p>
        </w:tc>
      </w:tr>
      <w:tr>
        <w:trPr>
          <w:cantSplit/>
        </w:trPr>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Обследование принято</w:t>
            </w:r>
          </w:p>
        </w:tc>
        <w:tc>
          <w:tcPr>
            <w:tcW w:type="dxa" w:w="566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 проверяет полноту, уточняет количество объектов, роль в закупке, окончание договора подрядчика, следующий шаг и дату, затем переводит карточку на стадию. Переход блокируется без этих полей; запускается пересчет ICP.</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w:t>
            </w:r>
          </w:p>
        </w:tc>
      </w:tr>
      <w:tr>
        <w:trPr>
          <w:cantSplit/>
        </w:trPr>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Маршрут после приемки</w:t>
            </w:r>
          </w:p>
        </w:tc>
        <w:tc>
          <w:tcPr>
            <w:tcW w:type="dxa" w:w="566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Встреча с ЛПР, расчет или КП, отложенный контроль либо закрытие с обязательной причиной. Координатор переводит ту же сделку в профильную воронку; данные обследования сохраняются без копии.</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w:t>
            </w:r>
          </w:p>
        </w:tc>
      </w:tr>
      <w:tr>
        <w:trPr>
          <w:cantSplit/>
        </w:trPr>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Возврат на доработку</w:t>
            </w:r>
          </w:p>
        </w:tc>
        <w:tc>
          <w:tcPr>
            <w:tcW w:type="dxa" w:w="566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При неполных или общих формулировках координатор возвращает карточку на «Обследование назначено» с комментарием; робот создает технику задачу на доработку.</w:t>
            </w:r>
          </w:p>
        </w:tc>
        <w:tc>
          <w:tcPr>
            <w:tcW w:type="dxa" w:w="198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w:t>
            </w:r>
          </w:p>
        </w:tc>
      </w:tr>
    </w:tbl>
    <w:p>
      <w:pPr>
        <w:pageBreakBefore w:val="0"/>
        <w:widowControl/>
      </w:pPr>
    </w:p>
    <w:p>
      <w:pPr>
        <w:pStyle w:val="Heading2"/>
        <w:keepNext/>
        <w:pageBreakBefore w:val="0"/>
        <w:widowControl/>
      </w:pPr>
      <w:r>
        <w:rPr>
          <w:color w:val="000000"/>
          <w:u w:val="none"/>
        </w:rPr>
        <w:t xml:space="preserve">22.2 Поля стадий и владельцы данных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3"/>
        <w:gridCol w:w="2493"/>
        <w:gridCol w:w="2493"/>
        <w:gridCol w:w="2493"/>
      </w:tblGrid>
      <w:tr>
        <w:trPr>
          <w:tblHeader w:val="true"/>
          <w:cantSplit/>
          <w:tblHeader/>
          <w:tblHeader/>
          <w:tblHeader/>
        </w:trPr>
        <w:tc>
          <w:tcPr>
            <w:tcW w:type="dxa" w:w="2494"/>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 xml:space="preserve">Поле</w:t>
            </w:r>
          </w:p>
        </w:tc>
        <w:tc>
          <w:tcPr>
            <w:tcW w:type="dxa" w:w="3288"/>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 xml:space="preserve">Тип и правило</w:t>
            </w:r>
          </w:p>
        </w:tc>
        <w:tc>
          <w:tcPr>
            <w:tcW w:type="dxa" w:w="1928"/>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 xml:space="preserve">Кто заполняет</w:t>
            </w:r>
          </w:p>
        </w:tc>
        <w:tc>
          <w:tcPr>
            <w:tcW w:type="dxa" w:w="1928"/>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 xml:space="preserve">Влияние</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Ответственный инженер (UF_CRM_1788952323)</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Сотрудник; техник обследования. Обязательно на «назначено»</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Атрибуция обследования и бонуса</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Дата и время обследования (UF_CRM_1788952307)</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Дата и время; план. Обязательно на «назначено»</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Контроль SLA и visit_done</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Тип объекта (UF_CRM_1789621099; контрактное имя UF_CRM_OBJECT_TYPE)</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Справочник. Обязательно на «назначено»</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 или техник</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+15 для склада, логистики или производства</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Площадь объекта, м² (UF_CRM_OBJECT_AREA)</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Число, м². Обязательно на «на проверке»</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Техник</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+20 при площади от 3 000 м²</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UF_CRM_APS_EXISTS</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Да / нет. Обязательно на «на проверке»</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Техник</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+15 при действующей АПС</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UF_CRM_CURRENT_CONTRACTOR</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Да / нет; наличие текущего подрядчика</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Техник или координатор</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Основание для проверки боли и срока договора</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UF_CRM_1790774986 (создано)</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Да / нет / не выяснено. Обязательно на «на проверке»</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Техник</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+10 при подтвержденном недовольстве</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UF_CRM_PAIN</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Множественный список и комментарий. Обязательно на «на проверке»</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Техник</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Квалификация и подготовка встречи</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UF_CRM_1790774906 (создано)</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Многострочный текст; конкретный дефект или задача. Обязательно на «на проверке»</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Техник</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Обязательный контроль качества</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UF_CRM_SURVEY_RESULT</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Результат обследования. Обязательно на «на проверке»</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Техник</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Контроль качества и маршрут</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Файлы чек-листов и актов (UF_CRM_1789615030)</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Файл, фото или акт. Обязательно на «на проверке» при дефекте; отдельное поле подтверждения не создается</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Техник</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Обязательный контроль качества</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UF_CRM_OBJECT_COUNT</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Целое число. Обязательно на «принято»</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+10 при двух объектах и более</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UF_CRM_BUYING_ROLE</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ЛПР / влияющий / procurement / технический / инициатор. Обязательно на «принято»</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+10 для технического ЛПР</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UF_CRM_CURRENT_CONTRACTOR_END</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Дата окончания договора текущего подрядчика. Обязательно на «принято» Если подрядчика нет или обследование по Кузет не требуется, не подставлять фиктивную дату; применить согласованное исключение обязательности.</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+10 при окончании в течение 90 дней</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UF_CRM_TRIGGER</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Утвержденный справочник триггеров</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Техник или координатор</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+5 для аудита или проверки</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UF_CRM_NEXT_STEP</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Справочник следующего шага. Обязательно на «принято»</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+5 только вместе с датой</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UF_CRM_NEXT_STEP_DATE</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Дата и время. Обязательно на «принято»</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+5 только вместе со следующим шагом</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UF_CRM_ICP_SCORE</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Число 0–100; вычисляемое</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Робот</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Сумма условий раздела 5</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UF_CRM_ICP_SEGMENT</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A / B / C; вычисляемое</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Робот</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A 70–100; B 50–69; C менее 50</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UF_CRM_1790774938 / UF_CRM_1790774946 (создано)</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Да/нет и дата состоявшейся повторной встречи с ЛПР</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Условие бонуса 5 000 ₸</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UF_CRM_1790774947 (создано)</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Деньги; сумма поступившей первой оплаты</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 вручную или интеграция</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Условие запуска договорного бонуса</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UF_CRM_1790774949 (создано)</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Дата первой оплаты</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 вручную или интеграция</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Подтверждение события оплаты</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UF_CRM_GROSS_PROFIT</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Деньги; подтвержденная валовая прибыль</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 вручную или интеграция</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10 000 ₸ до 1 млн ₸ включительно; 20 000 ₸ свыше 1 млн ₸</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UF_CRM_1790774950 (создано)</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Номер платежа, ссылка на документ или комментарий</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Координатор</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Основание для проверки начисления</w:t>
            </w:r>
          </w:p>
        </w:tc>
      </w:tr>
      <w:tr>
        <w:trPr>
          <w:cantSplit/>
        </w:trPr>
        <w:tc>
          <w:tcPr>
            <w:tcW w:type="dxa" w:w="249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UF_CRM_1790774951 / UF_CRM_1790774987 (создано)</w:t>
            </w:r>
          </w:p>
        </w:tc>
        <w:tc>
          <w:tcPr>
            <w:tcW w:type="dxa" w:w="328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Деньги и список статусов бонуса</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Робот</w:t>
            </w:r>
          </w:p>
        </w:tc>
        <w:tc>
          <w:tcPr>
            <w:tcW w:type="dxa" w:w="192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 xml:space="preserve">Предварительная сумма и статус начисления</w:t>
            </w:r>
          </w:p>
        </w:tc>
      </w:tr>
    </w:tbl>
    <w:p>
      <w:pPr>
        <w:pageBreakBefore w:val="0"/>
        <w:widowControl/>
      </w:pPr>
    </w:p>
    <w:p>
      <w:pPr>
        <w:pStyle w:val="Heading2"/>
        <w:keepNext/>
        <w:pageBreakBefore w:val="0"/>
        <w:widowControl/>
      </w:pPr>
      <w:r>
        <w:rPr>
          <w:color w:val="000000"/>
          <w:u w:val="none"/>
        </w:rPr>
        <w:t>22.3 Автоматический пересчет ICP</w:t>
      </w:r>
    </w:p>
    <w:p>
      <w:pPr>
        <w:pageBreakBefore w:val="0"/>
        <w:widowControl/>
      </w:pPr>
      <w:r>
        <w:t>В воронке обследования роботы CRM вычисляют UF_CRM_ICP_SCORE заново при входе на стадии обследования, в том числе на «Обследование принято». При правке на той же стадии пересчет происходит при следующем переходе. Триггеры FIELD_CHANGED не использовать; вебхук для пересчета без перехода допускается как отдельно согласованная доработка. При каждом расчете баллы складываются из текущих значений, а не прибавляются к прежнему результату.</w:t>
      </w:r>
      <w:r>
        <w:rPr>
          <w:rStyle w:val="CommentReference"/>
        </w:rPr>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blHeader/>
          <w:tblHeader/>
        </w:trPr>
        <w:tc>
          <w:tcPr>
            <w:tcW w:type="dxa" w:w="5669"/>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Условие</w:t>
            </w:r>
          </w:p>
        </w:tc>
        <w:tc>
          <w:tcPr>
            <w:tcW w:type="dxa" w:w="1134"/>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Баллы</w:t>
            </w:r>
          </w:p>
        </w:tc>
        <w:tc>
          <w:tcPr>
            <w:tcW w:type="dxa" w:w="2835"/>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Источник</w:t>
            </w:r>
          </w:p>
        </w:tc>
      </w:tr>
      <w:tr>
        <w:trPr>
          <w:cantSplit/>
        </w:trPr>
        <w:tc>
          <w:tcPr>
            <w:tcW w:type="dxa" w:w="566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Площадь объекта не менее 3 000 м²</w:t>
            </w:r>
          </w:p>
        </w:tc>
        <w:tc>
          <w:tcPr>
            <w:tcW w:type="dxa" w:w="113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+20</w:t>
            </w:r>
          </w:p>
        </w:tc>
        <w:tc>
          <w:tcPr>
            <w:tcW w:type="dxa" w:w="283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UF_CRM_OBJECT_AREA</w:t>
            </w:r>
          </w:p>
        </w:tc>
      </w:tr>
      <w:tr>
        <w:trPr>
          <w:cantSplit/>
        </w:trPr>
        <w:tc>
          <w:tcPr>
            <w:tcW w:type="dxa" w:w="566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Склад, логистика или производство</w:t>
            </w:r>
          </w:p>
        </w:tc>
        <w:tc>
          <w:tcPr>
            <w:tcW w:type="dxa" w:w="113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+15</w:t>
            </w:r>
          </w:p>
        </w:tc>
        <w:tc>
          <w:tcPr>
            <w:tcW w:type="dxa" w:w="283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UF_CRM_OBJECT_TYPE</w:t>
            </w:r>
          </w:p>
        </w:tc>
      </w:tr>
      <w:tr>
        <w:trPr>
          <w:cantSplit/>
        </w:trPr>
        <w:tc>
          <w:tcPr>
            <w:tcW w:type="dxa" w:w="566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Есть действующая АПС</w:t>
            </w:r>
          </w:p>
        </w:tc>
        <w:tc>
          <w:tcPr>
            <w:tcW w:type="dxa" w:w="113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+15</w:t>
            </w:r>
          </w:p>
        </w:tc>
        <w:tc>
          <w:tcPr>
            <w:tcW w:type="dxa" w:w="283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UF_CRM_APS_EXISTS</w:t>
            </w:r>
          </w:p>
        </w:tc>
      </w:tr>
      <w:tr>
        <w:trPr>
          <w:cantSplit/>
        </w:trPr>
        <w:tc>
          <w:tcPr>
            <w:tcW w:type="dxa" w:w="566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Два объекта и более</w:t>
            </w:r>
          </w:p>
        </w:tc>
        <w:tc>
          <w:tcPr>
            <w:tcW w:type="dxa" w:w="113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+10</w:t>
            </w:r>
          </w:p>
        </w:tc>
        <w:tc>
          <w:tcPr>
            <w:tcW w:type="dxa" w:w="283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UF_CRM_OBJECT_COUNT</w:t>
            </w:r>
          </w:p>
        </w:tc>
      </w:tr>
      <w:tr>
        <w:trPr>
          <w:cantSplit/>
        </w:trPr>
        <w:tc>
          <w:tcPr>
            <w:tcW w:type="dxa" w:w="566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Контакт является техническим ЛПР</w:t>
            </w:r>
          </w:p>
        </w:tc>
        <w:tc>
          <w:tcPr>
            <w:tcW w:type="dxa" w:w="113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+10</w:t>
            </w:r>
          </w:p>
        </w:tc>
        <w:tc>
          <w:tcPr>
            <w:tcW w:type="dxa" w:w="283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UF_CRM_BUYING_ROLE</w:t>
            </w:r>
          </w:p>
        </w:tc>
      </w:tr>
      <w:tr>
        <w:trPr>
          <w:cantSplit/>
        </w:trPr>
        <w:tc>
          <w:tcPr>
            <w:tcW w:type="dxa" w:w="566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Подтверждено недовольство текущим подрядчиком</w:t>
            </w:r>
          </w:p>
        </w:tc>
        <w:tc>
          <w:tcPr>
            <w:tcW w:type="dxa" w:w="113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+10</w:t>
            </w:r>
          </w:p>
        </w:tc>
        <w:tc>
          <w:tcPr>
            <w:tcW w:type="dxa" w:w="283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UF_CRM_1790774986</w:t>
            </w:r>
          </w:p>
        </w:tc>
      </w:tr>
      <w:tr>
        <w:trPr>
          <w:cantSplit/>
        </w:trPr>
        <w:tc>
          <w:tcPr>
            <w:tcW w:type="dxa" w:w="566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Договор текущего подрядчика заканчивается в течение 90 дней</w:t>
            </w:r>
          </w:p>
        </w:tc>
        <w:tc>
          <w:tcPr>
            <w:tcW w:type="dxa" w:w="113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+10</w:t>
            </w:r>
          </w:p>
        </w:tc>
        <w:tc>
          <w:tcPr>
            <w:tcW w:type="dxa" w:w="283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UF_CRM_CURRENT_CONTRACTOR_END</w:t>
            </w:r>
          </w:p>
        </w:tc>
      </w:tr>
      <w:tr>
        <w:trPr>
          <w:cantSplit/>
        </w:trPr>
        <w:tc>
          <w:tcPr>
            <w:tcW w:type="dxa" w:w="566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Триггер — аудит или проверка</w:t>
            </w:r>
          </w:p>
        </w:tc>
        <w:tc>
          <w:tcPr>
            <w:tcW w:type="dxa" w:w="113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+5</w:t>
            </w:r>
          </w:p>
        </w:tc>
        <w:tc>
          <w:tcPr>
            <w:tcW w:type="dxa" w:w="283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UF_CRM_TRIGGER</w:t>
            </w:r>
          </w:p>
        </w:tc>
      </w:tr>
      <w:tr>
        <w:trPr>
          <w:cantSplit/>
        </w:trPr>
        <w:tc>
          <w:tcPr>
            <w:tcW w:type="dxa" w:w="566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Согласованы следующий шаг и дата</w:t>
            </w:r>
          </w:p>
        </w:tc>
        <w:tc>
          <w:tcPr>
            <w:tcW w:type="dxa" w:w="1134"/>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+5</w:t>
            </w:r>
          </w:p>
        </w:tc>
        <w:tc>
          <w:tcPr>
            <w:tcW w:type="dxa" w:w="283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UF_CRM_NEXT_STEP и UF_CRM_NEXT_STEP_DATE</w:t>
            </w:r>
          </w:p>
        </w:tc>
      </w:tr>
    </w:tbl>
    <w:p>
      <w:pPr>
        <w:pageBreakBefore w:val="0"/>
        <w:widowControl/>
      </w:pPr>
    </w:p>
    <w:p>
      <w:pPr>
        <w:pStyle w:val="ListBullet"/>
        <w:pageBreakBefore w:val="0"/>
        <w:widowControl/>
      </w:pPr>
      <w:r>
        <w:t>Пустое, неизвестное или неподтвержденное значение дает 0 баллов; отрицательные баллы не применяются.</w:t>
      </w:r>
    </w:p>
    <w:p>
      <w:pPr>
        <w:pStyle w:val="ListBullet"/>
        <w:pageBreakBefore w:val="0"/>
        <w:widowControl/>
      </w:pPr>
      <w:r>
        <w:t>Максимум — 100 баллов. Ручное изменение класса запрещено; корректировка балла руководителем требует комментария и повторного автоматического расчета.</w:t>
      </w:r>
    </w:p>
    <w:p>
      <w:pPr>
        <w:pStyle w:val="ListBullet"/>
        <w:pageBreakBefore w:val="0"/>
        <w:widowControl/>
      </w:pPr>
      <w:r>
        <w:t>При выполненном пересчете сохранять дату, инициатора и версию формулы; журнал прежнего и нового балла включить в проверку истории. Автоматическое журналирование каждой правки исходных полей пока не считать подтвержденным.</w:t>
      </w:r>
    </w:p>
    <w:p>
      <w:pPr>
        <w:pStyle w:val="ListBullet"/>
        <w:pageBreakBefore w:val="0"/>
        <w:widowControl/>
      </w:pPr>
      <w:r>
        <w:t>Техник и координатор меняют только исходные поля; UF_CRM_ICP_SCORE и UF_CRM_ICP_SEGMENT им недоступны для редактирования.</w:t>
      </w:r>
    </w:p>
    <w:p>
      <w:pPr>
        <w:pStyle w:val="Heading2"/>
        <w:keepNext/>
        <w:pageBreakBefore w:val="0"/>
        <w:widowControl/>
      </w:pPr>
      <w:r>
        <w:rPr>
          <w:color w:val="000000"/>
          <w:u w:val="none"/>
        </w:rPr>
        <w:t xml:space="preserve">22.4 Контроль качества обследования</w:t>
      </w:r>
    </w:p>
    <w:p>
      <w:pPr>
        <w:pageBreakBefore w:val="0"/>
        <w:widowControl/>
      </w:pPr>
      <w:r>
        <w:t xml:space="preserve">Качество обследования не является второй шкалой ICP. Отдельное поле UF_CRM_SURVEY_QA_STATUS не создается: статус качества определяется стадией — «Обследование назначено» (работа), «Обследование проведено — на проверке» (ожидает приемки), «Обследование принято» (принято). Переход блокируется штатной настройкой Bitrix24 «Обязательное на стадии» (механизм подтвержден проверкой портала 29.09.2026, ред. 1.19); содержательные условия таблицы ниже проверяет координатор. При неприемке карточка возвращается на «Обследование назначено» с комментарием. Исключение — закрытие по причине «Потребность не подтверждена» при заполненной причине.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rPr>
          <w:tblHeader w:val="true"/>
          <w:cantSplit/>
          <w:tblHeader/>
          <w:tblHeader/>
          <w:tblHeader/>
        </w:trPr>
        <w:tc>
          <w:tcPr>
            <w:tcW w:type="dxa" w:w="2721"/>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Проверка</w:t>
            </w:r>
          </w:p>
        </w:tc>
        <w:tc>
          <w:tcPr>
            <w:tcW w:type="dxa" w:w="6917"/>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Условие приемки</w:t>
            </w:r>
          </w:p>
        </w:tc>
      </w:tr>
      <w:tr>
        <w:trPr>
          <w:cantSplit/>
        </w:trPr>
        <w:tc>
          <w:tcPr>
            <w:tcW w:type="dxa" w:w="272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Проблема</w:t>
            </w:r>
          </w:p>
        </w:tc>
        <w:tc>
          <w:tcPr>
            <w:tcW w:type="dxa" w:w="691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Описана конкретно; общие формулировки без фактов не принимаются.</w:t>
            </w:r>
          </w:p>
        </w:tc>
      </w:tr>
      <w:tr>
        <w:trPr>
          <w:cantSplit/>
        </w:trPr>
        <w:tc>
          <w:tcPr>
            <w:tcW w:type="dxa" w:w="272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Боль клиента</w:t>
            </w:r>
          </w:p>
        </w:tc>
        <w:tc>
          <w:tcPr>
            <w:tcW w:type="dxa" w:w="691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Указаны последствия: риск, срок, расходы, проверка, простой либо неудовлетворенность подрядчиком.</w:t>
            </w:r>
          </w:p>
        </w:tc>
      </w:tr>
      <w:tr>
        <w:trPr>
          <w:cantSplit/>
        </w:trPr>
        <w:tc>
          <w:tcPr>
            <w:tcW w:type="dxa" w:w="272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Подтверждение</w:t>
            </w:r>
          </w:p>
        </w:tc>
        <w:tc>
          <w:tcPr>
            <w:tcW w:type="dxa" w:w="691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При дефекте приложено фото, акт или иной документ.</w:t>
            </w:r>
          </w:p>
        </w:tc>
      </w:tr>
      <w:tr>
        <w:trPr>
          <w:cantSplit/>
        </w:trPr>
        <w:tc>
          <w:tcPr>
            <w:tcW w:type="dxa" w:w="272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Контакт</w:t>
            </w:r>
          </w:p>
        </w:tc>
        <w:tc>
          <w:tcPr>
            <w:tcW w:type="dxa" w:w="691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Зафиксированы представитель клиента и его роль в закупке либо значение «не выяснено».</w:t>
            </w:r>
          </w:p>
        </w:tc>
      </w:tr>
      <w:tr>
        <w:trPr>
          <w:cantSplit/>
        </w:trPr>
        <w:tc>
          <w:tcPr>
            <w:tcW w:type="dxa" w:w="272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Следующий шаг</w:t>
            </w:r>
          </w:p>
        </w:tc>
        <w:tc>
          <w:tcPr>
            <w:tcW w:type="dxa" w:w="6917"/>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Указаны действие и дата либо обоснованно зафиксировано отсутствие потребности.</w:t>
            </w:r>
          </w:p>
        </w:tc>
      </w:tr>
    </w:tbl>
    <w:p>
      <w:pPr>
        <w:pageBreakBefore w:val="0"/>
        <w:widowControl/>
      </w:pPr>
    </w:p>
    <w:p>
      <w:pPr>
        <w:pStyle w:val="Heading2"/>
        <w:keepNext/>
        <w:pageBreakBefore w:val="0"/>
        <w:widowControl/>
      </w:pPr>
      <w:r>
        <w:rPr>
          <w:color w:val="000000"/>
          <w:u w:val="none"/>
        </w:rPr>
        <w:t>22.5 Учет бонусов техника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blHeader/>
          <w:tblHeader/>
        </w:trPr>
        <w:tc>
          <w:tcPr>
            <w:tcW w:type="dxa" w:w="2948"/>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Бонус</w:t>
            </w:r>
          </w:p>
        </w:tc>
        <w:tc>
          <w:tcPr>
            <w:tcW w:type="dxa" w:w="5329"/>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Условие</w:t>
            </w:r>
          </w:p>
        </w:tc>
        <w:tc>
          <w:tcPr>
            <w:tcW w:type="dxa" w:w="1361"/>
            <w:vAlign w:val="center"/>
            <w:shd w:fill="E7EBEF"/>
            <w:tcMar>
              <w:top w:w="85" w:type="dxa"/>
              <w:start w:w="110" w:type="dxa"/>
              <w:bottom w:w="85" w:type="dxa"/>
              <w:end w:w="110" w:type="dxa"/>
              <w:left w:w="85" w:type="dxa"/>
              <w:right w:w="85" w:type="dxa"/>
            </w:tcMar>
          </w:tcPr>
          <w:p>
            <w:pPr>
              <w:keepNext/>
              <w:pageBreakBefore w:val="0"/>
              <w:spacing w:after="60" w:line="252" w:lineRule="auto"/>
              <w:jc w:val="center"/>
            </w:pPr>
            <w:r>
              <w:rPr>
                <w:b/>
                <w:color w:val="000000"/>
                <w:sz w:val="17"/>
              </w:rPr>
              <w:t>Сумма</w:t>
            </w:r>
          </w:p>
        </w:tc>
      </w:tr>
      <w:tr>
        <w:trPr>
          <w:cantSplit/>
        </w:trPr>
        <w:tc>
          <w:tcPr>
            <w:tcW w:type="dxa" w:w="294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Повторная встреча с ЛПР</w:t>
            </w:r>
          </w:p>
        </w:tc>
        <w:tc>
          <w:tcPr>
            <w:tcW w:type="dxa" w:w="532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После первичной встречи согласована, назначена и фактически состоялась повторная встреча с лицом, принимающим решение; результат внесен в CRM.</w:t>
            </w:r>
          </w:p>
        </w:tc>
        <w:tc>
          <w:tcPr>
            <w:tcW w:type="dxa" w:w="136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5 000 ₸</w:t>
            </w:r>
          </w:p>
        </w:tc>
      </w:tr>
      <w:tr>
        <w:trPr>
          <w:cantSplit/>
        </w:trPr>
        <w:tc>
          <w:tcPr>
            <w:tcW w:type="dxa" w:w="294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Договор с валовой прибылью до 1 000 000 ₸ включительно</w:t>
            </w:r>
          </w:p>
        </w:tc>
        <w:tc>
          <w:tcPr>
            <w:tcW w:type="dxa" w:w="532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Договор связан с обследованием; техник указан как источник; поступила первая оплата; валовая прибыль подтверждена.</w:t>
            </w:r>
          </w:p>
        </w:tc>
        <w:tc>
          <w:tcPr>
            <w:tcW w:type="dxa" w:w="136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10 000 ₸</w:t>
            </w:r>
          </w:p>
        </w:tc>
      </w:tr>
      <w:tr>
        <w:trPr>
          <w:cantSplit/>
        </w:trPr>
        <w:tc>
          <w:tcPr>
            <w:tcW w:type="dxa" w:w="2948"/>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Договор с валовой прибылью более 1 000 000 ₸</w:t>
            </w:r>
          </w:p>
        </w:tc>
        <w:tc>
          <w:tcPr>
            <w:tcW w:type="dxa" w:w="5329"/>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Договор связан с обследованием; техник указан как источник; поступила первая оплата; валовая прибыль подтверждена.</w:t>
            </w:r>
          </w:p>
        </w:tc>
        <w:tc>
          <w:tcPr>
            <w:tcW w:type="dxa" w:w="136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17"/>
              </w:rPr>
              <w:t>20 000 ₸</w:t>
            </w:r>
          </w:p>
        </w:tc>
      </w:tr>
    </w:tbl>
    <w:p>
      <w:pPr>
        <w:pageBreakBefore w:val="0"/>
        <w:widowControl/>
      </w:pPr>
    </w:p>
    <w:p>
      <w:pPr>
        <w:pageBreakBefore w:val="0"/>
        <w:widowControl/>
      </w:pPr>
      <w:r>
        <w:t xml:space="preserve">Заполнение полей, подготовка сметы, отправка КП или получение документов сами по себе не создают бонус. Бонусы техника входят в первый релиз (ред. 1.20). Координатор вручную вносит подтвержденные сумму и дату первой оплаты, валовую прибыль, отметку повторной встречи с ЛПР и реквизиты основания. После сохранения этих данных робот рассчитывает предварительную сумму бонуса (UF_CRM_1790774951). Статусы UF_CRM_1790774987: «Не начислен», «Ожидает подтверждения», «Одобрен», «Выплачен», «Отказано». Реализация (1 октября 2026): основной бонус начисляют два робота «Изменить элемент» на стадии «Успешно реализовано» (прибыль не больше 1 000 000 ₸ — 10 000 ₸, больше — 20 000 ₸) при заполненной сумме первой оплаты и пустом статусе UF_CRM_1790774987; статус «Ожидает подтверждения». Бонус 5 000 ₸ за ЛПР ведется отдельными полями UF_CRM_1790826959 (сумма) и UF_CRM_1790826968 (статус) и не суммируется с основным; начисляют два робота: на «Согласование условий» при заполненной дате встречи с ЛПР (UF_CRM_1790774946) и на «Договор заключён»; оба срабатывают только при пустом UF_CRM_1790826968, что исключает повтор. Одобрение и выплату выполняет директор. Итоги за месяц: список «Сделки» с колонками «Ответственный инженер», суммами и статусами обоих бонусов.</w:t>
      </w:r>
    </w:p>
    <w:p>
      <w:pPr>
        <w:pStyle w:val="Heading2"/>
        <w:keepNext/>
        <w:pageBreakBefore w:val="0"/>
        <w:widowControl/>
      </w:pPr>
      <w:r>
        <w:rPr>
          <w:color w:val="000000"/>
          <w:u w:val="none"/>
        </w:rPr>
        <w:t>22.6 Роботы и критерии приемки</w:t>
      </w:r>
    </w:p>
    <w:p>
      <w:pPr>
        <w:pStyle w:val="ListBullet"/>
        <w:pageBreakBefore w:val="0"/>
        <w:widowControl/>
      </w:pPr>
      <w:r>
        <w:t>Вход на «Обследование назначено»: создать задачу координатору (исполнитель — роль «Ответственный»), который назначает техника в поле «Ответственный инженер»; срок — дата обследования, в описании ссылка на карточку и чек-лист. Реализовано 1 октября 2026.</w:t>
      </w:r>
    </w:p>
    <w:p>
      <w:pPr>
        <w:pStyle w:val="ListBullet"/>
        <w:pageBreakBefore w:val="0"/>
        <w:widowControl/>
      </w:pPr>
      <w:r>
        <w:t xml:space="preserve">Просрочка даты обследования без перехода на «на проверке» — задача координатору (робот «Ждать до даты»).</w:t>
      </w:r>
    </w:p>
    <w:p>
      <w:pPr>
        <w:pStyle w:val="ListBullet"/>
        <w:pageBreakBefore w:val="0"/>
        <w:widowControl/>
      </w:pPr>
      <w:r>
        <w:t>Вход на «Обследование проведено — на проверке»: создать задачу координатору на приемку со сроком 1 рабочий день; реализовано 1 октября 2026. При возврате на доработку — задача технику с комментарием и без дублирования активной задачи.</w:t>
      </w:r>
    </w:p>
    <w:p>
      <w:pPr>
        <w:pStyle w:val="ListBullet"/>
        <w:pageBreakBefore w:val="0"/>
        <w:widowControl/>
      </w:pPr>
      <w:r>
        <w:t>Вход на «Обследование принято»: пересчитать ICP и поставить задачу следующего шага со сроком UF_CRM_NEXT_STEP_DATE (проверено 1 октября 2026). Событие visit_done записывается сервисом crm-events в BigQuery с дедупликацией по event_id (развернуто и проверено 2 октября 2026). После «Согласование условий» координатор меняет воронку той же сделки либо продолжает разовую продажу; копия сделки не создается. Передача событий в GA4 и Google Ads остается в очереди.</w:t>
      </w:r>
    </w:p>
    <w:p>
      <w:pPr>
        <w:pStyle w:val="ListBullet"/>
        <w:pageBreakBefore w:val="0"/>
        <w:widowControl/>
      </w:pPr>
      <w:r>
        <w:t xml:space="preserve">Учет времени: на стадиях обследования интервалы не открываются; сервис п. 6.5 работает только в воронке «Обслуживание текущих клиентов».</w:t>
      </w:r>
    </w:p>
    <w:p>
      <w:pPr>
        <w:pStyle w:val="ListBullet"/>
        <w:pageBreakBefore w:val="0"/>
        <w:widowControl/>
      </w:pPr>
      <w:r>
        <w:t xml:space="preserve">Не допускать повторного бонуса по одной встрече или одному договору; ключи: DEAL_ID + BONUS_TYPE + EVENT_ID.</w:t>
      </w:r>
    </w:p>
    <w:p>
      <w:pPr>
        <w:pStyle w:val="ListBullet"/>
        <w:pageBreakBefore w:val="0"/>
        <w:widowControl/>
      </w:pPr>
      <w:r>
        <w:t xml:space="preserve">Начислять договорный бонус только после первой оплаты и подтверждения UF_CRM_GROSS_PROFIT; при изменении данных пересчитывать сумму заново.</w:t>
      </w:r>
    </w:p>
    <w:p>
      <w:pPr>
        <w:pStyle w:val="ListBullet"/>
        <w:pageBreakBefore w:val="0"/>
        <w:widowControl/>
      </w:pPr>
      <w:r>
        <w:t xml:space="preserve">Тест 30. Сделку нельзя перевести на «Обследование назначено» без инженера, даты, типа объекта и адреса; после перевода технику создается ровно одна задача.</w:t>
      </w:r>
    </w:p>
    <w:p>
      <w:pPr>
        <w:pStyle w:val="ListBullet"/>
        <w:pageBreakBefore w:val="0"/>
        <w:widowControl/>
      </w:pPr>
      <w:r>
        <w:t xml:space="preserve">Тест 31. Техник с телефона не может перевести карточку на «проведено — на проверке» без обязательных полей; при дефекте требуется файл; координатор получает одну задачу на приемку.</w:t>
      </w:r>
    </w:p>
    <w:p>
      <w:pPr>
        <w:pStyle w:val="ListBullet"/>
        <w:pageBreakBefore w:val="0"/>
        <w:widowControl/>
      </w:pPr>
      <w:r>
        <w:t>Тест 32. Возврат карточки на «назначено» создает технику задачу с комментарием; повторный перевод не создает дублей. Статус на 1 октября 2026: пройден — робот «Завершить задачу» на стадии «на проверке» закрывает задачу «Провести обследование», при возврате на «назначено» создается одна активная задача (задача приемки остается открытой и закрывается координатором).</w:t>
      </w:r>
    </w:p>
    <w:p>
      <w:pPr>
        <w:pStyle w:val="ListBullet"/>
        <w:pageBreakBefore w:val="0"/>
        <w:widowControl/>
      </w:pPr>
      <w:r>
        <w:t>Тест 33. Приемка заново рассчитывает ICP, создает следующий шаг по UF_CRM_NEXT_STEP_DATE и фиксирует visit_done один раз по event_id. При последующей смене воронки координатором сохраняется ID сделки и ее данные; копия продажи не создается. Статус по документам на 2 октября 2026: пройден в указанном объеме; доставка события в GA4/Ads проверяется отдельно.</w:t>
      </w:r>
      <w:r>
        <w:rPr>
          <w:rStyle w:val="CommentReference"/>
        </w:rPr>
      </w:r>
    </w:p>
    <w:p>
      <w:pPr>
        <w:pStyle w:val="ListBullet"/>
        <w:pageBreakBefore w:val="0"/>
        <w:widowControl/>
      </w:pPr>
      <w:r>
        <w:t xml:space="preserve">Тест 34. Бонус техника создается один раз по ключу DEAL_ID + BONUS_TYPE + EVENT_ID и только после первой оплаты и подтвержденной валовой прибыли; время обследования в BI не попадает.</w:t>
      </w:r>
    </w:p>
    <w:p>
      <w:pPr>
        <w:pStyle w:val="Heading2"/>
        <w:keepNext/>
        <w:pageBreakBefore w:val="0"/>
        <w:widowControl/>
      </w:pPr>
      <w:r>
        <w:rPr>
          <w:color w:val="000000"/>
          <w:u w:val="none"/>
        </w:rPr>
        <w:t xml:space="preserve">22.7 Утвержденные решения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blHeader/>
          <w:tblHeader/>
        </w:trPr>
        <w:tc>
          <w:tcPr>
            <w:tcW w:type="dxa" w:w="2381"/>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 xml:space="preserve">Вопрос</w:t>
            </w:r>
          </w:p>
        </w:tc>
        <w:tc>
          <w:tcPr>
            <w:tcW w:type="dxa" w:w="3515"/>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 xml:space="preserve">Утвержденное решение</w:t>
            </w:r>
          </w:p>
        </w:tc>
        <w:tc>
          <w:tcPr>
            <w:tcW w:type="dxa" w:w="3742"/>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 xml:space="preserve">Реализация</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Место обследования</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Обследование встраивается в Общую воронку тремя стадиями.</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Отдельная воронка обследований не используется для новых сделок; исторические записи сохраняются до миграции.</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Роль Общей воронки</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Общая воронка выполняет первичную квалификацию.</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После обследования координатор переводит ту же карточку в выбранную воронку либо продолжает разовую продажу. Новая профильная сделка не создается.</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Блокировка перехода</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Используется штатная настройка «Обязательное на стадии»; поле статуса качества заменено стадиями.</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Сделка не переходит на «проведено» и «принято» без обязательных полей стадии; приемку выполняет координатор.</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Кто переводит карточку</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Техник переводит сделку на «на проверке» с мобильного приложения.</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Обязательные поля стадии проверяются при переходе; координатор принимает или возвращает.</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Учет времени</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Время на обследование не учитывается.</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Человеко-часы считаются только в воронке «Обслуживание текущих клиентов» (п. 6.5).</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Данные для бонуса</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Бонусы техника входят в первый релиз; координатор вводит подтвержденные данные вручную.</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 xml:space="preserve">Координатор вводит сумму первой оплаты, валовую прибыль, отметку встречи с ЛПР и основание; робот определяет размер бонуса и статус «Ожидает подтверждения».</w:t>
            </w:r>
          </w:p>
        </w:tc>
      </w:tr>
    </w:tbl>
    <w:p>
      <w:pPr>
        <w:pageBreakBefore w:val="0"/>
        <w:widowControl/>
      </w:pPr>
    </w:p>
    <w:p>
      <w:pPr>
        <w:pStyle w:val="Heading2"/>
        <w:pageBreakBefore w:val="0"/>
        <w:widowControl/>
      </w:pPr>
      <w:r>
        <w:rPr>
          <w:color w:val="000000"/>
          <w:u w:val="none"/>
        </w:rPr>
        <w:t>22.8 Фактическая реализация по документам на 2 октября 2026</w:t>
      </w:r>
    </w:p>
    <w:p>
      <w:pPr>
        <w:pageBreakBefore w:val="0"/>
        <w:widowControl/>
      </w:pPr>
      <w:r>
        <w:t>Раздел фиксирует, что настроено на портале pozharnikkz.bitrix24.kz и как проверено на тестовых сделках. Тестовые сделки и задачи удаляет заказчик.</w:t>
      </w:r>
    </w:p>
    <w:p>
      <w:pPr>
        <w:pStyle w:val="Heading2"/>
        <w:pageBreakBefore w:val="0"/>
        <w:widowControl/>
      </w:pPr>
      <w:r>
        <w:rPr>
          <w:color w:val="000000"/>
          <w:u w:val="none"/>
        </w:rPr>
        <w:t>22.8.1 Обязательность полей</w:t>
      </w:r>
    </w:p>
    <w:p>
      <w:pPr>
        <w:pStyle w:val="ListBullet"/>
        <w:pageBreakBefore w:val="0"/>
        <w:widowControl/>
      </w:pPr>
      <w:r>
        <w:t>Общая обязательность снята с семи полей: UF_CRM_BUYING_ROLE, UF_CRM_OBJECT_COUNT, UF_CRM_CURRENT_CONTRACTOR_END, UF_CRM_TRIGGER, UF_CRM_NEXT_STEP, UF_CRM_NEXT_STEP_DATE, UF_CRM_OBJECT_AREA. Рабочий сайт создаёт сделку напрямую без этих обследовательских данных; координатор и техник заполняют их на соответствующих стадиях. Для отдельного канала с Лидом действуют те же правила при конвертации.</w:t>
      </w:r>
    </w:p>
    <w:p>
      <w:pPr>
        <w:pStyle w:val="ListBullet"/>
        <w:pageBreakBefore w:val="0"/>
        <w:widowControl/>
      </w:pPr>
      <w:r>
        <w:t>Для этих полей включено «Обязательное на стадии»: «Обследование принято», «Согласование условий», «Счёт / договор отправлен», «Договор заключён», «Успешно реализовано». Проигранные стадии не затронуты, поэтому закрыть сделку с отказом можно без заполнения. Цель сохранена: ICP считается по заполненным данным.</w:t>
      </w:r>
    </w:p>
    <w:p>
      <w:pPr>
        <w:pStyle w:val="ListBullet"/>
        <w:pageBreakBefore w:val="0"/>
        <w:widowControl/>
      </w:pPr>
      <w:r>
        <w:t>Настройка действует в виде карточки «Рабочая карточка — все воронки кроме текущего обслуживания» (ID 2). Если появятся другие виды карточки, «Обязательное на стадии» включается в каждом отдельно.</w:t>
      </w:r>
    </w:p>
    <w:p>
      <w:pPr>
        <w:pStyle w:val="ListBullet"/>
        <w:pageBreakBefore w:val="0"/>
        <w:widowControl/>
      </w:pPr>
      <w:r>
        <w:t>Проверка: сделка создается без этих полей; перевод на «Обследование принято» блокируется, пока не заполнены 14 полей — ответственный инженер, дата и время обследования, тип объекта, проблема, результат обследования, недовольство подрядчиком, боль и семь полей ICP.</w:t>
      </w:r>
    </w:p>
    <w:p>
      <w:pPr>
        <w:pStyle w:val="Heading2"/>
        <w:pageBreakBefore w:val="0"/>
        <w:widowControl/>
      </w:pPr>
      <w:r>
        <w:rPr>
          <w:color w:val="000000"/>
          <w:u w:val="none"/>
        </w:rPr>
        <w:t>22.8.2 Роботы и поля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blHeader/>
          <w:tblHeader/>
        </w:trPr>
        <w:tc>
          <w:tcPr>
            <w:tcW w:type="dxa" w:w="2381"/>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Элемент</w:t>
            </w:r>
          </w:p>
        </w:tc>
        <w:tc>
          <w:tcPr>
            <w:tcW w:type="dxa" w:w="3515"/>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Реализация</w:t>
            </w:r>
          </w:p>
        </w:tc>
        <w:tc>
          <w:tcPr>
            <w:tcW w:type="dxa" w:w="3742"/>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Статус</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Стадия «Обследование назначено»</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Робот «Поставить задачу» «Провести обследование: {Название}»; исполнитель — роль «Ответственный» (координатор), который назначает техника; срок — «Дата и время обследования».</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Работает; ровно одна задача при первом входе</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Стадия «Обследование проведено — на проверке»</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Робот «Принять обследование: {Название}»; исполнитель — «Ответственный»; очередь «Независимо от других роботов», так как перед ним в стадии стоит старый робот с задержкой; срок — 1 рабочий день (формула workdateadd).</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Работает; срок 1 рабочий день</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Основной бонус техника</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На «Успешно реализовано» два робота «Изменить элемент»: валовая прибыль не больше 1 000 000 ₸ — 10 000 ₸, больше — 20 000 ₸; условия: сумма первой оплаты заполнена, статус бонуса пуст; результат — UF_CRM_1790774951 и статус «Ожидает подтверждения» (UF_CRM_1790774987).</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Проверено оба варианта и идемпотентность</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Бонус за ЛПР 5 000 ₸</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Отдельные поля UF_CRM_1790826959 (сумма) и UF_CRM_1790826968 (статус: Не начислен, Ожидает подтверждения, Одобрен, Выплачен, Отказано). Роботы на «Согласование условий» (при заполненной дате повторной встречи с ЛПР UF_CRM_1790774946) и на «Договор заключён»; срабатывают только при пустом статусе.</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Проверено; повторного начисления нет. Поля выведены в карточку 1 октября 2026.</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Месячные итоги бонусов</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В списке «Сделки» настроены «Ответственный инженер», суммы и статусы обоих бонусов; фильтр «Бонусы техников: месяц» использует дату первой оплаты.</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Работает</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Старые поля</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UF_CRM_SERVICE_SCHEDULE_DATE и дублирующие поля «Контроль качества» удалены 2 октября 2026. Дата планового ТО — UF_CRM_NEXT_SERVICE_DATE; качество обследования определяется стадией.</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Выполнено по документам</w:t>
            </w:r>
          </w:p>
        </w:tc>
      </w:tr>
    </w:tbl>
    <w:p>
      <w:pPr>
        <w:pageBreakBefore w:val="0"/>
        <w:widowControl/>
      </w:pPr>
    </w:p>
    <w:p>
      <w:pPr>
        <w:pStyle w:val="ListBullet"/>
        <w:pageBreakBefore w:val="0"/>
        <w:widowControl/>
      </w:pPr>
      <w:r>
        <w:t>Триггеры «Пересчёт ICP при изменении полей» (7 штук, Общая воронка) удалены 1 октября 2026. Триггер FIELD_CHANGED с запретом возврата переводит сделку на свою стадию при любой правке подвязанных полей, поэтому сделка перепрыгивала вперед мимо «Обязательное на стадии». Теперь ICP пересчитывается роботами только при входе на стадию (в том числе перед приемкой); при правке полей на той же стадии балл обновляется при следующем переводе. Пересчет при правке без смены стадии, если потребуется, выполняется вебхуком Cloud Run. Обязательное правило: триггеры «изменение поля» для пересчета в воронке обследования не использовать.</w:t>
      </w:r>
    </w:p>
    <w:p>
      <w:pPr>
        <w:pStyle w:val="Heading2"/>
        <w:pageBreakBefore w:val="0"/>
        <w:widowControl/>
      </w:pPr>
      <w:r>
        <w:rPr>
          <w:color w:val="000000"/>
          <w:u w:val="none"/>
        </w:rPr>
        <w:t>22.8.3 Результаты тестов раздела 22.6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blHeader/>
          <w:tblHeader/>
        </w:trPr>
        <w:tc>
          <w:tcPr>
            <w:tcW w:type="dxa" w:w="2381"/>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Тест</w:t>
            </w:r>
          </w:p>
        </w:tc>
        <w:tc>
          <w:tcPr>
            <w:tcW w:type="dxa" w:w="3515"/>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Результат</w:t>
            </w:r>
          </w:p>
        </w:tc>
        <w:tc>
          <w:tcPr>
            <w:tcW w:type="dxa" w:w="3742"/>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Комментарий</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30. Блокировка «назначено», одна задача</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Пройден</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Блокировка проверена, создана одна задача</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31. Блокировка «на проверке», одна задача приемки</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Пройден</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После смены очереди на «Независимо» робот срабатывает</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32. Возврат на доработку без дублей</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Пройден</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Робот «Завершить задачу» на «на проверке» закрывает прежнюю задачу; повторный вход не создает дублей</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33. Приемка ICP, следующий шаг и visit_done</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Пройден по документам</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ICP и следующий шаг проверены 1 октября; запись visit_done и дедупликация — 2 октября. Смена воронки той же сделки координатором; доставка в GA4/Ads отдельно.</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34. Бонус один раз, после первой оплаты</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Пройден</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Основной бонус и бонус за ЛПР; повторный запуск не меняет сумму</w:t>
            </w:r>
          </w:p>
        </w:tc>
      </w:tr>
    </w:tbl>
    <w:p>
      <w:pPr>
        <w:pageBreakBefore w:val="0"/>
        <w:widowControl/>
      </w:pPr>
    </w:p>
    <w:p>
      <w:pPr>
        <w:pStyle w:val="Heading1"/>
        <w:pageBreakBefore w:val="0"/>
        <w:widowControl/>
      </w:pPr>
      <w:r>
        <w:rPr>
          <w:color w:val="000000"/>
          <w:u w:val="none"/>
        </w:rPr>
        <w:t>23 Связь настройки Bitrix24 с Медиапланом v4.3</w:t>
      </w:r>
    </w:p>
    <w:p>
      <w:pPr>
        <w:pageBreakBefore w:val="0"/>
        <w:widowControl/>
      </w:pPr>
      <w:r>
        <w:t>Раздел сохраняет привязку к этапам 0–9 и исходному 90-дневному графику Медиаплана v4.3. Это этапы медиаплана, а не этапы внедрения Bitrix24: для CRM действует двухэтапный порядок раздела 14. Недели ниже — исходные ориентиры, фактические сроки исполнитель уточняет по готовности страниц и данных. Рекламу подключать после сквозной проверки «форма → обращение в CRM → обследование → расчет» без потери атрибуции и дублей. Рабочий сайт создает сделки напрямую; промежуточный Лид не обязателен.</w:t>
      </w:r>
    </w:p>
    <w:p>
      <w:pPr>
        <w:pStyle w:val="Heading2"/>
        <w:pageBreakBefore w:val="0"/>
        <w:widowControl/>
      </w:pPr>
      <w:r>
        <w:rPr>
          <w:color w:val="000000"/>
          <w:u w:val="none"/>
        </w:rPr>
        <w:t>23.1 Сделано к 1 октября 2026 (Этап 0, неделя 1)</w:t>
      </w:r>
    </w:p>
    <w:p>
      <w:pPr>
        <w:pStyle w:val="ListBullet"/>
        <w:pageBreakBefore w:val="0"/>
        <w:widowControl/>
      </w:pPr>
      <w:r>
        <w:t>Три стадии обследования в Общей воронке, роботы задач координатору, обязательные поля на стадиях.</w:t>
      </w:r>
    </w:p>
    <w:p>
      <w:pPr>
        <w:pStyle w:val="ListBullet"/>
        <w:pageBreakBefore w:val="0"/>
        <w:widowControl/>
      </w:pPr>
      <w:r>
        <w:t>Поля ICP, обследования и бонусов с каноническими кодами; ICP-поля обязательны на стадии, а не при создании.</w:t>
      </w:r>
    </w:p>
    <w:p>
      <w:pPr>
        <w:pStyle w:val="ListBullet"/>
        <w:pageBreakBefore w:val="0"/>
        <w:widowControl/>
      </w:pPr>
      <w:r>
        <w:t>Бонусы техника (основной и за ЛПР), статусы, месячный список с фильтром.</w:t>
      </w:r>
    </w:p>
    <w:p>
      <w:pPr>
        <w:pStyle w:val="ListBullet"/>
        <w:pageBreakBefore w:val="0"/>
        <w:widowControl/>
      </w:pPr>
      <w:r>
        <w:t>Определения «состоявшийся выезд», «персональный расчет» и «квалифицированное обращение» зафиксированы в Медиаплане (п. 12); в Bitrix24 состоявшимся выездом считается дата и время обследования (UF_CRM_1788952307) при переходе сделки на «Обследование принято».</w:t>
      </w:r>
    </w:p>
    <w:p>
      <w:pPr>
        <w:pStyle w:val="Heading2"/>
        <w:pageBreakBefore w:val="0"/>
        <w:widowControl/>
      </w:pPr>
      <w:r>
        <w:rPr>
          <w:color w:val="000000"/>
          <w:u w:val="none"/>
        </w:rPr>
        <w:t>23.2 Ближайшие доработки обследования (Этап 0, неделя 1–2)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blHeader/>
          <w:tblHeader/>
        </w:trPr>
        <w:tc>
          <w:tcPr>
            <w:tcW w:type="dxa" w:w="2381"/>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w:t>
            </w:r>
          </w:p>
        </w:tc>
        <w:tc>
          <w:tcPr>
            <w:tcW w:type="dxa" w:w="3515"/>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Задача</w:t>
            </w:r>
          </w:p>
        </w:tc>
        <w:tc>
          <w:tcPr>
            <w:tcW w:type="dxa" w:w="3742"/>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Критерий готовности</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1</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Робот «Завершить задачу» на входе в «Обследование назначено» перед созданием новой задачи (устранение дублей). Реализовано 1 октября 2026.</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Тест 32 пройден</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2</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Срок задачи «Принять обследование» — 1 рабочий день (отдельный робот с «Ждать до» либо срок в шаблоне). Реализовано 1 октября 2026.</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Задача имеет срок; просроченные видны в списке задач</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3</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rFonts w:ascii="Arial" w:hAnsi="Arial"/>
                <w:color w:val="000000"/>
                <w:sz w:val="18"/>
              </w:rPr>
              <w:t>На «Обследование принято» пересчитать ICP, поставить следующий шаг и зафиксировать visit_done один раз по event_id. Реализовано по документам на 2 октября 2026: crm-events развернут, вебхуки ключевых стадий пишут в BigQuery. Координатор меняет воронку той же сделки; копирования продажи нет.</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Тест 33 пройден</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4</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Вынести в карточку блок «Бонус за ЛПР» (UF_CRM_1790826959, UF_CRM_1790826968) и добавить в список колонки сумм и статусов обоих бонусов. Реализовано 1 октября 2026: поля в секции «Информация об объекте», колонки уже были в списке.</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Директор видит все бонусы месяца в одном списке</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5</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rFonts w:ascii="Arial" w:hAnsi="Arial"/>
                <w:color w:val="000000"/>
                <w:sz w:val="18"/>
              </w:rPr>
              <w:t>Вывести из использования UF_CRM_SERVICE_SCHEDULE_DATE и дублирующие поля «Контроль качества». Реализовано 2 октября 2026: поля удалены из CRM.</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Один источник даты и качества</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6</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rFonts w:ascii="Arial" w:hAnsi="Arial"/>
                <w:color w:val="000000"/>
                <w:sz w:val="18"/>
              </w:rPr>
              <w:t>Обновить ТЗ и инструкцию координатору и технику. Реализовано 2 октября 2026: памятка добавлена в репозиторий в форматах Markdown и Word.</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Пилотное обследование проходит по инструкции</w:t>
            </w:r>
          </w:p>
        </w:tc>
      </w:tr>
    </w:tbl>
    <w:p>
      <w:pPr>
        <w:pageBreakBefore w:val="0"/>
        <w:widowControl/>
      </w:pPr>
    </w:p>
    <w:p>
      <w:pPr>
        <w:pStyle w:val="Heading2"/>
        <w:pageBreakBefore w:val="0"/>
        <w:widowControl/>
      </w:pPr>
      <w:r>
        <w:rPr>
          <w:color w:val="000000"/>
        </w:rPr>
        <w:t>23.3 Атрибуция и прямой вход сделки</w:t>
      </w:r>
    </w:p>
    <w:p>
      <w:pPr>
        <w:pStyle w:val="ListBullet"/>
        <w:pageBreakBefore w:val="0"/>
        <w:widowControl/>
      </w:pPr>
      <w:r>
        <w:t>Поля Лида и Сделки: UTM source/medium/campaign/content/term, landing page, referrer, GCLID, GBRAID, WBRAID, GA4 client_id; first-touch и last-touch отдельно, first-touch не перезаписывается (п. 4.2 и 18.2 ТЗ).</w:t>
      </w:r>
    </w:p>
    <w:p>
      <w:pPr>
        <w:pStyle w:val="ListBullet"/>
        <w:pageBreakBefore w:val="0"/>
        <w:widowControl/>
      </w:pPr>
      <w:r>
        <w:t>Рабочий поток сайта — Cloud Run tilda-webhook-to-bigquery с crm.deal.add. Netlify lead.js — резервный контур; передача first-touch/last-touch, click ID, GA4 client_id, landing и referrer в нем реализована. Не заменять действующий поток ради обязательного создания Лида. Перед запуском страницы проверить фактическое заполнение канонических полей в рабочем потоке.</w:t>
      </w:r>
      <w:r>
        <w:rPr>
          <w:rStyle w:val="CommentReference"/>
        </w:rPr>
      </w:r>
    </w:p>
    <w:p>
      <w:pPr>
        <w:pStyle w:val="ListBullet"/>
        <w:pageBreakBefore w:val="0"/>
        <w:widowControl/>
      </w:pPr>
      <w:r>
        <w:t>Если отдельный канал использует Лиды, проверить сохранение атрибуции, услуги, ICP-типа и комментария при конвертации. Для прямой сделки проверить эти данные при создании. Обращение и его переходы не должны повторно увеличивать число первичных обращений.</w:t>
      </w:r>
    </w:p>
    <w:p>
      <w:pPr>
        <w:pStyle w:val="ListBullet"/>
        <w:pageBreakBefore w:val="0"/>
        <w:widowControl/>
      </w:pPr>
      <w:r>
        <w:t>Справочники: источник, услуга, триггер, тип объекта, отрасль и сценарий обработки (Авария, Новый объект, Регулярное обслуживание, Проверка, Отдельная услуга, Прогрев). UF_CRM_SERVICE_TYPE в действующем портале имеет ярлык «Категория обращения» и хранит услугу, например «Пожарный аудит». Не записывать в него одновременно сценарий и услугу: карту фактических полей и код отдельного сценария подтвердить до настройки.</w:t>
      </w:r>
      <w:r>
        <w:rPr>
          <w:rStyle w:val="CommentReference"/>
        </w:rPr>
      </w:r>
    </w:p>
    <w:p>
      <w:pPr>
        <w:pStyle w:val="ListBullet"/>
        <w:pageBreakBefore w:val="0"/>
        <w:widowControl/>
      </w:pPr>
      <w:r>
        <w:t>Критерий: контрольное обращение из каждой готовой формы поступает в CRM, проходит до обследования и расчета; данные и первая атрибуция сохраняются, повторная доставка не создает дубли компаний, контактов и событий.</w:t>
      </w:r>
    </w:p>
    <w:p>
      <w:pPr>
        <w:pStyle w:val="Heading2"/>
        <w:pageBreakBefore w:val="0"/>
        <w:widowControl/>
      </w:pPr>
      <w:r>
        <w:rPr>
          <w:color w:val="000000"/>
          <w:u w:val="none"/>
        </w:rPr>
        <w:t>23.4 Этап 1: основные конверсионные страницы (недели 2–6)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blHeader/>
          <w:tblHeader/>
        </w:trPr>
        <w:tc>
          <w:tcPr>
            <w:tcW w:type="dxa" w:w="2381"/>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Страница Медиаплана</w:t>
            </w:r>
          </w:p>
        </w:tc>
        <w:tc>
          <w:tcPr>
            <w:tcW w:type="dxa" w:w="3515"/>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Настройка Bitrix24</w:t>
            </w:r>
          </w:p>
        </w:tc>
        <w:tc>
          <w:tcPr>
            <w:tcW w:type="dxa" w:w="3742"/>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Критерий готовности</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/obsluzhivanie/, /smena-podryadchika/ (неделя 3)</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rPr>
              <w:t>Сценарий «Регулярное обслуживание» хранится отдельно от услуги в UF_CRM_SERVICE_TYPE. Задача квалификации с SLA 30 минут в рабочее время; предложение обследования; поля ТО по карте портала.</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rPr>
              <w:t>Форма создаёт прямую сделку с каноническими данными; SLA-задача появляется.</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/montazh/ (неделя 4)</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rPr>
              <w:t>Сценарий «Новый объект» отдельно от услуги; SLA 30 минут; дата открытия, площадь и проект; поля монтажа и воронка 6.2.</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rPr>
              <w:t>Прямая сделка из калькулятора сохраняет исходную услугу и параметры расчёта.</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/srabotka/ (неделя 5)</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rPr>
              <w:t>Сценарий «Авария» отдельно от услуги; SLA 30 минут в рабочее время; срочная задача и уведомление дежурному; звонок/WhatsApp фиксируются как обращения.</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Срочная задача создается за секунды, SLA виден в списке</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/audit/ (неделя 6)</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rPr>
              <w:t>Услуга «Пожарный аудит» для fire_audit в UF_CRM_SERVICE_TYPE; сценарий «Проверка» — отдельный атрибут. Уточнить дату проверки и назначить выезд; далее раздел 22.</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Назначенный выезд проходит по процессу раздела 22</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Калькуляторы /kalkulyatory/…</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Поля «Сумма расчета», «Дата отправки расчета» (персональный расчет); отметка «расчет ориентировочный / персональный»; автоматическая общая вилка в метрику не входит.</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Персональные расчеты считаются только при идентифицированном клиенте</w:t>
            </w:r>
          </w:p>
        </w:tc>
      </w:tr>
    </w:tbl>
    <w:p>
      <w:pPr>
        <w:pageBreakBefore w:val="0"/>
        <w:widowControl/>
      </w:pPr>
    </w:p>
    <w:p>
      <w:pPr>
        <w:pStyle w:val="ListBullet"/>
        <w:pageBreakBefore w:val="0"/>
        <w:widowControl/>
      </w:pPr>
      <w:r>
        <w:t>CRM хранит все промежуточные события, но для ставок передаёт только contract_won как Primary. Единственная основная конверсия Google Ads — contract_won из CRM по факту заключения договора, с фактической датой заключения. Форма, квалификация, назначение и проведение выезда, КП, счёт, оплата и завершение работ — Secondary и не включаются в цели кампании для ставок, включая custom goals. Начало обучения рекламы — после 10 уникальных подтверждённых contract_won, успешно переданных в Google Ads; промежуточные стадии в этот порог не входят.</w:t>
      </w:r>
    </w:p>
    <w:p>
      <w:pPr>
        <w:pStyle w:val="ListBullet"/>
        <w:pageBreakBefore w:val="0"/>
        <w:widowControl/>
      </w:pPr>
      <w:r>
        <w:t>Performance Max не включается, пока не работает импорт офлайн-конверсий из Bitrix24 (Медиаплан, п. 10).</w:t>
      </w:r>
    </w:p>
    <w:p>
      <w:pPr>
        <w:pStyle w:val="ListBullet"/>
        <w:pageBreakBefore w:val="0"/>
        <w:widowControl/>
      </w:pPr>
      <w:r>
        <w:t>Реклама на страницу запускается только после проверки цепочки лида на этой странице.</w:t>
      </w:r>
    </w:p>
    <w:p>
      <w:pPr>
        <w:pStyle w:val="Heading2"/>
        <w:pageBreakBefore w:val="0"/>
        <w:widowControl/>
      </w:pPr>
      <w:r>
        <w:rPr>
          <w:color w:val="000000"/>
          <w:u w:val="none"/>
        </w:rPr>
        <w:t>23.5 Этап 2–3: входные продукты, кейсы (недели 7–9)</w:t>
      </w:r>
    </w:p>
    <w:p>
      <w:pPr>
        <w:pStyle w:val="ListBullet"/>
        <w:pageBreakBefore w:val="0"/>
        <w:widowControl/>
      </w:pPr>
      <w:r>
        <w:t>Категория «Отдельная услуга» для /perezaryadka-ognetushiteley/ и /plany-evakuacii/: SLA 30 минут в рабочее время, подтверждение количества и отправка счета или расчета; быстрые товары и счета.</w:t>
      </w:r>
    </w:p>
    <w:p>
      <w:pPr>
        <w:pStyle w:val="ListBullet"/>
        <w:pageBreakBefore w:val="0"/>
        <w:widowControl/>
      </w:pPr>
      <w:r>
        <w:t>Поля для расчета: тип и количество огнетушителей, дата последней перезарядки, доставка; количество этажей и планов, наличие исходников, материал.</w:t>
      </w:r>
    </w:p>
    <w:p>
      <w:pPr>
        <w:pStyle w:val="ListBullet"/>
        <w:pageBreakBefore w:val="0"/>
        <w:widowControl/>
      </w:pPr>
      <w:r>
        <w:t>Кейсы: поле «Страница-источник» в сделке для оценки ассистирующих конверсий; список клиентов для первых пяти кейсов с согласием на публикацию.</w:t>
      </w:r>
    </w:p>
    <w:p>
      <w:pPr>
        <w:pStyle w:val="Heading2"/>
        <w:pageBreakBefore w:val="0"/>
        <w:widowControl/>
      </w:pPr>
      <w:r>
        <w:rPr>
          <w:color w:val="000000"/>
          <w:u w:val="none"/>
        </w:rPr>
        <w:t>23.6 Этапы 4–5: SEO и документы-магниты (недели 10–11)</w:t>
      </w:r>
    </w:p>
    <w:p>
      <w:pPr>
        <w:pStyle w:val="ListBullet"/>
        <w:pageBreakBefore w:val="0"/>
        <w:widowControl/>
      </w:pPr>
      <w:r>
        <w:t>Во всех формах лид-магнитов обязательно поле «Город / Регион объекта» без предвыбранного значения: Алматы, Алматинская область, Другой регион; для последнего — название региона. Регион относится к объекту, IP его не заменяет. Документ выдаётся автоматически всем. Other_region хранится отдельно в аналитике и CRM без передачи в продажи, задач менеджеру и продажных уведомлений. Для учёта использовать доступную модель CRM и канонические поля, без обязательного смарт-процесса или бизнес-процесса. Сервер проверяет геосегмент и sales_eligible; скрытому полю браузера не доверять. Идентифицированное скачивание передаёт название документа, источник, организацию, должность и объект. Анонимное скачивание само по себе не создаёт продажную сделку.</w:t>
      </w:r>
    </w:p>
    <w:p>
      <w:pPr>
        <w:pStyle w:val="ListBullet"/>
        <w:pageBreakBefore w:val="0"/>
        <w:widowControl/>
      </w:pPr>
      <w:r>
        <w:t>Определение роли контакта (ЛПР / влияющий / procurement / технический) при первом контакте; робот задачи «определить должность и наличие объекта».</w:t>
      </w:r>
    </w:p>
    <w:p>
      <w:pPr>
        <w:pStyle w:val="ListBullet"/>
        <w:pageBreakBefore w:val="0"/>
        <w:widowControl/>
      </w:pPr>
      <w:r>
        <w:t>Отчет «Лиды по посадочной» для SEO: показы и клики из Search Console, лиды и выезды из CRM (после 8 недель данных).</w:t>
      </w:r>
    </w:p>
    <w:p>
      <w:pPr>
        <w:pStyle w:val="Heading2"/>
        <w:pageBreakBefore w:val="0"/>
        <w:widowControl/>
      </w:pPr>
      <w:r>
        <w:rPr>
          <w:color w:val="000000"/>
          <w:u w:val="none"/>
        </w:rPr>
        <w:t>23.7 Этапы 6–9: отрасли, дополнительные услуги, пакеты, служебные страницы</w:t>
      </w:r>
    </w:p>
    <w:p>
      <w:pPr>
        <w:pStyle w:val="ListBullet"/>
        <w:pageBreakBefore w:val="0"/>
        <w:widowControl/>
      </w:pPr>
      <w:r>
        <w:t>Справочник отраслей и приоритет ICP по отрасли; воронка «Проектирование» и дополнительные услуги (огнезащита, пожарные краны, ЗСИ) подключаются после проверки экономики.</w:t>
      </w:r>
    </w:p>
    <w:p>
      <w:pPr>
        <w:pStyle w:val="ListBullet"/>
        <w:pageBreakBefore w:val="0"/>
        <w:widowControl/>
      </w:pPr>
      <w:r>
        <w:t>Пакеты Контроль, Защита, Премиум: каталог товаров и услуг, MRR и срок договора в сделке, КП из каталога; выигранная сделка запускает воронку «Обслуживание текущих клиентов» и три вида ТО (разделы 6.1 и 6.4).</w:t>
      </w:r>
    </w:p>
    <w:p>
      <w:pPr>
        <w:pStyle w:val="ListBullet"/>
        <w:pageBreakBefore w:val="0"/>
        <w:widowControl/>
      </w:pPr>
      <w:r>
        <w:t>Служебные страницы (/privacy/, /terms/, страницы успешной отправки): проверка согласий и отсутствия персональных данных в параметрах URL.</w:t>
      </w:r>
    </w:p>
    <w:p>
      <w:pPr>
        <w:pStyle w:val="Heading2"/>
        <w:pageBreakBefore w:val="0"/>
        <w:widowControl/>
      </w:pPr>
      <w:r>
        <w:rPr>
          <w:color w:val="000000"/>
          <w:u w:val="none"/>
        </w:rPr>
        <w:t>23.8 Сквозные работы (параллельно, недели 1–12)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cantSplit/>
          <w:tblHeader/>
          <w:tblHeader/>
          <w:tblHeader/>
        </w:trPr>
        <w:tc>
          <w:tcPr>
            <w:tcW w:type="dxa" w:w="2381"/>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Блок</w:t>
            </w:r>
          </w:p>
        </w:tc>
        <w:tc>
          <w:tcPr>
            <w:tcW w:type="dxa" w:w="3515"/>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Содержание</w:t>
            </w:r>
          </w:p>
        </w:tc>
        <w:tc>
          <w:tcPr>
            <w:tcW w:type="dxa" w:w="3742"/>
            <w:vAlign w:val="center"/>
            <w:shd w:fill="E7EBEF"/>
            <w:tcMar>
              <w:top w:w="85" w:type="dxa"/>
              <w:start w:w="110" w:type="dxa"/>
              <w:bottom w:w="85" w:type="dxa"/>
              <w:end w:w="110" w:type="dxa"/>
              <w:left w:w="85" w:type="dxa"/>
              <w:right w:w="85" w:type="dxa"/>
            </w:tcMar>
          </w:tcPr>
          <w:p>
            <w:pPr>
              <w:keepNext/>
              <w:pageBreakBefore w:val="0"/>
              <w:spacing w:after="60" w:line="252" w:lineRule="auto"/>
            </w:pPr>
            <w:r>
              <w:rPr>
                <w:b/>
                <w:color w:val="000000"/>
                <w:sz w:val="20"/>
              </w:rPr>
              <w:t>Срок</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Роли и права</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Техник видит и меняет только поля своей стадии; ICP-балл и класс доступны только роботам; бонусы одобряет директор.</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Неделя 2</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Мобильный сценарий техника</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Проверка перевода сделки на «на проверке» из мобильного приложения, загрузка фото и чек-листа.</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Неделя 2–3</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Контроль качества данных</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Еженедельный аудит карточек первых 6 недель: пустые обязательные поля, дубли, зависшие стадии.</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Еженедельно</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Отчеты и дашборды</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Стоимость состоявшегося выезда и персонального расчета по каналу; воронка «квал-лид → выезд → расчет → договор»; бонусы за месяц.</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Недели 4–8</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Пилот и обучение</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Не менее двух обследований по полному циклу; обучение координаторов и техников; исправление замечаний.</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Недели 3–6</w:t>
            </w:r>
          </w:p>
        </w:tc>
      </w:tr>
      <w:tr>
        <w:trPr>
          <w:cantSplit/>
        </w:trPr>
        <w:tc>
          <w:tcPr>
            <w:tcW w:type="dxa" w:w="2381"/>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Разбор CRM и перераспределение бюджета</w:t>
            </w:r>
          </w:p>
        </w:tc>
        <w:tc>
          <w:tcPr>
            <w:tcW w:type="dxa" w:w="3515"/>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Недели 6 и 12: решение по кампаниям по правилам Медиаплана (п. 14): пауза, смена посадочной, перенос бюджета.</w:t>
            </w:r>
          </w:p>
        </w:tc>
        <w:tc>
          <w:tcPr>
            <w:tcW w:type="dxa" w:w="3742"/>
            <w:vAlign w:val="center"/>
            <w:tcMar>
              <w:top w:w="85" w:type="dxa"/>
              <w:start w:w="110" w:type="dxa"/>
              <w:bottom w:w="85" w:type="dxa"/>
              <w:end w:w="110" w:type="dxa"/>
              <w:left w:w="85" w:type="dxa"/>
              <w:right w:w="85" w:type="dxa"/>
            </w:tcMar>
            <w:shd w:fill="FFFFFF"/>
          </w:tcPr>
          <w:p>
            <w:pPr>
              <w:keepNext w:val="0"/>
              <w:pageBreakBefore w:val="0"/>
              <w:spacing w:after="60" w:line="252" w:lineRule="auto"/>
            </w:pPr>
            <w:r>
              <w:rPr>
                <w:color w:val="000000"/>
                <w:sz w:val="20"/>
              </w:rPr>
              <w:t>Недели 6, 12</w:t>
            </w:r>
          </w:p>
        </w:tc>
      </w:tr>
    </w:tbl>
    <w:p>
      <w:pPr>
        <w:pageBreakBefore w:val="0"/>
        <w:widowControl/>
      </w:pPr>
    </w:p>
    <w:p>
      <w:pPr>
        <w:pStyle w:val="Heading2"/>
        <w:pageBreakBefore w:val="0"/>
        <w:widowControl/>
      </w:pPr>
      <w:r>
        <w:rPr>
          <w:color w:val="000000"/>
          <w:u w:val="none"/>
        </w:rPr>
        <w:t>23.9 Контрольные точки</w:t>
      </w:r>
    </w:p>
    <w:p>
      <w:pPr>
        <w:pStyle w:val="ListBullet"/>
        <w:pageBreakBefore w:val="0"/>
        <w:widowControl/>
      </w:pPr>
      <w:r>
        <w:t>Контрольная точка первого этапа CRM: подтвердить результаты 23.2 и тесты 30–34, затем проверить цепочку каждой готовой формы до обследования и расчета. Подключение рекламы конкретной страницы допускается после ее собственного сквозного теста, без ожидания готовности остальных страниц.</w:t>
      </w:r>
    </w:p>
    <w:p>
      <w:pPr>
        <w:pStyle w:val="ListBullet"/>
        <w:pageBreakBefore w:val="0"/>
        <w:widowControl/>
      </w:pPr>
      <w:r>
        <w:t>Неделя 6: атрибуция передается в Google Ads через офлайн-конверсии, отчет по стоимости выезда и расчета работает.</w:t>
      </w:r>
    </w:p>
    <w:p>
      <w:pPr>
        <w:pStyle w:val="ListBullet"/>
        <w:pageBreakBefore w:val="0"/>
        <w:widowControl/>
      </w:pPr>
      <w:r>
        <w:t>Неделя 12: отчет по каналам, решение по бюджету, список изменений ТЗ по итогам фактических данных.</w:t>
      </w:r>
    </w:p>
    <w:p>
      <w:pPr>
        <w:pStyle w:val="Heading2"/>
        <w:pageBreakBefore w:val="0"/>
        <w:widowControl/>
      </w:pPr>
      <w:r>
        <w:rPr>
          <w:color w:val="000000"/>
          <w:u w:val="none"/>
        </w:rPr>
        <w:t>23.10 Статус плана работ и последовательность дальнейших шагов (на 2 октября 2026)</w:t>
      </w:r>
    </w:p>
    <w:p>
      <w:pPr>
        <w:pageBreakBefore w:val="0"/>
        <w:widowControl/>
      </w:pPr>
      <w:r>
        <w:t>«Выполнено по документам» означает результат, зафиксированный в v1.22 и статусе репозитория на 2 октября 2026; в этой редакции повторная проверка живого портала не проводилась. «В очереди» — предстоит внедрить; «Требует проверки» — есть требование или поля, но нет достаточного подтверждения полного сценария. Процент готовности всей CRM по числу строк этой таблицы не рассчитывать.</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567"/>
        <w:gridCol w:w="3628"/>
        <w:gridCol w:w="1814"/>
        <w:gridCol w:w="3742"/>
      </w:tblGrid>
      <w:tr>
        <w:trPr>
          <w:cantSplit/>
          <w:tblHeader/>
          <w:tblHeader/>
          <w:tblHeader/>
        </w:trPr>
        <w:tc>
          <w:tcPr>
            <w:tcW w:type="dxa" w:w="567"/>
            <w:shd w:fill="E7EBEF"/>
            <w:vAlign w:val="center"/>
            <w:tcMar>
              <w:top w:w="85" w:type="dxa"/>
              <w:bottom w:w="85" w:type="dxa"/>
              <w:left w:w="85" w:type="dxa"/>
              <w:right w:w="85" w:type="dxa"/>
            </w:tcMar>
          </w:tcPr>
          <w:p>
            <w:pPr>
              <w:keepNext/>
              <w:pageBreakBefore w:val="0"/>
              <w:spacing w:after="60" w:line="252" w:lineRule="auto"/>
            </w:pPr>
            <w:r>
              <w:rPr>
                <w:b/>
                <w:color w:val="000000"/>
                <w:sz w:val="20"/>
              </w:rPr>
              <w:t>№</w:t>
            </w:r>
          </w:p>
        </w:tc>
        <w:tc>
          <w:tcPr>
            <w:tcW w:type="dxa" w:w="3628"/>
            <w:shd w:fill="E7EBEF"/>
            <w:vAlign w:val="center"/>
            <w:tcMar>
              <w:top w:w="85" w:type="dxa"/>
              <w:bottom w:w="85" w:type="dxa"/>
              <w:left w:w="85" w:type="dxa"/>
              <w:right w:w="85" w:type="dxa"/>
            </w:tcMar>
          </w:tcPr>
          <w:p>
            <w:pPr>
              <w:keepNext/>
              <w:pageBreakBefore w:val="0"/>
              <w:spacing w:after="60" w:line="252" w:lineRule="auto"/>
            </w:pPr>
            <w:r>
              <w:rPr>
                <w:b/>
                <w:color w:val="000000"/>
                <w:sz w:val="20"/>
              </w:rPr>
              <w:t>Работа</w:t>
            </w:r>
          </w:p>
        </w:tc>
        <w:tc>
          <w:tcPr>
            <w:tcW w:type="dxa" w:w="1814"/>
            <w:shd w:fill="E7EBEF"/>
            <w:vAlign w:val="center"/>
            <w:tcMar>
              <w:top w:w="85" w:type="dxa"/>
              <w:bottom w:w="85" w:type="dxa"/>
              <w:left w:w="85" w:type="dxa"/>
              <w:right w:w="85" w:type="dxa"/>
            </w:tcMar>
          </w:tcPr>
          <w:p>
            <w:pPr>
              <w:keepNext/>
              <w:pageBreakBefore w:val="0"/>
              <w:spacing w:after="60" w:line="252" w:lineRule="auto"/>
            </w:pPr>
            <w:r>
              <w:rPr>
                <w:b/>
                <w:color w:val="000000"/>
                <w:sz w:val="20"/>
              </w:rPr>
              <w:t>Статус</w:t>
            </w:r>
          </w:p>
        </w:tc>
        <w:tc>
          <w:tcPr>
            <w:tcW w:type="dxa" w:w="3742"/>
            <w:shd w:fill="E7EBEF"/>
            <w:vAlign w:val="center"/>
            <w:tcMar>
              <w:top w:w="85" w:type="dxa"/>
              <w:bottom w:w="85" w:type="dxa"/>
              <w:left w:w="85" w:type="dxa"/>
              <w:right w:w="85" w:type="dxa"/>
            </w:tcMar>
          </w:tcPr>
          <w:p>
            <w:pPr>
              <w:keepNext/>
              <w:pageBreakBefore w:val="0"/>
              <w:spacing w:after="60" w:line="252" w:lineRule="auto"/>
            </w:pPr>
            <w:r>
              <w:rPr>
                <w:b/>
                <w:color w:val="000000"/>
                <w:sz w:val="20"/>
              </w:rPr>
              <w:t>Примечание</w:t>
            </w:r>
          </w:p>
        </w:tc>
      </w:tr>
      <w:tr>
        <w:trPr>
          <w:cantSplit/>
        </w:trPr>
        <w:tc>
          <w:tcPr>
            <w:tcW w:type="dxa" w:w="567"/>
            <w:vAlign w:val="center"/>
            <w:shd w:fill="FFFFFF"/>
            <w:tcMar>
              <w:top w:w="85" w:type="dxa"/>
              <w:bottom w:w="85" w:type="dxa"/>
              <w:left w:w="85" w:type="dxa"/>
              <w:right w:w="85" w:type="dxa"/>
            </w:tcMar>
          </w:tcPr>
          <w:p>
            <w:pPr>
              <w:keepNext w:val="0"/>
              <w:pageBreakBefore w:val="0"/>
              <w:spacing w:after="60" w:line="252" w:lineRule="auto"/>
            </w:pPr>
            <w:r>
              <w:rPr>
                <w:color w:val="000000"/>
                <w:sz w:val="20"/>
              </w:rPr>
              <w:t>1</w:t>
            </w:r>
          </w:p>
        </w:tc>
        <w:tc>
          <w:tcPr>
            <w:tcW w:type="dxa" w:w="3628"/>
            <w:vAlign w:val="center"/>
            <w:shd w:fill="FFFFFF"/>
            <w:tcMar>
              <w:top w:w="85" w:type="dxa"/>
              <w:bottom w:w="85" w:type="dxa"/>
              <w:left w:w="85" w:type="dxa"/>
              <w:right w:w="85" w:type="dxa"/>
            </w:tcMar>
          </w:tcPr>
          <w:p>
            <w:pPr>
              <w:keepNext w:val="0"/>
              <w:pageBreakBefore w:val="0"/>
              <w:spacing w:after="60" w:line="252" w:lineRule="auto"/>
            </w:pPr>
            <w:r>
              <w:rPr>
                <w:color w:val="000000"/>
                <w:sz w:val="20"/>
              </w:rPr>
              <w:t>Стадии обследования, обязательность на стадии, задачи и сроки (разд. 22)</w:t>
            </w:r>
          </w:p>
        </w:tc>
        <w:tc>
          <w:tcPr>
            <w:tcW w:type="dxa" w:w="1814"/>
            <w:vAlign w:val="center"/>
            <w:shd w:fill="FFFFFF"/>
            <w:tcMar>
              <w:top w:w="85" w:type="dxa"/>
              <w:bottom w:w="85" w:type="dxa"/>
              <w:left w:w="85" w:type="dxa"/>
              <w:right w:w="85" w:type="dxa"/>
            </w:tcMar>
          </w:tcPr>
          <w:p>
            <w:pPr>
              <w:keepNext w:val="0"/>
              <w:pageBreakBefore w:val="0"/>
              <w:spacing w:after="60" w:line="252" w:lineRule="auto"/>
            </w:pPr>
            <w:r>
              <w:rPr>
                <w:color w:val="000000"/>
                <w:sz w:val="20"/>
              </w:rPr>
              <w:t>Выполнено</w:t>
            </w:r>
          </w:p>
        </w:tc>
        <w:tc>
          <w:tcPr>
            <w:tcW w:type="dxa" w:w="3742"/>
            <w:vAlign w:val="center"/>
            <w:shd w:fill="FFFFFF"/>
            <w:tcMar>
              <w:top w:w="85" w:type="dxa"/>
              <w:bottom w:w="85" w:type="dxa"/>
              <w:left w:w="85" w:type="dxa"/>
              <w:right w:w="85" w:type="dxa"/>
            </w:tcMar>
          </w:tcPr>
          <w:p>
            <w:pPr>
              <w:keepNext w:val="0"/>
              <w:pageBreakBefore w:val="0"/>
              <w:spacing w:after="60" w:line="252" w:lineRule="auto"/>
            </w:pPr>
            <w:r>
              <w:rPr>
                <w:color w:val="000000"/>
                <w:sz w:val="20"/>
              </w:rPr>
              <w:t>Тесты 32 и 33 пройдены; триггеры пересчета ICP удалены</w:t>
            </w:r>
          </w:p>
        </w:tc>
      </w:tr>
      <w:tr>
        <w:trPr>
          <w:cantSplit/>
        </w:trPr>
        <w:tc>
          <w:tcPr>
            <w:tcW w:type="dxa" w:w="567"/>
            <w:vAlign w:val="center"/>
            <w:shd w:fill="FFFFFF"/>
            <w:tcMar>
              <w:top w:w="85" w:type="dxa"/>
              <w:bottom w:w="85" w:type="dxa"/>
              <w:left w:w="85" w:type="dxa"/>
              <w:right w:w="85" w:type="dxa"/>
            </w:tcMar>
          </w:tcPr>
          <w:p>
            <w:pPr>
              <w:keepNext w:val="0"/>
              <w:pageBreakBefore w:val="0"/>
              <w:spacing w:after="60" w:line="252" w:lineRule="auto"/>
            </w:pPr>
            <w:r>
              <w:rPr>
                <w:color w:val="000000"/>
                <w:sz w:val="20"/>
              </w:rPr>
              <w:t>2</w:t>
            </w:r>
          </w:p>
        </w:tc>
        <w:tc>
          <w:tcPr>
            <w:tcW w:type="dxa" w:w="3628"/>
            <w:vAlign w:val="center"/>
            <w:shd w:fill="FFFFFF"/>
            <w:tcMar>
              <w:top w:w="85" w:type="dxa"/>
              <w:bottom w:w="85" w:type="dxa"/>
              <w:left w:w="85" w:type="dxa"/>
              <w:right w:w="85" w:type="dxa"/>
            </w:tcMar>
          </w:tcPr>
          <w:p>
            <w:pPr>
              <w:keepNext w:val="0"/>
              <w:pageBreakBefore w:val="0"/>
              <w:spacing w:after="60" w:line="252" w:lineRule="auto"/>
            </w:pPr>
            <w:r>
              <w:rPr>
                <w:color w:val="000000"/>
                <w:sz w:val="20"/>
              </w:rPr>
              <w:t>Цепочка ICP на «Обследование принято» (13 роботов)</w:t>
            </w:r>
          </w:p>
        </w:tc>
        <w:tc>
          <w:tcPr>
            <w:tcW w:type="dxa" w:w="1814"/>
            <w:vAlign w:val="center"/>
            <w:shd w:fill="FFFFFF"/>
            <w:tcMar>
              <w:top w:w="85" w:type="dxa"/>
              <w:bottom w:w="85" w:type="dxa"/>
              <w:left w:w="85" w:type="dxa"/>
              <w:right w:w="85" w:type="dxa"/>
            </w:tcMar>
          </w:tcPr>
          <w:p>
            <w:pPr>
              <w:keepNext w:val="0"/>
              <w:pageBreakBefore w:val="0"/>
              <w:spacing w:after="60" w:line="252" w:lineRule="auto"/>
            </w:pPr>
            <w:r>
              <w:rPr>
                <w:color w:val="000000"/>
                <w:sz w:val="20"/>
              </w:rPr>
              <w:t>Выполнено</w:t>
            </w:r>
          </w:p>
        </w:tc>
        <w:tc>
          <w:tcPr>
            <w:tcW w:type="dxa" w:w="3742"/>
            <w:vAlign w:val="center"/>
            <w:shd w:fill="FFFFFF"/>
            <w:tcMar>
              <w:top w:w="85" w:type="dxa"/>
              <w:bottom w:w="85" w:type="dxa"/>
              <w:left w:w="85" w:type="dxa"/>
              <w:right w:w="85" w:type="dxa"/>
            </w:tcMar>
          </w:tcPr>
          <w:p>
            <w:pPr>
              <w:keepNext w:val="0"/>
              <w:pageBreakBefore w:val="0"/>
              <w:spacing w:after="60" w:line="252" w:lineRule="auto"/>
            </w:pPr>
            <w:r>
              <w:rPr>
                <w:color w:val="000000"/>
                <w:sz w:val="20"/>
              </w:rPr>
              <w:t>Скопирована и проверена: ICP пересчитывается при входе на стадию</w:t>
            </w:r>
          </w:p>
        </w:tc>
      </w:tr>
      <w:tr>
        <w:trPr>
          <w:cantSplit/>
        </w:trPr>
        <w:tc>
          <w:tcPr>
            <w:tcW w:type="dxa" w:w="567"/>
            <w:vAlign w:val="center"/>
            <w:shd w:fill="FFFFFF"/>
            <w:tcMar>
              <w:top w:w="85" w:type="dxa"/>
              <w:bottom w:w="85" w:type="dxa"/>
              <w:left w:w="85" w:type="dxa"/>
              <w:right w:w="85" w:type="dxa"/>
            </w:tcMar>
          </w:tcPr>
          <w:p>
            <w:pPr>
              <w:keepNext w:val="0"/>
              <w:pageBreakBefore w:val="0"/>
              <w:spacing w:after="60" w:line="252" w:lineRule="auto"/>
            </w:pPr>
            <w:r>
              <w:rPr>
                <w:color w:val="000000"/>
                <w:sz w:val="20"/>
              </w:rPr>
              <w:t>3</w:t>
            </w:r>
          </w:p>
        </w:tc>
        <w:tc>
          <w:tcPr>
            <w:tcW w:type="dxa" w:w="3628"/>
            <w:vAlign w:val="center"/>
            <w:shd w:fill="FFFFFF"/>
            <w:tcMar>
              <w:top w:w="85" w:type="dxa"/>
              <w:bottom w:w="85" w:type="dxa"/>
              <w:left w:w="85" w:type="dxa"/>
              <w:right w:w="85" w:type="dxa"/>
            </w:tcMar>
          </w:tcPr>
          <w:p>
            <w:pPr>
              <w:keepNext w:val="0"/>
              <w:pageBreakBefore w:val="0"/>
              <w:spacing w:after="60" w:line="252" w:lineRule="auto"/>
            </w:pPr>
            <w:r>
              <w:rPr>
                <w:color w:val="000000"/>
                <w:sz w:val="20"/>
              </w:rPr>
              <w:t>Робот-задача «Следующий шаг» на «принято» (срок — дата следующего шага)</w:t>
            </w:r>
          </w:p>
        </w:tc>
        <w:tc>
          <w:tcPr>
            <w:tcW w:type="dxa" w:w="1814"/>
            <w:vAlign w:val="center"/>
            <w:shd w:fill="FFFFFF"/>
            <w:tcMar>
              <w:top w:w="85" w:type="dxa"/>
              <w:bottom w:w="85" w:type="dxa"/>
              <w:left w:w="85" w:type="dxa"/>
              <w:right w:w="85" w:type="dxa"/>
            </w:tcMar>
          </w:tcPr>
          <w:p>
            <w:pPr>
              <w:keepNext w:val="0"/>
              <w:pageBreakBefore w:val="0"/>
              <w:spacing w:after="60" w:line="252" w:lineRule="auto"/>
            </w:pPr>
            <w:r>
              <w:rPr>
                <w:color w:val="000000"/>
                <w:sz w:val="20"/>
              </w:rPr>
              <w:t>Выполнено</w:t>
            </w:r>
          </w:p>
        </w:tc>
        <w:tc>
          <w:tcPr>
            <w:tcW w:type="dxa" w:w="3742"/>
            <w:vAlign w:val="center"/>
            <w:shd w:fill="FFFFFF"/>
            <w:tcMar>
              <w:top w:w="85" w:type="dxa"/>
              <w:bottom w:w="85" w:type="dxa"/>
              <w:left w:w="85" w:type="dxa"/>
              <w:right w:w="85" w:type="dxa"/>
            </w:tcMar>
          </w:tcPr>
          <w:p>
            <w:pPr>
              <w:keepNext w:val="0"/>
              <w:pageBreakBefore w:val="0"/>
              <w:spacing w:after="60" w:line="252" w:lineRule="auto"/>
            </w:pPr>
            <w:r>
              <w:rPr>
                <w:color w:val="000000"/>
                <w:sz w:val="20"/>
              </w:rPr>
              <w:t>Проверено на тестовой сделке 1 октября 2026</w:t>
            </w:r>
          </w:p>
        </w:tc>
      </w:tr>
      <w:tr>
        <w:trPr>
          <w:cantSplit/>
        </w:trPr>
        <w:tc>
          <w:tcPr>
            <w:tcW w:type="dxa" w:w="567"/>
            <w:vAlign w:val="center"/>
            <w:shd w:fill="FFFFFF"/>
            <w:tcMar>
              <w:top w:w="85" w:type="dxa"/>
              <w:bottom w:w="85" w:type="dxa"/>
              <w:left w:w="85" w:type="dxa"/>
              <w:right w:w="85" w:type="dxa"/>
            </w:tcMar>
          </w:tcPr>
          <w:p>
            <w:pPr>
              <w:keepNext w:val="0"/>
              <w:pageBreakBefore w:val="0"/>
              <w:spacing w:after="60" w:line="252" w:lineRule="auto"/>
            </w:pPr>
            <w:r>
              <w:rPr>
                <w:color w:val="000000"/>
                <w:sz w:val="20"/>
              </w:rPr>
              <w:t>4</w:t>
            </w:r>
          </w:p>
        </w:tc>
        <w:tc>
          <w:tcPr>
            <w:tcW w:type="dxa" w:w="3628"/>
            <w:vAlign w:val="center"/>
            <w:shd w:fill="FFFFFF"/>
            <w:tcMar>
              <w:top w:w="85" w:type="dxa"/>
              <w:bottom w:w="85" w:type="dxa"/>
              <w:left w:w="85" w:type="dxa"/>
              <w:right w:w="85" w:type="dxa"/>
            </w:tcMar>
          </w:tcPr>
          <w:p>
            <w:pPr>
              <w:keepNext w:val="0"/>
              <w:pageBreakBefore w:val="0"/>
              <w:spacing w:after="60" w:line="252" w:lineRule="auto"/>
            </w:pPr>
            <w:r>
              <w:rPr>
                <w:color w:val="000000"/>
                <w:sz w:val="20"/>
              </w:rPr>
              <w:t>Маршрутизация после обследования</w:t>
            </w:r>
          </w:p>
        </w:tc>
        <w:tc>
          <w:tcPr>
            <w:tcW w:type="dxa" w:w="1814"/>
            <w:vAlign w:val="center"/>
            <w:shd w:fill="FFFFFF"/>
            <w:tcMar>
              <w:top w:w="85" w:type="dxa"/>
              <w:bottom w:w="85" w:type="dxa"/>
              <w:left w:w="85" w:type="dxa"/>
              <w:right w:w="85" w:type="dxa"/>
            </w:tcMar>
          </w:tcPr>
          <w:p>
            <w:pPr>
              <w:keepNext w:val="0"/>
              <w:pageBreakBefore w:val="0"/>
              <w:spacing w:after="60" w:line="252" w:lineRule="auto"/>
            </w:pPr>
            <w:r>
              <w:rPr>
                <w:color w:val="000000"/>
                <w:sz w:val="20"/>
              </w:rPr>
              <w:t>Выполнено (уточнено)</w:t>
            </w:r>
          </w:p>
        </w:tc>
        <w:tc>
          <w:tcPr>
            <w:tcW w:type="dxa" w:w="3742"/>
            <w:vAlign w:val="center"/>
            <w:shd w:fill="FFFFFF"/>
            <w:tcMar>
              <w:top w:w="85" w:type="dxa"/>
              <w:bottom w:w="85" w:type="dxa"/>
              <w:left w:w="85" w:type="dxa"/>
              <w:right w:w="85" w:type="dxa"/>
            </w:tcMar>
          </w:tcPr>
          <w:p>
            <w:pPr>
              <w:keepNext w:val="0"/>
              <w:pageBreakBefore w:val="0"/>
              <w:spacing w:after="60" w:line="252" w:lineRule="auto"/>
            </w:pPr>
            <w:r>
              <w:rPr>
                <w:color w:val="000000"/>
                <w:sz w:val="20"/>
              </w:rPr>
              <w:t>Сделка не копируется: на «Согласование условий» координатор меняет воронку или ведет разовую сделку на «Счет / договор»</w:t>
            </w:r>
          </w:p>
        </w:tc>
      </w:tr>
      <w:tr>
        <w:trPr>
          <w:cantSplit/>
        </w:trPr>
        <w:tc>
          <w:tcPr>
            <w:tcW w:type="dxa" w:w="567"/>
            <w:vAlign w:val="center"/>
            <w:shd w:fill="FFFFFF"/>
            <w:tcMar>
              <w:top w:w="85" w:type="dxa"/>
              <w:bottom w:w="85" w:type="dxa"/>
              <w:left w:w="85" w:type="dxa"/>
              <w:right w:w="85" w:type="dxa"/>
            </w:tcMar>
          </w:tcPr>
          <w:p>
            <w:pPr>
              <w:keepNext w:val="0"/>
              <w:pageBreakBefore w:val="0"/>
              <w:spacing w:after="60" w:line="252" w:lineRule="auto"/>
            </w:pPr>
            <w:r>
              <w:rPr>
                <w:color w:val="000000"/>
                <w:sz w:val="20"/>
              </w:rPr>
              <w:t>5</w:t>
            </w:r>
          </w:p>
        </w:tc>
        <w:tc>
          <w:tcPr>
            <w:tcW w:type="dxa" w:w="3628"/>
            <w:vAlign w:val="center"/>
            <w:shd w:fill="FFFFFF"/>
            <w:tcMar>
              <w:top w:w="85" w:type="dxa"/>
              <w:bottom w:w="85" w:type="dxa"/>
              <w:left w:w="85" w:type="dxa"/>
              <w:right w:w="85" w:type="dxa"/>
            </w:tcMar>
          </w:tcPr>
          <w:p>
            <w:pPr>
              <w:keepNext w:val="0"/>
              <w:pageBreakBefore w:val="0"/>
              <w:spacing w:after="60" w:line="252" w:lineRule="auto"/>
            </w:pPr>
            <w:r>
              <w:rPr>
                <w:color w:val="000000"/>
                <w:sz w:val="20"/>
              </w:rPr>
              <w:t>Бонусные поля техника и ЛПР в карточке</w:t>
            </w:r>
          </w:p>
        </w:tc>
        <w:tc>
          <w:tcPr>
            <w:tcW w:type="dxa" w:w="1814"/>
            <w:vAlign w:val="center"/>
            <w:shd w:fill="FFFFFF"/>
            <w:tcMar>
              <w:top w:w="85" w:type="dxa"/>
              <w:bottom w:w="85" w:type="dxa"/>
              <w:left w:w="85" w:type="dxa"/>
              <w:right w:w="85" w:type="dxa"/>
            </w:tcMar>
          </w:tcPr>
          <w:p>
            <w:pPr>
              <w:keepNext w:val="0"/>
              <w:pageBreakBefore w:val="0"/>
              <w:spacing w:after="60" w:line="252" w:lineRule="auto"/>
            </w:pPr>
            <w:r>
              <w:rPr>
                <w:color w:val="000000"/>
                <w:sz w:val="20"/>
              </w:rPr>
              <w:t>Выполнено</w:t>
            </w:r>
          </w:p>
        </w:tc>
        <w:tc>
          <w:tcPr>
            <w:tcW w:type="dxa" w:w="3742"/>
            <w:vAlign w:val="center"/>
            <w:shd w:fill="FFFFFF"/>
            <w:tcMar>
              <w:top w:w="85" w:type="dxa"/>
              <w:bottom w:w="85" w:type="dxa"/>
              <w:left w:w="85" w:type="dxa"/>
              <w:right w:w="85" w:type="dxa"/>
            </w:tcMar>
          </w:tcPr>
          <w:p>
            <w:pPr>
              <w:keepNext w:val="0"/>
              <w:pageBreakBefore w:val="0"/>
              <w:spacing w:after="60" w:line="252" w:lineRule="auto"/>
            </w:pPr>
            <w:r>
              <w:rPr>
                <w:color w:val="000000"/>
                <w:sz w:val="20"/>
              </w:rPr>
              <w:t>Поля UF_CRM_1790826959 и UF_CRM_1790826968</w:t>
            </w:r>
          </w:p>
        </w:tc>
      </w:tr>
      <w:tr>
        <w:trPr>
          <w:cantSplit/>
        </w:trPr>
        <w:tc>
          <w:tcPr>
            <w:tcW w:type="dxa" w:w="567"/>
            <w:vAlign w:val="center"/>
            <w:shd w:fill="FFFFFF"/>
            <w:tcMar>
              <w:top w:w="85" w:type="dxa"/>
              <w:bottom w:w="85" w:type="dxa"/>
              <w:left w:w="85" w:type="dxa"/>
              <w:right w:w="85" w:type="dxa"/>
            </w:tcMar>
          </w:tcPr>
          <w:p>
            <w:pPr>
              <w:keepNext w:val="0"/>
              <w:pageBreakBefore w:val="0"/>
              <w:spacing w:after="60" w:line="252" w:lineRule="auto"/>
            </w:pPr>
            <w:r>
              <w:rPr>
                <w:color w:val="000000"/>
                <w:sz w:val="20"/>
              </w:rPr>
              <w:t>6</w:t>
            </w:r>
          </w:p>
        </w:tc>
        <w:tc>
          <w:tcPr>
            <w:tcW w:type="dxa" w:w="3628"/>
            <w:vAlign w:val="center"/>
            <w:shd w:fill="FFFFFF"/>
            <w:tcMar>
              <w:top w:w="85" w:type="dxa"/>
              <w:bottom w:w="85" w:type="dxa"/>
              <w:left w:w="85" w:type="dxa"/>
              <w:right w:w="85" w:type="dxa"/>
            </w:tcMar>
          </w:tcPr>
          <w:p>
            <w:pPr>
              <w:keepNext w:val="0"/>
              <w:pageBreakBefore w:val="0"/>
              <w:spacing w:after="60" w:line="252" w:lineRule="auto"/>
            </w:pPr>
            <w:r>
              <w:rPr>
                <w:color w:val="000000"/>
                <w:sz w:val="20"/>
              </w:rPr>
              <w:t>Событие visit_done: сервис cloud-run/crm-events</w:t>
            </w:r>
          </w:p>
        </w:tc>
        <w:tc>
          <w:tcPr>
            <w:tcW w:type="dxa" w:w="1814"/>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8"/>
              </w:rPr>
              <w:t>Выполнено</w:t>
            </w:r>
          </w:p>
        </w:tc>
        <w:tc>
          <w:tcPr>
            <w:tcW w:type="dxa" w:w="3742"/>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8"/>
              </w:rPr>
              <w:t>Сервис развернут в Cloud Run, события пишутся в существующую crm_events; тесты пройдены, дубликатов событий нет</w:t>
            </w:r>
          </w:p>
        </w:tc>
      </w:tr>
      <w:tr>
        <w:trPr>
          <w:cantSplit/>
        </w:trPr>
        <w:tc>
          <w:tcPr>
            <w:tcW w:type="dxa" w:w="567"/>
            <w:vAlign w:val="center"/>
            <w:shd w:fill="FFFFFF"/>
            <w:tcMar>
              <w:top w:w="85" w:type="dxa"/>
              <w:bottom w:w="85" w:type="dxa"/>
              <w:left w:w="85" w:type="dxa"/>
              <w:right w:w="85" w:type="dxa"/>
            </w:tcMar>
          </w:tcPr>
          <w:p>
            <w:pPr>
              <w:keepNext w:val="0"/>
              <w:pageBreakBefore w:val="0"/>
              <w:spacing w:after="60" w:line="252" w:lineRule="auto"/>
            </w:pPr>
            <w:r>
              <w:rPr>
                <w:color w:val="000000"/>
                <w:sz w:val="20"/>
              </w:rPr>
              <w:t>7</w:t>
            </w:r>
          </w:p>
        </w:tc>
        <w:tc>
          <w:tcPr>
            <w:tcW w:type="dxa" w:w="3628"/>
            <w:vAlign w:val="center"/>
            <w:shd w:fill="FFFFFF"/>
            <w:tcMar>
              <w:top w:w="85" w:type="dxa"/>
              <w:bottom w:w="85" w:type="dxa"/>
              <w:left w:w="85" w:type="dxa"/>
              <w:right w:w="85" w:type="dxa"/>
            </w:tcMar>
          </w:tcPr>
          <w:p>
            <w:pPr>
              <w:keepNext w:val="0"/>
              <w:pageBreakBefore w:val="0"/>
              <w:spacing w:after="60" w:line="252" w:lineRule="auto"/>
            </w:pPr>
            <w:r>
              <w:rPr>
                <w:color w:val="000000"/>
                <w:sz w:val="20"/>
              </w:rPr>
              <w:t>Развертывание crm-events в Cloud Run (BITRIX_WEBHOOK_URL, ROBOT_SECRET)</w:t>
            </w:r>
          </w:p>
        </w:tc>
        <w:tc>
          <w:tcPr>
            <w:tcW w:type="dxa" w:w="1814"/>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8"/>
              </w:rPr>
              <w:t>Выполнено</w:t>
            </w:r>
          </w:p>
        </w:tc>
        <w:tc>
          <w:tcPr>
            <w:tcW w:type="dxa" w:w="3742"/>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8"/>
              </w:rPr>
              <w:t>Cloud Run развернут в регионе europe-west3; секреты заданы владельцем</w:t>
            </w:r>
          </w:p>
        </w:tc>
      </w:tr>
      <w:tr>
        <w:trPr>
          <w:cantSplit/>
        </w:trPr>
        <w:tc>
          <w:tcPr>
            <w:tcW w:type="dxa" w:w="567"/>
            <w:vAlign w:val="center"/>
            <w:shd w:fill="FFFFFF"/>
            <w:tcMar>
              <w:top w:w="85" w:type="dxa"/>
              <w:bottom w:w="85" w:type="dxa"/>
              <w:left w:w="85" w:type="dxa"/>
              <w:right w:w="85" w:type="dxa"/>
            </w:tcMar>
          </w:tcPr>
          <w:p>
            <w:pPr>
              <w:keepNext w:val="0"/>
              <w:pageBreakBefore w:val="0"/>
              <w:spacing w:after="60" w:line="252" w:lineRule="auto"/>
            </w:pPr>
            <w:r>
              <w:rPr>
                <w:color w:val="000000"/>
                <w:sz w:val="20"/>
              </w:rPr>
              <w:t>8</w:t>
            </w:r>
          </w:p>
        </w:tc>
        <w:tc>
          <w:tcPr>
            <w:tcW w:type="dxa" w:w="3628"/>
            <w:vAlign w:val="center"/>
            <w:shd w:fill="FFFFFF"/>
            <w:tcMar>
              <w:top w:w="85" w:type="dxa"/>
              <w:bottom w:w="85" w:type="dxa"/>
              <w:left w:w="85" w:type="dxa"/>
              <w:right w:w="85" w:type="dxa"/>
            </w:tcMar>
          </w:tcPr>
          <w:p>
            <w:pPr>
              <w:keepNext w:val="0"/>
              <w:pageBreakBefore w:val="0"/>
              <w:spacing w:after="60" w:line="252" w:lineRule="auto"/>
            </w:pPr>
            <w:r>
              <w:rPr>
                <w:color w:val="000000"/>
                <w:sz w:val="20"/>
              </w:rPr>
              <w:t>Робот «Вебхук» на «принято»: POST /event?name=visit_done&amp;deal_id={=Document:ID}</w:t>
            </w:r>
          </w:p>
        </w:tc>
        <w:tc>
          <w:tcPr>
            <w:tcW w:type="dxa" w:w="1814"/>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8"/>
              </w:rPr>
              <w:t>Выполнено</w:t>
            </w:r>
          </w:p>
        </w:tc>
        <w:tc>
          <w:tcPr>
            <w:tcW w:type="dxa" w:w="3742"/>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8"/>
              </w:rPr>
              <w:t>Роботы вебхука настроены на «Квалифицирована», «Обследование назначено», «Обследование принято», «Счёт / договор отправлен» и «Договор заключён»</w:t>
            </w:r>
          </w:p>
        </w:tc>
      </w:tr>
      <w:tr>
        <w:trPr>
          <w:cantSplit/>
        </w:trPr>
        <w:tc>
          <w:tcPr>
            <w:tcW w:type="dxa" w:w="567"/>
            <w:vAlign w:val="center"/>
            <w:shd w:fill="FFFFFF"/>
            <w:tcMar>
              <w:top w:w="85" w:type="dxa"/>
              <w:bottom w:w="85" w:type="dxa"/>
              <w:left w:w="85" w:type="dxa"/>
              <w:right w:w="85" w:type="dxa"/>
            </w:tcMar>
          </w:tcPr>
          <w:p>
            <w:pPr>
              <w:keepNext w:val="0"/>
              <w:pageBreakBefore w:val="0"/>
              <w:spacing w:after="60" w:line="252" w:lineRule="auto"/>
            </w:pPr>
            <w:r>
              <w:rPr>
                <w:color w:val="000000"/>
                <w:sz w:val="20"/>
              </w:rPr>
              <w:t>9</w:t>
            </w:r>
          </w:p>
        </w:tc>
        <w:tc>
          <w:tcPr>
            <w:tcW w:type="dxa" w:w="3628"/>
            <w:vAlign w:val="center"/>
            <w:shd w:fill="FFFFFF"/>
            <w:tcMar>
              <w:top w:w="85" w:type="dxa"/>
              <w:bottom w:w="85" w:type="dxa"/>
              <w:left w:w="85" w:type="dxa"/>
              <w:right w:w="85" w:type="dxa"/>
            </w:tcMar>
          </w:tcPr>
          <w:p>
            <w:pPr>
              <w:keepNext w:val="0"/>
              <w:pageBreakBefore w:val="0"/>
              <w:spacing w:after="60" w:line="252" w:lineRule="auto"/>
            </w:pPr>
            <w:r>
              <w:rPr>
                <w:color w:val="000000"/>
                <w:sz w:val="20"/>
              </w:rPr>
              <w:t>Вывод из работы старых полей (UF_CRM_SERVICE_SCHEDULE_DATE, «Контроль качества»)</w:t>
            </w:r>
          </w:p>
        </w:tc>
        <w:tc>
          <w:tcPr>
            <w:tcW w:type="dxa" w:w="1814"/>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8"/>
              </w:rPr>
              <w:t>Выполнено</w:t>
            </w:r>
          </w:p>
        </w:tc>
        <w:tc>
          <w:tcPr>
            <w:tcW w:type="dxa" w:w="3742"/>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8"/>
              </w:rPr>
              <w:t>UF_CRM_SERVICE_SCHEDULE_DATE и дублирующие поля контроля качества удалены</w:t>
            </w:r>
          </w:p>
        </w:tc>
      </w:tr>
      <w:tr>
        <w:trPr>
          <w:cantSplit/>
        </w:trPr>
        <w:tc>
          <w:tcPr>
            <w:tcW w:type="dxa" w:w="567"/>
            <w:vAlign w:val="center"/>
            <w:shd w:fill="FFFFFF"/>
            <w:tcMar>
              <w:top w:w="85" w:type="dxa"/>
              <w:bottom w:w="85" w:type="dxa"/>
              <w:left w:w="85" w:type="dxa"/>
              <w:right w:w="85" w:type="dxa"/>
            </w:tcMar>
          </w:tcPr>
          <w:p>
            <w:pPr>
              <w:keepNext w:val="0"/>
              <w:pageBreakBefore w:val="0"/>
              <w:spacing w:after="60" w:line="252" w:lineRule="auto"/>
            </w:pPr>
            <w:r>
              <w:rPr>
                <w:color w:val="000000"/>
                <w:sz w:val="20"/>
              </w:rPr>
              <w:t>10</w:t>
            </w:r>
          </w:p>
        </w:tc>
        <w:tc>
          <w:tcPr>
            <w:tcW w:type="dxa" w:w="3628"/>
            <w:vAlign w:val="center"/>
            <w:shd w:fill="FFFFFF"/>
            <w:tcMar>
              <w:top w:w="85" w:type="dxa"/>
              <w:bottom w:w="85" w:type="dxa"/>
              <w:left w:w="85" w:type="dxa"/>
              <w:right w:w="85" w:type="dxa"/>
            </w:tcMar>
          </w:tcPr>
          <w:p>
            <w:pPr>
              <w:keepNext w:val="0"/>
              <w:pageBreakBefore w:val="0"/>
              <w:spacing w:after="60" w:line="252" w:lineRule="auto"/>
            </w:pPr>
            <w:r>
              <w:rPr>
                <w:color w:val="000000"/>
                <w:sz w:val="20"/>
              </w:rPr>
              <w:t>Инструкции координатору и технику</w:t>
            </w:r>
          </w:p>
        </w:tc>
        <w:tc>
          <w:tcPr>
            <w:tcW w:type="dxa" w:w="1814"/>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8"/>
              </w:rPr>
              <w:t>Выполнено</w:t>
            </w:r>
          </w:p>
        </w:tc>
        <w:tc>
          <w:tcPr>
            <w:tcW w:type="dxa" w:w="3742"/>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8"/>
              </w:rPr>
              <w:t>Памятка для координатора и техника добавлена в репозиторий в Markdown и Word</w:t>
            </w:r>
          </w:p>
        </w:tc>
      </w:tr>
      <w:tr>
        <w:trPr>
          <w:cantSplit/>
        </w:trPr>
        <w:tc>
          <w:tcPr>
            <w:tcW w:type="dxa" w:w="567"/>
            <w:vAlign w:val="center"/>
            <w:shd w:fill="FFFFFF"/>
            <w:tcMar>
              <w:top w:w="85" w:type="dxa"/>
              <w:bottom w:w="85" w:type="dxa"/>
              <w:left w:w="85" w:type="dxa"/>
              <w:right w:w="85" w:type="dxa"/>
            </w:tcMar>
          </w:tcPr>
          <w:p>
            <w:pPr>
              <w:keepNext w:val="0"/>
              <w:pageBreakBefore w:val="0"/>
              <w:spacing w:after="60" w:line="252" w:lineRule="auto"/>
            </w:pPr>
            <w:r>
              <w:rPr>
                <w:color w:val="000000"/>
                <w:sz w:val="20"/>
              </w:rPr>
              <w:t>11</w:t>
            </w:r>
          </w:p>
        </w:tc>
        <w:tc>
          <w:tcPr>
            <w:tcW w:type="dxa" w:w="3628"/>
            <w:vAlign w:val="center"/>
            <w:shd w:fill="FFFFFF"/>
            <w:tcMar>
              <w:top w:w="85" w:type="dxa"/>
              <w:bottom w:w="85" w:type="dxa"/>
              <w:left w:w="85" w:type="dxa"/>
              <w:right w:w="85" w:type="dxa"/>
            </w:tcMar>
          </w:tcPr>
          <w:p>
            <w:pPr>
              <w:keepNext w:val="0"/>
              <w:pageBreakBefore w:val="0"/>
              <w:spacing w:after="60" w:line="252" w:lineRule="auto"/>
            </w:pPr>
            <w:r>
              <w:rPr>
                <w:color w:val="000000"/>
                <w:sz w:val="20"/>
              </w:rPr>
              <w:t>Атрибуция в lead.js (UTM, GCLID, GA4 client_id), п. 23.3</w:t>
            </w:r>
          </w:p>
        </w:tc>
        <w:tc>
          <w:tcPr>
            <w:tcW w:type="dxa" w:w="1814"/>
            <w:vAlign w:val="center"/>
            <w:shd w:fill="FFFFFF"/>
            <w:tcMar>
              <w:top w:w="85" w:type="dxa"/>
              <w:bottom w:w="85" w:type="dxa"/>
              <w:left w:w="85" w:type="dxa"/>
              <w:right w:w="85" w:type="dxa"/>
            </w:tcMar>
          </w:tcPr>
          <w:p>
            <w:pPr>
              <w:keepNext w:val="0"/>
              <w:pageBreakBefore w:val="0"/>
              <w:spacing w:after="60" w:line="252" w:lineRule="auto"/>
            </w:pPr>
            <w:r>
              <w:rPr>
                <w:color w:val="000000"/>
                <w:sz w:val="20"/>
              </w:rPr>
              <w:t>Выполнено</w:t>
            </w:r>
          </w:p>
        </w:tc>
        <w:tc>
          <w:tcPr>
            <w:tcW w:type="dxa" w:w="3742"/>
            <w:vAlign w:val="center"/>
            <w:shd w:fill="FFFFFF"/>
            <w:tcMar>
              <w:top w:w="85" w:type="dxa"/>
              <w:bottom w:w="85" w:type="dxa"/>
              <w:left w:w="85" w:type="dxa"/>
              <w:right w:w="85" w:type="dxa"/>
            </w:tcMar>
          </w:tcPr>
          <w:p>
            <w:pPr>
              <w:keepNext w:val="0"/>
              <w:pageBreakBefore w:val="0"/>
              <w:spacing w:after="60" w:line="252" w:lineRule="auto"/>
            </w:pPr>
            <w:r>
              <w:rPr>
                <w:color w:val="000000"/>
                <w:sz w:val="20"/>
              </w:rPr>
              <w:t>lead.js передаёт first-touch и last-touch UTM, GCLID и другие click ID, GA4 client_id, landing и referrer в канонические поля Bitrix24; тесты 5 из 5 пройдены</w:t>
            </w:r>
          </w:p>
        </w:tc>
      </w:tr>
      <w:tr>
        <w:trPr>
          <w:cantSplit/>
        </w:trPr>
        <w:tc>
          <w:tcPr>
            <w:tcW w:type="dxa" w:w="567"/>
            <w:vAlign w:val="center"/>
            <w:shd w:fill="FFFFFF"/>
            <w:tcMar>
              <w:top w:w="85" w:type="dxa"/>
              <w:bottom w:w="85" w:type="dxa"/>
              <w:left w:w="85" w:type="dxa"/>
              <w:right w:w="85" w:type="dxa"/>
            </w:tcMar>
          </w:tcPr>
          <w:p>
            <w:pPr>
              <w:keepNext w:val="0"/>
              <w:pageBreakBefore w:val="0"/>
              <w:spacing w:after="60" w:line="252" w:lineRule="auto"/>
            </w:pPr>
            <w:r>
              <w:rPr>
                <w:color w:val="000000"/>
                <w:sz w:val="20"/>
              </w:rPr>
              <w:t>12</w:t>
            </w:r>
          </w:p>
        </w:tc>
        <w:tc>
          <w:tcPr>
            <w:tcW w:type="dxa" w:w="3628"/>
            <w:vAlign w:val="center"/>
            <w:shd w:fill="FFFFFF"/>
            <w:tcMar>
              <w:top w:w="85" w:type="dxa"/>
              <w:bottom w:w="85" w:type="dxa"/>
              <w:left w:w="85" w:type="dxa"/>
              <w:right w:w="85" w:type="dxa"/>
            </w:tcMar>
          </w:tcPr>
          <w:p>
            <w:pPr>
              <w:keepNext w:val="0"/>
              <w:pageBreakBefore w:val="0"/>
              <w:spacing w:after="60" w:line="252" w:lineRule="auto"/>
            </w:pPr>
            <w:r>
              <w:rPr>
                <w:color w:val="000000"/>
                <w:sz w:val="20"/>
              </w:rPr>
              <w:t>Этап 1 Медиаплана: категории заявок, SLA, роботы контроля (п. 23.4)</w:t>
            </w:r>
          </w:p>
        </w:tc>
        <w:tc>
          <w:tcPr>
            <w:tcW w:type="dxa" w:w="1814"/>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8"/>
              </w:rPr>
              <w:t>Следующий</w:t>
            </w:r>
          </w:p>
        </w:tc>
        <w:tc>
          <w:tcPr>
            <w:tcW w:type="dxa" w:w="3742"/>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8"/>
              </w:rPr>
              <w:t>Настройка категорий заявок, SLA и роботов контроля для основных посадочных страниц; выполняется в Bitrix24 после готовности входящих форм</w:t>
            </w:r>
          </w:p>
        </w:tc>
      </w:tr>
      <w:tr>
        <w:trPr>
          <w:cantSplit/>
        </w:trPr>
        <w:tc>
          <w:tcPr>
            <w:tcW w:type="dxa" w:w="567"/>
            <w:vAlign w:val="center"/>
            <w:shd w:fill="FFFFFF"/>
            <w:tcMar>
              <w:top w:w="85" w:type="dxa"/>
              <w:bottom w:w="85" w:type="dxa"/>
              <w:left w:w="85" w:type="dxa"/>
              <w:right w:w="85" w:type="dxa"/>
            </w:tcMar>
          </w:tcPr>
          <w:p>
            <w:pPr>
              <w:keepNext w:val="0"/>
              <w:pageBreakBefore w:val="0"/>
              <w:spacing w:after="60" w:line="252" w:lineRule="auto"/>
            </w:pPr>
            <w:r>
              <w:rPr>
                <w:color w:val="000000"/>
                <w:sz w:val="20"/>
              </w:rPr>
              <w:t>13</w:t>
            </w:r>
          </w:p>
        </w:tc>
        <w:tc>
          <w:tcPr>
            <w:tcW w:type="dxa" w:w="3628"/>
            <w:vAlign w:val="center"/>
            <w:shd w:fill="FFFFFF"/>
            <w:tcMar>
              <w:top w:w="85" w:type="dxa"/>
              <w:bottom w:w="85" w:type="dxa"/>
              <w:left w:w="85" w:type="dxa"/>
              <w:right w:w="85" w:type="dxa"/>
            </w:tcMar>
          </w:tcPr>
          <w:p>
            <w:pPr>
              <w:keepNext w:val="0"/>
              <w:pageBreakBefore w:val="0"/>
              <w:spacing w:after="60" w:line="252" w:lineRule="auto"/>
            </w:pPr>
            <w:r>
              <w:rPr>
                <w:color w:val="000000"/>
                <w:sz w:val="20"/>
              </w:rPr>
              <w:t>Передача событий из crm_events в GA4 и Google Ads (п. 18.5), этапы 2–9</w:t>
            </w:r>
          </w:p>
        </w:tc>
        <w:tc>
          <w:tcPr>
            <w:tcW w:type="dxa" w:w="1814"/>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8"/>
              </w:rPr>
              <w:t>Следующий</w:t>
            </w:r>
          </w:p>
        </w:tc>
        <w:tc>
          <w:tcPr>
            <w:tcW w:type="dxa" w:w="3742"/>
            <w:vAlign w:val="center"/>
            <w:shd w:fill="FFFFFF"/>
            <w:tcMar>
              <w:top w:w="85" w:type="dxa"/>
              <w:bottom w:w="85" w:type="dxa"/>
              <w:left w:w="85" w:type="dxa"/>
              <w:right w:w="85" w:type="dxa"/>
            </w:tcMar>
          </w:tcPr>
          <w:p>
            <w:pPr>
              <w:keepNext w:val="0"/>
              <w:pageBreakBefore w:val="0"/>
              <w:spacing w:after="60" w:line="252" w:lineRule="auto"/>
            </w:pPr>
            <w:r>
              <w:rPr>
                <w:rFonts w:ascii="Arial" w:hAnsi="Arial"/>
                <w:color w:val="000000"/>
                <w:sz w:val="18"/>
              </w:rPr>
              <w:t>Передача событий из crm_events в GA4 и Google Ads — после сквозного теста сайта и рекламы</w:t>
            </w:r>
          </w:p>
        </w:tc>
      </w:tr>
    </w:tbl>
    <w:p>
      <w:pPr>
        <w:pageBreakBefore w:val="0"/>
        <w:widowControl/>
      </w:pPr>
      <w:r>
        <w:br w:type="page"/>
      </w:r>
    </w:p>
    <w:p>
      <w:pPr>
        <w:pStyle w:val="Heading1"/>
        <w:pageBreakBefore w:val="0"/>
        <w:widowControl/>
      </w:pPr>
      <w:r>
        <w:rPr>
          <w:color w:val="000000"/>
          <w:u w:val="none"/>
        </w:rPr>
        <w:t>23.11 Фактический статус интеграции сайта, Cloud Run и Bitrix24 на 2 октября 2026</w:t>
      </w:r>
    </w:p>
    <w:p>
      <w:pPr>
        <w:pageBreakBefore w:val="0"/>
        <w:widowControl/>
      </w:pPr>
      <w:r>
        <w:t>Раздел фиксирует результаты выпуска и контрольной проверки. Рабочий поток заявок с сайта создаёт сделки напрямую через сервис Cloud Run tilda-webhook-to-bigquery. Изменения Netlify lead.js являются отдельным резервным контуром и не заменяют этот рабочий поток.</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cantSplit/>
          <w:tblHeader/>
          <w:tblHeader/>
          <w:tblHeader/>
        </w:trPr>
        <w:tc>
          <w:tcPr>
            <w:tcW w:type="dxa" w:w="3324"/>
            <w:shd w:fill="E7EBEF"/>
            <w:vAlign w:val="center"/>
            <w:tcMar>
              <w:top w:w="85" w:type="dxa"/>
              <w:bottom w:w="85" w:type="dxa"/>
              <w:left w:w="85" w:type="dxa"/>
              <w:right w:w="85" w:type="dxa"/>
            </w:tcMar>
          </w:tcPr>
          <w:p>
            <w:pPr>
              <w:keepNext/>
              <w:pageBreakBefore w:val="0"/>
              <w:spacing w:after="60" w:line="252" w:lineRule="auto"/>
            </w:pPr>
            <w:r>
              <w:rPr>
                <w:b/>
                <w:color w:val="000000"/>
                <w:sz w:val="20"/>
              </w:rPr>
              <w:t>Компонент</w:t>
            </w:r>
          </w:p>
        </w:tc>
        <w:tc>
          <w:tcPr>
            <w:tcW w:type="dxa" w:w="3324"/>
            <w:shd w:fill="E7EBEF"/>
            <w:vAlign w:val="center"/>
            <w:tcMar>
              <w:top w:w="85" w:type="dxa"/>
              <w:bottom w:w="85" w:type="dxa"/>
              <w:left w:w="85" w:type="dxa"/>
              <w:right w:w="85" w:type="dxa"/>
            </w:tcMar>
          </w:tcPr>
          <w:p>
            <w:pPr>
              <w:keepNext/>
              <w:pageBreakBefore w:val="0"/>
              <w:spacing w:after="60" w:line="252" w:lineRule="auto"/>
            </w:pPr>
            <w:r>
              <w:rPr>
                <w:b/>
                <w:color w:val="000000"/>
                <w:sz w:val="20"/>
              </w:rPr>
              <w:t>Статус</w:t>
            </w:r>
          </w:p>
        </w:tc>
        <w:tc>
          <w:tcPr>
            <w:tcW w:type="dxa" w:w="3324"/>
            <w:shd w:fill="E7EBEF"/>
            <w:vAlign w:val="center"/>
            <w:tcMar>
              <w:top w:w="85" w:type="dxa"/>
              <w:bottom w:w="85" w:type="dxa"/>
              <w:left w:w="85" w:type="dxa"/>
              <w:right w:w="85" w:type="dxa"/>
            </w:tcMar>
          </w:tcPr>
          <w:p>
            <w:pPr>
              <w:keepNext/>
              <w:pageBreakBefore w:val="0"/>
              <w:spacing w:after="60" w:line="252" w:lineRule="auto"/>
            </w:pPr>
            <w:r>
              <w:rPr>
                <w:b/>
                <w:color w:val="000000"/>
                <w:sz w:val="20"/>
              </w:rPr>
              <w:t>Фактический результат</w:t>
            </w:r>
          </w:p>
        </w:tc>
      </w:tr>
      <w:tr>
        <w:trPr>
          <w:cantSplit/>
        </w:trPr>
        <w:tc>
          <w:tcPr>
            <w:tcW w:type="dxa" w:w="3324"/>
            <w:vAlign w:val="center"/>
            <w:shd w:fill="FFFFFF"/>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Cloud Run tilda-webhook-to-bigquery</w:t>
            </w:r>
          </w:p>
        </w:tc>
        <w:tc>
          <w:tcPr>
            <w:tcW w:type="dxa" w:w="3324"/>
            <w:vAlign w:val="center"/>
            <w:shd w:fill="FFFFFF"/>
            <w:tcMar>
              <w:top w:w="85" w:type="dxa"/>
              <w:bottom w:w="85" w:type="dxa"/>
              <w:left w:w="85" w:type="dxa"/>
              <w:right w:w="85" w:type="dxa"/>
            </w:tcMar>
          </w:tcPr>
          <w:p>
            <w:pPr>
              <w:keepNext w:val="0"/>
              <w:pageBreakBefore w:val="0"/>
              <w:spacing w:after="60" w:line="252" w:lineRule="auto"/>
            </w:pPr>
            <w:r>
              <w:rPr>
                <w:color w:val="000000"/>
                <w:sz w:val="20"/>
              </w:rPr>
            </w:r>
            <w:r>
              <w:rPr>
                <w:b/>
                <w:color w:val="000000"/>
                <w:sz w:val="20"/>
              </w:rPr>
              <w:t>Выполнено</w:t>
            </w:r>
          </w:p>
        </w:tc>
        <w:tc>
          <w:tcPr>
            <w:tcW w:type="dxa" w:w="3324"/>
            <w:vAlign w:val="center"/>
            <w:shd w:fill="FFFFFF"/>
            <w:tcMar>
              <w:top w:w="85" w:type="dxa"/>
              <w:bottom w:w="85" w:type="dxa"/>
              <w:left w:w="85" w:type="dxa"/>
              <w:right w:w="85" w:type="dxa"/>
            </w:tcMar>
          </w:tcPr>
          <w:p>
            <w:pPr>
              <w:keepNext w:val="0"/>
              <w:pageBreakBefore w:val="0"/>
              <w:spacing w:after="60" w:line="252" w:lineRule="auto"/>
            </w:pPr>
            <w:r>
              <w:rPr>
                <w:color w:val="000000"/>
                <w:sz w:val="20"/>
              </w:rPr>
              <w:t>Выпущена ревизия tilda-webhook-to-bigquery-00077-lzc в регионе europe-west3; на ревизию направлено 100 процентов трафика. Актуальная ревизия — 00086-r8r (раздел 28.5).</w:t>
            </w:r>
          </w:p>
        </w:tc>
      </w:tr>
      <w:tr>
        <w:trPr>
          <w:cantSplit/>
        </w:trPr>
        <w:tc>
          <w:tcPr>
            <w:tcW w:type="dxa" w:w="3324"/>
            <w:shd w:fill="FFFFFF"/>
            <w:vAlign w:val="center"/>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Создание сделки</w:t>
            </w:r>
          </w:p>
        </w:tc>
        <w:tc>
          <w:tcPr>
            <w:tcW w:type="dxa" w:w="3324"/>
            <w:shd w:fill="FFFFFF"/>
            <w:vAlign w:val="center"/>
            <w:tcMar>
              <w:top w:w="85" w:type="dxa"/>
              <w:bottom w:w="85" w:type="dxa"/>
              <w:left w:w="85" w:type="dxa"/>
              <w:right w:w="85" w:type="dxa"/>
            </w:tcMar>
          </w:tcPr>
          <w:p>
            <w:pPr>
              <w:keepNext w:val="0"/>
              <w:pageBreakBefore w:val="0"/>
              <w:spacing w:after="60" w:line="252" w:lineRule="auto"/>
            </w:pPr>
            <w:r>
              <w:rPr>
                <w:color w:val="000000"/>
                <w:sz w:val="20"/>
              </w:rPr>
            </w:r>
            <w:r>
              <w:rPr>
                <w:b/>
                <w:color w:val="000000"/>
                <w:sz w:val="20"/>
              </w:rPr>
              <w:t>Выполнено</w:t>
            </w:r>
          </w:p>
        </w:tc>
        <w:tc>
          <w:tcPr>
            <w:tcW w:type="dxa" w:w="3324"/>
            <w:shd w:fill="FFFFFF"/>
            <w:vAlign w:val="center"/>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Cloud Run создаёт сделку напрямую через crm.deal.add. Поле категории обращения передаётся в UF_CRM_SERVICE_TYPE.</w:t>
            </w:r>
          </w:p>
        </w:tc>
      </w:tr>
      <w:tr>
        <w:trPr>
          <w:cantSplit/>
        </w:trPr>
        <w:tc>
          <w:tcPr>
            <w:tcW w:type="dxa" w:w="3324"/>
            <w:vAlign w:val="center"/>
            <w:shd w:fill="FFFFFF"/>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Категория обращения fire_audit</w:t>
            </w:r>
          </w:p>
        </w:tc>
        <w:tc>
          <w:tcPr>
            <w:tcW w:type="dxa" w:w="3324"/>
            <w:vAlign w:val="center"/>
            <w:shd w:fill="FFFFFF"/>
            <w:tcMar>
              <w:top w:w="85" w:type="dxa"/>
              <w:bottom w:w="85" w:type="dxa"/>
              <w:left w:w="85" w:type="dxa"/>
              <w:right w:w="85" w:type="dxa"/>
            </w:tcMar>
          </w:tcPr>
          <w:p>
            <w:pPr>
              <w:keepNext w:val="0"/>
              <w:pageBreakBefore w:val="0"/>
              <w:spacing w:after="60" w:line="252" w:lineRule="auto"/>
            </w:pPr>
            <w:r>
              <w:rPr>
                <w:color w:val="000000"/>
                <w:sz w:val="20"/>
              </w:rPr>
            </w:r>
            <w:r>
              <w:rPr>
                <w:b/>
                <w:color w:val="000000"/>
                <w:sz w:val="20"/>
              </w:rPr>
              <w:t>Выполнено</w:t>
            </w:r>
          </w:p>
        </w:tc>
        <w:tc>
          <w:tcPr>
            <w:tcW w:type="dxa" w:w="3324"/>
            <w:vAlign w:val="center"/>
            <w:shd w:fill="FFFFFF"/>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Утверждённое значение: «Пожарный аудит». Контрольная сделка подтвердила заполнение этого значения в поле «Категория обращения».</w:t>
            </w:r>
          </w:p>
        </w:tc>
      </w:tr>
      <w:tr>
        <w:trPr>
          <w:cantSplit/>
        </w:trPr>
        <w:tc>
          <w:tcPr>
            <w:tcW w:type="dxa" w:w="3324"/>
            <w:shd w:fill="FFFFFF"/>
            <w:vAlign w:val="center"/>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Название услуги fire_audit</w:t>
            </w:r>
          </w:p>
        </w:tc>
        <w:tc>
          <w:tcPr>
            <w:tcW w:type="dxa" w:w="3324"/>
            <w:shd w:fill="FFFFFF"/>
            <w:vAlign w:val="center"/>
            <w:tcMar>
              <w:top w:w="85" w:type="dxa"/>
              <w:bottom w:w="85" w:type="dxa"/>
              <w:left w:w="85" w:type="dxa"/>
              <w:right w:w="85" w:type="dxa"/>
            </w:tcMar>
          </w:tcPr>
          <w:p>
            <w:pPr>
              <w:keepNext w:val="0"/>
              <w:pageBreakBefore w:val="0"/>
              <w:spacing w:after="60" w:line="252" w:lineRule="auto"/>
            </w:pPr>
            <w:r>
              <w:rPr>
                <w:color w:val="000000"/>
                <w:sz w:val="20"/>
              </w:rPr>
            </w:r>
            <w:r>
              <w:rPr>
                <w:b/>
                <w:color w:val="000000"/>
                <w:sz w:val="20"/>
              </w:rPr>
              <w:t>Выполнено</w:t>
            </w:r>
          </w:p>
        </w:tc>
        <w:tc>
          <w:tcPr>
            <w:tcW w:type="dxa" w:w="3324"/>
            <w:shd w:fill="FFFFFF"/>
            <w:vAlign w:val="center"/>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В новых сделках технический код заменяется на понятное название «Пожарный аудит».</w:t>
            </w:r>
          </w:p>
        </w:tc>
      </w:tr>
      <w:tr>
        <w:trPr>
          <w:cantSplit/>
        </w:trPr>
        <w:tc>
          <w:tcPr>
            <w:tcW w:type="dxa" w:w="3324"/>
            <w:vAlign w:val="center"/>
            <w:shd w:fill="FFFFFF"/>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Контрольная заявка</w:t>
            </w:r>
          </w:p>
        </w:tc>
        <w:tc>
          <w:tcPr>
            <w:tcW w:type="dxa" w:w="3324"/>
            <w:vAlign w:val="center"/>
            <w:shd w:fill="FFFFFF"/>
            <w:tcMar>
              <w:top w:w="85" w:type="dxa"/>
              <w:bottom w:w="85" w:type="dxa"/>
              <w:left w:w="85" w:type="dxa"/>
              <w:right w:w="85" w:type="dxa"/>
            </w:tcMar>
          </w:tcPr>
          <w:p>
            <w:pPr>
              <w:keepNext w:val="0"/>
              <w:pageBreakBefore w:val="0"/>
              <w:spacing w:after="60" w:line="252" w:lineRule="auto"/>
            </w:pPr>
            <w:r>
              <w:rPr>
                <w:color w:val="000000"/>
                <w:sz w:val="20"/>
              </w:rPr>
            </w:r>
            <w:r>
              <w:rPr>
                <w:b/>
                <w:color w:val="000000"/>
                <w:sz w:val="20"/>
              </w:rPr>
              <w:t>Пройдено</w:t>
            </w:r>
          </w:p>
        </w:tc>
        <w:tc>
          <w:tcPr>
            <w:tcW w:type="dxa" w:w="3324"/>
            <w:vAlign w:val="center"/>
            <w:shd w:fill="FFFFFF"/>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Создана тестовая сделка №316 с пометкой «ТЕСТ — НЕ ЗВОНИТЬ». Проверены название услуги, страница /audit, комментарий и поле «Категория обращения».</w:t>
            </w:r>
          </w:p>
        </w:tc>
      </w:tr>
      <w:tr>
        <w:trPr>
          <w:cantSplit/>
        </w:trPr>
        <w:tc>
          <w:tcPr>
            <w:tcW w:type="dxa" w:w="3324"/>
            <w:shd w:fill="FFFFFF"/>
            <w:vAlign w:val="center"/>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Репозиторий сайта</w:t>
            </w:r>
          </w:p>
        </w:tc>
        <w:tc>
          <w:tcPr>
            <w:tcW w:type="dxa" w:w="3324"/>
            <w:shd w:fill="FFFFFF"/>
            <w:vAlign w:val="center"/>
            <w:tcMar>
              <w:top w:w="85" w:type="dxa"/>
              <w:bottom w:w="85" w:type="dxa"/>
              <w:left w:w="85" w:type="dxa"/>
              <w:right w:w="85" w:type="dxa"/>
            </w:tcMar>
          </w:tcPr>
          <w:p>
            <w:pPr>
              <w:keepNext w:val="0"/>
              <w:pageBreakBefore w:val="0"/>
              <w:spacing w:after="60" w:line="252" w:lineRule="auto"/>
            </w:pPr>
            <w:r>
              <w:rPr>
                <w:color w:val="000000"/>
                <w:sz w:val="20"/>
              </w:rPr>
            </w:r>
            <w:r>
              <w:rPr>
                <w:b/>
                <w:color w:val="000000"/>
                <w:sz w:val="20"/>
              </w:rPr>
              <w:t>Выполнено</w:t>
            </w:r>
          </w:p>
        </w:tc>
        <w:tc>
          <w:tcPr>
            <w:tcW w:type="dxa" w:w="3324"/>
            <w:shd w:fill="FFFFFF"/>
            <w:vAlign w:val="center"/>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Коммит eaa5c14 Map site service types to Bitrix deal categories добавляет передачу UF_CRM_SERVICE_TYPE в Netlify lead.js; пройдены 7 автоматических тестов. Для рабочего Cloud Run-потока это резервный контур.</w:t>
            </w:r>
          </w:p>
        </w:tc>
      </w:tr>
      <w:tr>
        <w:trPr>
          <w:cantSplit/>
        </w:trPr>
        <w:tc>
          <w:tcPr>
            <w:tcW w:type="dxa" w:w="3324"/>
            <w:vAlign w:val="center"/>
            <w:shd w:fill="FFFFFF"/>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Событийный контур crm-events</w:t>
            </w:r>
          </w:p>
        </w:tc>
        <w:tc>
          <w:tcPr>
            <w:tcW w:type="dxa" w:w="3324"/>
            <w:vAlign w:val="center"/>
            <w:shd w:fill="FFFFFF"/>
            <w:tcMar>
              <w:top w:w="85" w:type="dxa"/>
              <w:bottom w:w="85" w:type="dxa"/>
              <w:left w:w="85" w:type="dxa"/>
              <w:right w:w="85" w:type="dxa"/>
            </w:tcMar>
          </w:tcPr>
          <w:p>
            <w:pPr>
              <w:keepNext w:val="0"/>
              <w:pageBreakBefore w:val="0"/>
              <w:spacing w:after="60" w:line="252" w:lineRule="auto"/>
            </w:pPr>
            <w:r>
              <w:rPr>
                <w:color w:val="000000"/>
                <w:sz w:val="20"/>
              </w:rPr>
            </w:r>
            <w:r>
              <w:rPr>
                <w:b/>
                <w:color w:val="000000"/>
                <w:sz w:val="20"/>
              </w:rPr>
              <w:t>Выполнено</w:t>
            </w:r>
          </w:p>
        </w:tc>
        <w:tc>
          <w:tcPr>
            <w:tcW w:type="dxa" w:w="3324"/>
            <w:vAlign w:val="center"/>
            <w:shd w:fill="FFFFFF"/>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Сервис продолжает принимать стадийные события, записывать их в существующую таблицу crm_events BigQuery и исключать дубли по event_id.</w:t>
            </w:r>
          </w:p>
        </w:tc>
      </w:tr>
      <w:tr>
        <w:trPr>
          <w:cantSplit/>
        </w:trPr>
        <w:tc>
          <w:tcPr>
            <w:tcW w:type="dxa" w:w="3324"/>
            <w:shd w:fill="FFFFFF"/>
            <w:vAlign w:val="center"/>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Telegram по контрольной заявке</w:t>
            </w:r>
          </w:p>
        </w:tc>
        <w:tc>
          <w:tcPr>
            <w:tcW w:type="dxa" w:w="3324"/>
            <w:shd w:fill="FFFFFF"/>
            <w:vAlign w:val="center"/>
            <w:tcMar>
              <w:top w:w="85" w:type="dxa"/>
              <w:bottom w:w="85" w:type="dxa"/>
              <w:left w:w="85" w:type="dxa"/>
              <w:right w:w="85" w:type="dxa"/>
            </w:tcMar>
          </w:tcPr>
          <w:p>
            <w:pPr>
              <w:keepNext w:val="0"/>
              <w:pageBreakBefore w:val="0"/>
              <w:spacing w:after="60" w:line="252" w:lineRule="auto"/>
            </w:pPr>
            <w:r>
              <w:rPr>
                <w:color w:val="000000"/>
                <w:sz w:val="20"/>
              </w:rPr>
            </w:r>
            <w:r>
              <w:rPr>
                <w:b/>
                <w:color w:val="000000"/>
                <w:sz w:val="20"/>
              </w:rPr>
              <w:t>Требует проверки</w:t>
            </w:r>
          </w:p>
        </w:tc>
        <w:tc>
          <w:tcPr>
            <w:tcW w:type="dxa" w:w="3324"/>
            <w:shd w:fill="FFFFFF"/>
            <w:vAlign w:val="center"/>
            <w:tcMar>
              <w:top w:w="85" w:type="dxa"/>
              <w:bottom w:w="85" w:type="dxa"/>
              <w:left w:w="85" w:type="dxa"/>
              <w:right w:w="85" w:type="dxa"/>
            </w:tcMar>
          </w:tcPr>
          <w:p>
            <w:pPr>
              <w:keepNext w:val="0"/>
              <w:pageBreakBefore w:val="0"/>
              <w:spacing w:after="60" w:line="252" w:lineRule="auto"/>
            </w:pPr>
            <w:r>
              <w:rPr>
                <w:color w:val="000000"/>
                <w:sz w:val="20"/>
              </w:rPr>
            </w:r>
            <w:r>
              <w:rPr>
                <w:b w:val="0"/>
                <w:color w:val="000000"/>
                <w:sz w:val="20"/>
              </w:rPr>
              <w:t>Создание сделки прошло успешно, но отправка Telegram для контрольной заявки вернула HTTP 400. Диагностика уведомления выполняется отдельно; это не влияет на создание сделки и заполнение категории.</w:t>
            </w:r>
          </w:p>
        </w:tc>
      </w:tr>
    </w:tbl>
    <w:p>
      <w:pPr>
        <w:pStyle w:val="Heading2"/>
        <w:pageBreakBefore w:val="0"/>
        <w:widowControl/>
      </w:pPr>
      <w:r>
        <w:rPr>
          <w:color w:val="000000"/>
          <w:u w:val="none"/>
        </w:rPr>
        <w:t>Следующие действия</w:t>
      </w:r>
    </w:p>
    <w:p>
      <w:pPr>
        <w:pStyle w:val="ListBullet"/>
        <w:pageBreakBefore w:val="0"/>
        <w:widowControl/>
      </w:pPr>
      <w:r>
        <w:t>По сообщению заказчика от 2 октября получено корректное Telegram-уведомление «Пожарный аудит». Далее проверить услуги, страницу и доставку для остальных готовых страниц в техническом канале. Исторический HTTP 400 не объявлять текущим дефектом без новой проверки.</w:t>
      </w:r>
    </w:p>
    <w:p>
      <w:pPr>
        <w:pStyle w:val="ListBullet"/>
        <w:pageBreakBefore w:val="0"/>
        <w:widowControl/>
      </w:pPr>
      <w:r>
        <w:t>После выпуска рекламных и страницевых изменений выполнить сквозную проверку формы на каждой посадочной странице. Эта проверка находится в контуре сайта и рекламы.</w:t>
      </w:r>
    </w:p>
    <w:p>
      <w:pPr>
        <w:pStyle w:val="ListBullet"/>
        <w:pageBreakBefore w:val="0"/>
        <w:widowControl/>
      </w:pPr>
      <w:r>
        <w:t>Продолжить передачу согласованных CRM-событий из crm_events в GA4 и Google Ads по плану раздела 23.</w:t>
      </w:r>
    </w:p>
    <w:p>
      <w:pPr>
        <w:pStyle w:val="Heading1"/>
        <w:pageBreakBefore w:val="0"/>
        <w:widowControl/>
      </w:pPr>
      <w:r>
        <w:rPr>
          <w:color w:val="000000"/>
          <w:u w:val="none"/>
        </w:rPr>
        <w:t>24 Два этапа и актуальная очередь работ</w:t>
      </w:r>
    </w:p>
    <w:p>
      <w:pPr>
        <w:pageBreakBefore w:val="0"/>
        <w:widowControl/>
      </w:pPr>
      <w:r>
        <w:t>Основа проверки — версия 1.22 и BITRIX24_IMPLEMENTATION_STATUS.md в коммите 0e8ceaf от 2 октября 2026. В живой CRM в рамках подготовки этой редакции изменения не выполнялись. Перечень ниже не означает, что неподтвержденные функции отсутствуют: исполнитель сначала проверяет существующую настройку.</w:t>
      </w:r>
    </w:p>
    <w:p>
      <w:pPr>
        <w:pStyle w:val="Heading2"/>
        <w:pageBreakBefore w:val="0"/>
        <w:widowControl/>
      </w:pPr>
      <w:r>
        <w:rPr>
          <w:color w:val="000000"/>
          <w:u w:val="none"/>
        </w:rPr>
        <w:t>24.1 Первый этап</w:t>
      </w:r>
    </w:p>
    <w:p>
      <w:pPr>
        <w:pageBreakBefore w:val="0"/>
        <w:widowControl/>
      </w:pPr>
      <w:r>
        <w:t>Подтверждены по историческим документам стадии и обязательность обследования, задачи и ICP при входе, следующий шаг, бонусы, смена воронки той же сделки, crm-events и рабочий вход сайта. По сообщению заказчика получено корректное Telegram «Пожарный аудит»; остальные страницы проверяются отдельно. Далее: карта полей и связей, начальные договоры/объекты, SLA, предложение ТО и полный цикл обслуживания, четыре отчёта 1, 2, 4, 10. Наличие полей времени не подтверждает автоматический расчёт; его принимают на пилоте.</w:t>
      </w:r>
    </w:p>
    <w:p>
      <w:pPr>
        <w:pStyle w:val="Heading2"/>
        <w:pageBreakBefore w:val="0"/>
        <w:widowControl/>
      </w:pPr>
      <w:r>
        <w:rPr>
          <w:color w:val="000000"/>
          <w:u w:val="none"/>
        </w:rPr>
        <w:t>24.2 Второй этап</w:t>
      </w:r>
    </w:p>
    <w:p>
      <w:pPr>
        <w:pageBreakBefore w:val="0"/>
        <w:widowControl/>
      </w:pPr>
      <w:r>
        <w:t>Расширить единый каталог до десяти отчётов по отчётности v1.3. Экономика и финансовые данные рассчитываются управленческой системой v1.1 из подтверждённых банка/1С/CRM по утверждённой методике; BI показывает разрешённые согласованные представления. Основная единица сервиса — объект за месяц. CAC/окупаемость новых постоянных клиентов требуют рекламного источника, LTV — достаточной истории. Приёмка данных и функций проводится раздельно по общему плану.</w:t>
      </w:r>
    </w:p>
    <w:p>
      <w:pPr>
        <w:pStyle w:val="Heading2"/>
        <w:pageBreakBefore w:val="0"/>
        <w:widowControl/>
      </w:pPr>
      <w:r>
        <w:rPr>
          <w:color w:val="000000"/>
          <w:u w:val="none"/>
        </w:rPr>
        <w:t>24.3 Приемка и порядок изменений</w:t>
      </w:r>
    </w:p>
    <w:p>
      <w:pPr>
        <w:pageBreakBefore w:val="0"/>
        <w:widowControl/>
      </w:pPr>
      <w:r>
        <w:t>Этап 1: зафиксированы карта полей и связи, начальный реестр активных договоров, контрольные сценарии продаж и обслуживания минимум на двух объектах, отчетные сверки и права. Этап 2: проверен полный закрытый месяц работ и затрат, утверждены правила распределения, сверены показатели с первичными документами, все десять отчетов имеют паспорт и статус готовности, проведен первый месячный разбор с задачами. При отсутствии данных конкретный показатель обозначается как недоступный; срок внедрения согласуется после обследования портала.</w:t>
      </w:r>
    </w:p>
    <w:p>
      <w:pPr>
        <w:pStyle w:val="Heading2"/>
        <w:pageBreakBefore w:val="0"/>
        <w:widowControl/>
      </w:pPr>
      <w:r>
        <w:rPr>
          <w:color w:val="000000"/>
          <w:u w:val="none"/>
        </w:rPr>
        <w:t>24.4 История редакции</w:t>
      </w:r>
    </w:p>
    <w:p>
      <w:pPr>
        <w:pageBreakBefore w:val="0"/>
        <w:widowControl/>
      </w:pPr>
      <w:r>
        <w:t>Версия 1.23 от 2 октября 2026. Обновлены рабочий маршрут сайта, маршрутизация сделки, пересчет ICP, тест 33, срок приемки и статус старых полей. Установлены два этапа CRM, связанное ТЗ отчетности v1.2 с десятью месячными отчетами и методикой юнит экономики. Прежние версии сохраняются как история.</w:t>
      </w:r>
    </w:p>
    <w:p>
      <w:pPr>
        <w:pageBreakBefore w:val="0"/>
        <w:widowControl/>
      </w:pPr>
      <w:r>
        <w:t>Версия 1.25 от 5 октября 2026. Добавлен раздел 26: поля «ID договора» и «ID объекта», правило присвоения по номеру первой сделки, обязательность на стадии заключения договора, независимость настройки Bitrix24 от приостановленной управленческой системы, фиксация прав удаления сделок.</w:t>
      </w:r>
    </w:p>
    <w:p>
      <w:pPr>
        <w:pageBreakBefore w:val="0"/>
        <w:widowControl/>
      </w:pPr>
      <w:r>
        <w:t>Версия 1.26 от 5 октября 2026. Добавлен раздел 27: ежедневные очереди координатора как сохранённые фильтры сделок, поле «Категория отказа», решение по полям перспективы и предложения ТО, итоги проверки вебхуков.</w:t>
      </w:r>
    </w:p>
    <w:p>
      <w:pPr>
        <w:pageBreakBefore w:val="0"/>
        <w:widowControl/>
      </w:pPr>
      <w:r>
        <w:t>Версия 1.27 от 6 октября 2026. Добавлен раздел 28: утверждённый список категорий обращения и карта технических кодов, маршрут всех заявок сайта через Общую воронку и обследование, решение по SLA, состояние Cloud Run (ревизия 00087-lmp), контрольные заявки и открытые вопросы по реестру договоров; решение директора: «ID договора» всегда вносится вручную; устранён дубль заявок с /obsluzhivanie/ (мост Tilda убран, защита в Cloud Run).</w:t>
      </w:r>
    </w:p>
    <w:p>
      <w:pPr>
        <w:pStyle w:val="Heading1"/>
        <w:pageBreakBefore w:val="0"/>
        <w:widowControl/>
      </w:pPr>
      <w:r>
        <w:rPr>
          <w:color w:val="000000"/>
        </w:rPr>
        <w:t>25 Общие требования управленческой системы</w:t>
      </w:r>
      <w:r>
        <w:rPr>
          <w:rStyle w:val="CommentReference"/>
          <w:color w:val="000000"/>
        </w:rPr>
      </w:r>
    </w:p>
    <w:p>
      <w:pPr>
        <w:pageBreakBefore w:val="0"/>
        <w:widowControl/>
      </w:pPr>
      <w:r>
        <w:t>25.1 Обязателен общий паспорт MG-01–10 управленческого ТЗ v1.1: стабильные company_id/object_id/contract_service_id/work_id, N:M договор–объект и оплаты–обязательства, история действия и импорта, проверка активности, явное неизвестное. Новые UF-коды и физические сущности подтверждаются после выгрузки схемы. Аналитический импорт не меняет реальные карточки без отдельного поручения.</w:t>
      </w:r>
    </w:p>
    <w:p>
      <w:pPr>
        <w:pageBreakBefore w:val="0"/>
        <w:widowControl/>
      </w:pPr>
      <w:r>
        <w:t>25.2 Один официальный финансовый расчёт выполняется в локальном ядре. Bitrix24 отвечает за фактические действия, документы операционного процесса и ссылки. В CRM могут отражаться подтверждённые итоги по утверждённой карте, но их повторная запись и потребление не создают циклический пересчёт. Влияющая на бонус подтверждённая прибыль содержит период, методику и основание; старые начисления не переписываются при новой финансовой редакции без решения директора.</w:t>
      </w:r>
    </w:p>
    <w:p>
      <w:pPr>
        <w:pageBreakBefore w:val="0"/>
        <w:widowControl/>
      </w:pPr>
      <w:r>
        <w:t>25.3 Существующие одноразовые event_id, включая b24_visit_done_&lt;сделка&gt;_v1, сохраняются для совместимости. Для повторных работ, частичных оплат, пересмотра договора и нескольких КП используются ID соответствующего бизнес-факта и revision_id. Версия схемы/адаптера сама по себе не разрешает повторную бизнес-конверсию. По каждому получателю ведутся самостоятельный статус и ответ доставки; изменение финансовой версии не отправляет рекламе новую продажу автоматически.</w:t>
      </w:r>
    </w:p>
    <w:p>
      <w:pPr>
        <w:pageBreakBefore w:val="0"/>
        <w:widowControl/>
      </w:pPr>
      <w:r>
        <w:t>Подтверждённый операционный факт не блокируется отсутствием финансовых сведений. Неизвестные прибыль, value и MRR не заменяются нулём: контракт события фиксирует обязательные операционные поля и допустимые необязательные финансовые атрибуты. Для рекламной отправки отдельно утверждается правило конверсионной стоимости; предварительная/неизвестная прибыль не передаётся как подтверждённая.</w:t>
      </w:r>
    </w:p>
    <w:p>
      <w:pPr>
        <w:pageBreakBefore w:val="0"/>
        <w:widowControl/>
      </w:pPr>
      <w:r>
        <w:t>25.4 Инкрементальный импорт CRM применяет перекрывающее окно, полную сверку ID и транзакционную точку успешной загрузки. Удаление/слияние фиксируется подтверждённым событием либо проверенным сверочным решением; пропуск в странице API не удаляет локальную историю. История цены, статуса, работ и замечаний сохраняется с даты запуска. Закрытые отчёты воспроизводятся по снимку и версиям.</w:t>
      </w:r>
    </w:p>
    <w:p>
      <w:pPr>
        <w:pageBreakBefore w:val="0"/>
        <w:widowControl/>
      </w:pPr>
      <w:r>
        <w:t>25.5 Четыре CRM-отчёта и ежедневные очереди принимаются на этапе продаж/обслуживания. Финансовый этап требует U4–U6, методики MG-11–12 и закрытого месяца; независимые нефинансовые отчёты продолжаются при задержке банка, 1С или рекламы. Операционный контур сохраняет работоспособность при выключенной локальной системе.</w:t>
      </w:r>
    </w:p>
    <w:p>
      <w:pPr>
        <w:pageBreakBefore w:val="0"/>
        <w:widowControl/>
      </w:pPr>
      <w:r>
        <w:t>25.6 Дополнительная приёмка: два объекта одного договора на одну дату дают две работы и один MRR; прекращение одной услуги сохраняет другую; повтор платежа не дублирует оплату, разные payment_id не теряются; импорт не объединяет похожие компании; результат финансового KPI в BI совпадает с согласованным локальным снимком. Обязательны UAT02–07, UAT12–20, UAT22–24 и UAT26 в применимой части.</w:t>
      </w:r>
    </w:p>
    <w:p>
      <w:pPr>
        <w:pageBreakBefore w:val="0"/>
        <w:widowControl/>
      </w:pPr>
      <w:r>
        <w:t>25.7 Реестр внедрения содержит requirement_id, зависимость, статус, реальные ID, владельца, доказательство, дату и следующий шаг. Исторические подтверждения 1–2 октября 2026 остаются историческими; редакция 1.24 не является повторной проверкой портала. В сообщении заказчика от 2 октября подтверждено получение Telegram с названием «Пожарный аудит»; общий сценарий других страниц и актуальная конфигурация требуют отдельной проверки. Прежняя ошибка HTTP 400 сохраняется в истории, а не объявляется текущим подтверждённым сбоем.</w:t>
      </w:r>
    </w:p>
    <w:p>
      <w:pPr>
        <w:pageBreakBefore w:val="0"/>
        <w:widowControl/>
      </w:pPr>
      <w:r>
        <w:t>25.8 Версия 1.24 от 5 октября 2026 согласует CRM с управленческим ТЗ v1.1 и отчётностью v1.3. Исправлены источник оплаты, активность компании, кардинальность договоров/объектов, ключ плановых работ/платежей и коллизии услуги/сценария. Сохранены существующие коды, обследование, бонусные решения и два этапа CRM. Правила MG имеют силу требований; реальные настройки подтверждаются протоколом.</w:t>
      </w:r>
    </w:p>
    <w:p>
      <w:pPr>
        <w:pStyle w:val="Heading1"/>
        <w:pageBreakBefore w:val="0"/>
        <w:widowControl/>
      </w:pPr>
      <w:r>
        <w:rPr>
          <w:color w:val="000000"/>
        </w:rPr>
        <w:t>26 Идентификаторы договора и объекта (редакция 1.25)</w:t>
      </w:r>
      <w:r>
        <w:rPr>
          <w:rStyle w:val="CommentReference"/>
          <w:color w:val="000000"/>
        </w:rPr>
      </w:r>
    </w:p>
    <w:p>
      <w:pPr>
        <w:pageBreakBefore w:val="0"/>
        <w:widowControl/>
      </w:pPr>
      <w:r>
        <w:t>26.1 Модель данных. Одна сделка соответствует одному объекту. У компании может быть несколько договоров — это разные сделки. Договор с несколькими объектами оформляется несколькими сделками с общим «ID договора».</w:t>
      </w:r>
    </w:p>
    <w:p>
      <w:pPr>
        <w:pageBreakBefore w:val="0"/>
        <w:widowControl/>
      </w:pPr>
      <w:r>
        <w:t>26.2 Поля сделки. «ID договора» (UF_CRM_1791192601) и «ID объекта» (UF_CRM_1791192653) созданы в портале 5 октября 2026. Значение — номер первой сделки договора (объекта). У первой сделки поле равно её собственному ID; у остальных сделок того же договора копируется значение первой. Значение присваивается на стадии заключения договора и в дальнейшем не меняется и не переиспользуется. Реализовано 6 октября 2026: робот «Изменить элемент» (UF_CRM_1791192653 = {=Document:ID}) на стадиях подписания договора четырёх воронок — Общая («Договор заключён»), Проект АПС («Договор и счёт подписан», C8:FINAL_INVOICE), Монтаж («Договор и счёт подписаны», C10:EXECUTING), Продажа ТО АПС («Договор на ТО подписан», C2:WON). Проверено на сделке 398: при входе на стадию «ID объекта» стало равно ID сделки. «ID договора» всегда вносится вручную (решение директора от 6 октября 2026): у первой сделки договора равен её ID, у остальных копируется; автоматический робот для него не создаётся. Номер договора вносит ответственный за договоры (Карина), автонумерация договоров в CRM не вводится.</w:t>
      </w:r>
    </w:p>
    <w:p>
      <w:pPr>
        <w:pageBreakBefore w:val="0"/>
        <w:widowControl/>
      </w:pPr>
      <w:r>
        <w:t>26.3 Обязательность. Поле «ID договора» обязательно на стадии заключения договора в воронках: Общая («9. Договор заключён»), Продажа Монтажные работы («5. Договор и счёт подписаны»), Продажа ТО АПС («5. Договор на ТО подписан»), Разработка проекта АПС (стадия заключения договора, название уточняется при настройке). В воронке «Обслуживание текущих клиентов» не требуется. Способ настройки (проверено 5 октября 2026): карточка сделки → режим «изменить» → значок ⚙ у поля → «Настроить» → «Обязательное на стадии». Поля «ID договора» и «ID объекта» пока не добавлены в вид карточки «Рабочая карточка — все воронки кроме текущего обслуживания» (ID 2), поэтому сначала их добавляют в карточку через «Выбрать поле», затем включают обязательность для стадий заключения договора. Статус: не выполнено, ждёт добавления полей в карточку.</w:t>
      </w:r>
    </w:p>
    <w:p>
      <w:pPr>
        <w:pageBreakBefore w:val="0"/>
        <w:widowControl/>
      </w:pPr>
      <w:r>
        <w:t>26.4 Существующие сделки. «ID договора» и «ID объекта» заполняются по списку действующих договоров с начала 2026 года (решение D04, список готовит ответственный за договоры). Массовое заполнение без списка не выполняется; дубли и неоднозначные случаи выносятся на решение директора.</w:t>
      </w:r>
    </w:p>
    <w:p>
      <w:pPr>
        <w:pageBreakBefore w:val="0"/>
        <w:widowControl/>
      </w:pPr>
      <w:r>
        <w:t>26.5 Связь с управленческой системой. Работа над управленческой системой приостановлена с 5 октября 2026. Настройка Bitrix24 продолжается независимо и не ждёт её. «ID договора» и «ID объекта» — внешние ключи для будущего согласования с общим паспортом MG-01–10 (company_id, object_id, contract_service_id); связь N:M по разделу 25.1 остаётся целевой моделью, а в CRM выражается несколькими сделками с общим ID договора. Выполнение требований раздела 25 для CRM ведётся единым реестром внедрения (25.7).</w:t>
      </w:r>
    </w:p>
    <w:p>
      <w:pPr>
        <w:pageBreakBefore w:val="0"/>
        <w:widowControl/>
      </w:pPr>
      <w:r>
        <w:t>26.6 Права на удаление сделок. В портале три роли: «Администратор», «Менеджер», «Техник». Решение директора от 5 октября 2026: права роли «Менеджер» на удаление сделок пока не меняются. Техник удалять сделки не может (подтверждено для воронки «Разработка проекта АПС», остальные воронки проверяются). Риск: удаление первой сделки договора нарушает ключ, поэтому номер удалённой сделки остаётся значением «ID договора» и не выдаётся повторно; удаления сделок договорных воронок отслеживаются и сверяются с реестром договоров.</w:t>
      </w:r>
    </w:p>
    <w:p>
      <w:pPr>
        <w:pageBreakBefore w:val="0"/>
        <w:widowControl/>
      </w:pPr>
      <w:r>
        <w:t>26.7 Приёмка. На контрольных сделках: у первой сделки «ID договора» равно её ID; у второй сделки того же договора значение скопировано; переход на стадию заключения договора без значения блокируется (после настройки по 26.3); существующие сделки из списка договоров заполнены, расхождений нет.</w:t>
      </w:r>
    </w:p>
    <w:p>
      <w:pPr>
        <w:pageBreakBefore w:val="0"/>
        <w:widowControl/>
      </w:pPr>
      <w:r>
        <w:t>26.8 Порядок внесения договора в CRM (инструкция ответственному за договоры). Одна сделка — один объект. (1) Создать сделку в воронке: ТО АПС — «Продажа ТО АПС», монтаж — «Продажа Монтажные работы», прочее — «Общая воронка»; привязать компанию. (2) Заполнить «Номер договора», «Дата договора», «Адрес объекта» по реестру договоров. (3) Перевести сделку на стадию заключения договора («5. Договор на ТО подписан», «5. Договор и счёт подписаны» или «9. Договор заключён»). (4) Первая сделка договора: «ID договора» и «ID объекта» равны номеру самой сделки (число из адреса /crm/deal/details/&lt;номер&gt;/). (5) Дополнительный объект того же договора — отдельная сделка: «ID договора» копируется из первой сделки, «ID объекта» равен номеру новой сделки. (6) Два договора одной компании — разные сделки с разными «ID договора». (7) Сделки договоров не удалять, номера не переиспользовать. До включения обязательности поля проверять заполнение «ID договора» вручную. Реестр действующих договоров вносит Карина Маратова (решение от 5 октября 2026).</w:t>
      </w:r>
    </w:p>
    <w:p>
      <w:pPr>
        <w:pStyle w:val="Heading1"/>
        <w:pageBreakBefore w:val="0"/>
        <w:widowControl/>
      </w:pPr>
      <w:r>
        <w:rPr>
          <w:color w:val="000000"/>
        </w:rPr>
        <w:t>27 Ежедневные очереди, категория отказа и интеграции (редакция 1.26)</w:t>
      </w:r>
    </w:p>
    <w:p>
      <w:pPr>
        <w:pageBreakBefore w:val="0"/>
        <w:widowControl/>
      </w:pPr>
      <w:r>
        <w:t xml:space="preserve">27.1 Ежедневные очереди координатора. В списке сделок сохранены фильтры для группы стадий «Сделка в работе»: «Очередь: просрочен следующий шаг» (дела просрочены), «Очередь: нет следующего шага» (нет дел), «Очередь: неизвестный источник» (источник не выбран), «Очередь: не оценена перспектива ТО» (Перспектива ТО = «Не оценено») и «Очередь: ТО не предложено» (Предложение ТО = «Не предлагали»). Фильтры только показывают данные и ничего в сделках не меняют. Для очереди «неизвестный источник» исключение воронки «Обслуживание текущих клиентов» и сделок «ТЕСТ» добавляется отдельно. Фильтры ТО не ограничены воронками: если сделка в обслуживании, аварийной или замене оборудования получит значение по умолчанию, она попадёт в очередь; при необходимости добавляется исключение этих воронок. </w:t>
      </w:r>
    </w:p>
    <w:p>
      <w:pPr>
        <w:pageBreakBefore w:val="0"/>
        <w:widowControl/>
      </w:pPr>
      <w:r>
        <w:t>27.2 Категория отказа. В сделке создано поле-список «Категория отказа» (UF_CRM_1791203045): Дорого; Выбрали другого подрядчика; Отложили решение; Нет бюджета; Не наш профиль; Нет связи с клиентом; Другое. Поле «Причина отказа» остаётся текстовым полем для комментариев. 5 октября 2026 поля «ID договора», «ID объекта», «Категория отказа» и «Причина отказа» добавлены в карточки всех семи воронок, а «Категория отказа» сделана обязательной на стадиях провала: Общая — Нецелевой лид, Не удалось связаться, Отказ клиента, Отложенный спрос; Разработка проекта АПС — Проект отклонён, Приостановлено; Продажа Монтажные работы — Монтаж отменён, Приостановлено; Продажа ТО АПС — Отказ / остался у текущего подрядчика, Отложено — ждём окончания текущего договора; Обслуживание текущих клиентов — Расторжение договора; Замена оборудования — Сделка провалена, Анализ причины провала; Аварийная — Нецелевой / ложный вызов, Работы отложены клиентом. Очередь «Нет причины отказа» фильтром не строится, так как фильтр списка не ищет пустое значение; контроль обеспечивается обязательностью поля.</w:t>
      </w:r>
    </w:p>
    <w:p>
      <w:pPr>
        <w:pageBreakBefore w:val="0"/>
        <w:widowControl/>
      </w:pPr>
      <w:r>
        <w:t xml:space="preserve">27.3 Перспектива и предложение ТО. 5 октября 2026 созданы поля сделки «Перспектива ТО» (UF_CRM_1791205741; Не оценено — по умолчанию; Подходит сейчас; Подходит после подготовки; Не подходит), «Предложение ТО» (UF_CRM_1791205857; Не предлагали — по умолчанию; Предложено устно; КП отправлено; Отказ; Договор подписан) и «Дата предложения ТО» (UF_CRM_1791205896). Поля добавлены в карточки воронок «Общая», «Разработка проекта АПС», «Продажа Монтажные работы» и «Продажа ТО АПС» и не добавлены в воронки обслуживания и аварийную. «Перспектива ТО» обязательна на стадии «Обследование принято» Общей воронки. В открытых сделках этих четырёх воронок значения по умолчанию проставлены разово с разрешения директора, чтобы очереди 1 и 2 находили записи. Робот «Предложить ТО» (срок 2 рабочих дня) настраивается позже. </w:t>
      </w:r>
    </w:p>
    <w:p>
      <w:pPr>
        <w:pageBreakBefore w:val="0"/>
        <w:widowControl/>
      </w:pPr>
      <w:r>
        <w:t>27.4 Вебхуки. По состоянию на 5 октября 2026 в портале существует один вебхук: входящий №10 (доступ CRM). Вебхуки для учёта рабочего времени не создавались; такие вебхуки и деплой кода учёта времени остаются в приостановленной части проекта.</w:t>
      </w:r>
    </w:p>
    <w:p>
      <w:pPr>
        <w:pageBreakBefore w:val="0"/>
        <w:widowControl/>
      </w:pPr>
      <w:r>
        <w:t>27.5 Приёмка. Каждый из пяти фильтров очередей открывается у координатора и возвращает записи, соответствующие условию; поле «Категория отказа» присутствует в списке полей сделки с семью значениями и обязательно на стадиях провала всех семи воронок; поля ТО присутствуют в карточках четырёх воронок.</w:t>
      </w:r>
    </w:p>
    <w:p>
      <w:pPr>
        <w:pageBreakBefore w:val="0"/>
        <w:widowControl/>
      </w:pPr>
      <w:r>
        <w:t xml:space="preserve">27.6 Данные договоров и справочники. В Общей воронке «Договор заключён», в воронках «Разработка проекта АПС» («Договор и счёт подписан»), «Продажа Монтажные работы» («Договор и счёт подписаны») и «Продажа ТО АПС» («Договор на ТО подписан») поле «ID договора» обязательно на стадии подписания договора. Названия 21 компании приведены к официальным названиям из реестра договоров (ИП ГОЛЛИВУДСКАЯ УЛЫБКА оставлено без кавычек по решению директора). В сделке 332 (Danone) указан наш номер договора 13092024-01, номер клиента DB-CO-561/24 записан в комментарий сделки. Тестовые сделки удалены директором; названия сделок со старыми названиями компаний и адреса объектов в 30 сделках остаются на доработке (адреса вносит Карина Маратова). </w:t>
      </w:r>
    </w:p>
    <w:p>
      <w:pPr>
        <w:pStyle w:val="Heading1"/>
        <w:pageBreakBefore w:val="0"/>
        <w:widowControl/>
      </w:pPr>
      <w:r>
        <w:rPr>
          <w:color w:val="000000"/>
        </w:rPr>
        <w:t>28 Категории обращения, маршрут заявок и SLA (редакция 1.27)</w:t>
      </w:r>
    </w:p>
    <w:p>
      <w:pPr>
        <w:pageBreakBefore w:val="0"/>
        <w:widowControl/>
      </w:pPr>
      <w:r>
        <w:t>28.1 Список категорий обращения. Поле сделки «Категория обращения» (UF_CRM_SERVICE_TYPE) принимает восемь значений: Обслуживание, Проверка, Монтаж, Модернизация, Авария, Пожарный аудит, Отдельная услуга, Проектирование. «Проектирование» утверждено директором 7 октября 2026 года как восьмая категория (коды fire_alarm_design, aps_design и design; маршрут — воронка 8 «Проект АПС» после обследования в общей воронке).</w:t>
      </w:r>
    </w:p>
    <w:p>
      <w:pPr>
        <w:pageBreakBefore w:val="0"/>
        <w:widowControl/>
      </w:pPr>
      <w:r>
        <w:t>28.2 Карта технических кодов. aps_maintenance → Обслуживание; inspection → Проверка; installation и aps_installation → Монтаж; aps_modernization → Модернизация; emergency_visit, emergency_service, lead_srabotka и aps_repair → Авария; fire_audit → Пожарный аудит; extinguisher_recharge, evacuation_plans, fire_hydrant_testing, ispytaniya_pk («Испытания пожарных кранов») и stress_test («Стресс-тест») → Отдельная услуга. Карта одинакова в Cloud Run (рабочий контур) и в netlify/functions/lead.js (резервный контур). Страницы /modernizaciya/ на сайте нет: код aps_modernization проверен только автоматическими тестами.</w:t>
      </w:r>
    </w:p>
    <w:p>
      <w:pPr>
        <w:pageBreakBefore w:val="0"/>
        <w:widowControl/>
      </w:pPr>
      <w:r>
        <w:t>Рабочий путь коммерческой заявки: страница → прямой запрос в Cloud Run → журнал BigQuery → одна сделка в Общей воронке на стадии «Новая заявка». Первый контакт — 30 минут в рабочее время. Категория обращения не определяет воронку: координатор уточняет потребность и меняет воронку той же сделки, сохраняя исходную услугу, ID обращения и атрибуцию. Второй мост через скрытую форму Tilda не добавлять. Ошибка аналитики или Telegram не меняет успешный статус принятой заявки. Обследование по необходимости; Кузет допускает договор без обязательного выезда.</w:t>
      </w:r>
    </w:p>
    <w:p>
      <w:pPr>
        <w:pageBreakBefore w:val="0"/>
        <w:widowControl/>
      </w:pPr>
      <w:r>
        <w:t>28.4 SLA. Принята простая схема: один общий робот первого контакта с SLA 30 минут в рабочее время для всех категорий. Срочные заявки («Авария») остаются в Общей воронке и получают то же напоминание через 30 минут. Отдельный SLA 30 минут в рабочее время для категории «Отдельная услуга» и отдельные сроки 15 минут для аварии не вводятся; пункт раздела 6 о SLA 30 минут в рабочее время сохраняется как справочный. Проверено 6 октября 2026: контрольная сделка №442 (категория «Отдельная услуга», страница планов эвакуации) создана в 16:54 в Общей воронке на стадии «Новая заявка»; робот создал задачу «Квалификация новой заявки» со сроком 17:24, то есть через 30 минут. Для категорий «Авария» и «Отдельная услуга» используется тот же робот.</w:t>
      </w:r>
    </w:p>
    <w:p>
      <w:pPr>
        <w:pageBreakBefore w:val="0"/>
        <w:widowControl/>
      </w:pPr>
      <w:r>
        <w:t>28.5 Состояние Cloud Run. Сервис tilda-webhook-to-bigquery выпущен в ревизии tilda-webhook-to-bigquery-00087-lmp (6 октября 2026, 100 процентов трафика; в ней добавлены коды ispytaniya_pk и stress_test), заменившей ревизию 00077-lzc из раздела 23.11. Код хранится в репозитории: cloud-run/tilda-webhook-to-bigquery/main.py, ветка cloud-run-appeal-categories (в main не влита). С 6 октября 2026 в код добавлена защита от дублей: если за последние 3 минуты уже есть сделка с тем же названием (услуга и имя клиента), вторая сделка и контакт не создаются; при одновременной доставке двух копий защита может не сработать.</w:t>
      </w:r>
    </w:p>
    <w:p>
      <w:pPr>
        <w:pageBreakBefore w:val="0"/>
        <w:widowControl/>
      </w:pPr>
      <w:r>
        <w:t>28.6 Данные. Значение «Обслуживание» проставлено в сделках №206–216. Четыре сделки сохраняют прежнее значение «Другое обращение»; у закрытых сделок №30, №112, №172 и нескольких открытых сделок категория пуста — заполняют ответственные.</w:t>
      </w:r>
    </w:p>
    <w:p>
      <w:pPr>
        <w:pageBreakBefore w:val="0"/>
        <w:widowControl/>
      </w:pPr>
      <w:r>
        <w:t>28.7 Приёмка и результаты контрольных заявок. 6 октября 2026 контрольные заявки с /obsluzhivanie/, /montazh/, /audit/ и /srabotka/ создали сделки в Общей воронке на стадии «Новая заявка» с категориями Обслуживание, Монтаж, Пожарный аудит и Авария (сделки №408, 410, 412, 414, 426, 428). Контрольная сделка №418 создана до выпуска и осталась в воронке «Аварийная». Все тестовые сделки и задачи удаляет директор.</w:t>
      </w:r>
    </w:p>
    <w:p>
      <w:pPr>
        <w:pageBreakBefore w:val="0"/>
        <w:widowControl/>
      </w:pPr>
      <w:r>
        <w:t>28.8 Открытые вопросы по реестру договоров (пункт 2 этапа 1). Название сделки №332 нужно привести к номеру договора 13092024-01; плановые даты следующего обслуживания пусты у всех 34 сделок воронки «Обслуживание текущих клиентов» и должны быть получены у ответственного за договоры; у 11 сделок этой воронки (№74, 76, 90, 92, 94, 96, 104, 106, 108, 110, 152) нет ID договора; все сделки воронки находятся на стадии «Новая». Автонумерация договоров пока не вводится.</w:t>
      </w:r>
    </w:p>
    <w:p>
      <w:pPr>
        <w:pageBreakBefore w:val="0"/>
        <w:widowControl/>
      </w:pPr>
      <w:r>
        <w:t>28.9 Нумерация. Решение директора от 6 октября 2026: «ID объекта» заполняется автоматически роботом на стадиях подписания договора (раздел 26.2); «ID договора» и номер договора всегда вносятся вручную ответственным за договоры. Автонумерация договоров не вводится.</w:t>
      </w:r>
    </w:p>
    <w:p>
      <w:pPr>
        <w:pageBreakBefore w:val="0"/>
        <w:widowControl/>
      </w:pPr>
      <w:r>
        <w:t>28.10 Дубли заявок с /obsluzhivanie/. 6 октября 2026 контрольная заявка создала две сделки: страница отправляла форму напрямую в Cloud Run, а скрипт-мост в странице Tilda (признак __pzTildaBridgeInstalled) одновременно заполнял скрытую форму Tilda form4204699703 и отправлял вторую копию через вебхук Tilda. Решение директора: рабочий путь — прямая отправка из страницы в Cloud Run, мост через Tilda убирается. Выполнено: из страницы удалены блок скрытой формы и скрипт-мост (стили блока сохранены), страница опубликована; в Cloud Run выпущена защита от дублей (28.5). Мост был только на /obsluzhivanie/; на /montazh/, /audit/ и /srabotka/ его нет, а второе уведомление «Расчёт монтажа АПС» на /montazh/ относится к калькулятору. Приёмка: контрольная заявка с /obsluzhivanie/ даёт одну сделку и одно уведомление. Результат проверки: сделка одна (№440); старая копия страницы из кэша ещё отправила вторую копию, но вторая сделка не создалась.</w:t>
      </w:r>
    </w:p>
    <w:p>
      <w:pPr>
        <w:pStyle w:val="Heading1"/>
        <w:pageBreakBefore w:val="0"/>
        <w:widowControl/>
      </w:pPr>
      <w:r>
        <w:rPr>
          <w:color w:val="000000"/>
        </w:rPr>
        <w:t>Согласованные требования редакции 1.28 от 8 октября 2026 года</w:t>
      </w:r>
    </w:p>
    <w:p>
      <w:pPr>
        <w:pageBreakBefore w:val="0"/>
        <w:widowControl/>
      </w:pPr>
      <w:r>
        <w:t>Единственная основная конверсия Google Ads — contract_won из CRM по факту заключения договора, с фактической датой заключения. Форма, квалификация, назначение и проведение выезда, КП, счёт, оплата и завершение работ — Secondary и не включаются в цели кампании для ставок, включая custom goals. Начало обучения рекламы — после 10 уникальных подтверждённых contract_won, успешно переданных в Google Ads; промежуточные стадии в этот порог не входят.</w:t>
      </w:r>
    </w:p>
    <w:p>
      <w:pPr>
        <w:pageBreakBefore w:val="0"/>
        <w:widowControl/>
      </w:pPr>
      <w:r>
        <w:t>Договорный результат дедуплицируется по подтверждённому ID договора и типу события. Несколько объектных сделок одного договора, повтор вебхука и смена воронки не создают повторную конверсию. Отдельный договор монтажа и отдельный договор ТО учитываются отдельно с сохранением исходного обращения. Продление, допсоглашение, выезд и смена версии адаптера не являются новым привлечением автоматически. Неизвестная прибыль, MRR или value не заменяются нулём; договорный факт сохраняется независимо от готовности финансовых данных.</w:t>
      </w:r>
    </w:p>
    <w:p>
      <w:pPr>
        <w:pageBreakBefore w:val="0"/>
        <w:widowControl/>
      </w:pPr>
      <w:r>
        <w:t>Рабочий путь коммерческой заявки: страница → прямой запрос в Cloud Run → журнал BigQuery → одна сделка в Общей воронке на стадии «Новая заявка». Первый контакт — 30 минут в рабочее время. Категория обращения не определяет воронку: координатор уточняет потребность и меняет воронку той же сделки, сохраняя исходную услугу, ID обращения и атрибуцию. Второй мост через скрытую форму Tilda не добавлять. Ошибка аналитики или Telegram не меняет успешный статус принятой заявки.</w:t>
      </w:r>
    </w:p>
    <w:p>
      <w:pPr>
        <w:pageBreakBefore w:val="0"/>
        <w:widowControl/>
      </w:pPr>
      <w:r>
        <w:t>Во всех формах лид-магнитов обязательно поле «Город / Регион объекта» без предвыбранного значения: Алматы, Алматинская область, Другой регион; для последнего — название региона. Регион относится к объекту, IP его не заменяет. Документ выдаётся автоматически всем. Other_region хранится отдельно в аналитике и CRM без передачи в продажи, задач менеджеру и продажных уведомлений. Для учёта использовать доступную модель CRM и канонические поля, без обязательного смарт-процесса или бизнес-процесса. Сервер проверяет геосегмент и sales_eligible; скрытому полю браузера не доверять.</w:t>
      </w:r>
    </w:p>
    <w:p>
      <w:pPr>
        <w:pageBreakBefore w:val="0"/>
        <w:widowControl/>
      </w:pPr>
      <w:r>
        <w:t>Общий модуль аналитики подключается один раз через действующий GTM-WVGQ5BZ4 и Google tag G-K3055R6Y7X. Главная — эталон подключения. Источник конфигурации — реестр pathname в GTM; window.PZ_PAGE_CONFIG является необязательным переопределением. Для маршрута задать page_type, page_name, source_page, service_type, customer_type, form_name и form_location. Атрибуты CTA: data-requested-action, data-cta-location; формы: data-form-id, data-form-name, data-form-location. Не копировать общий код аналитики в каждую страницу.</w:t>
      </w:r>
    </w:p>
    <w:p>
      <w:pPr>
        <w:pageBreakBefore w:val="0"/>
        <w:widowControl/>
      </w:pPr>
      <w:r>
        <w:t>Один глобальный интерфейс согласия: до выбора consent_analytics, consent_ads и consent_marketing=denied; четыре сигнала Google Consent Mode v2 также denied. «Принять все» допустимо с явным перечислением аналитики, рекламы и рекламных коммуникаций; рядом равнозначная кнопка «Только необходимые» и настройки для изменения выбора. Сохранять consent_timestamp и consent_version. Обязательное согласие на обработку конкретной заявки отдельно в форме; отказ от необязательных согласий не блокирует заявку, скачивание, телефон или WhatsApp. Необязательные системы не загружать и постоянную атрибуцию не сохранять до соответствующего согласия.</w:t>
      </w:r>
    </w:p>
    <w:p>
      <w:pPr>
        <w:pStyle w:val="Heading2"/>
        <w:pageBreakBefore w:val="0"/>
        <w:widowControl/>
      </w:pPr>
      <w:r>
        <w:rPr>
          <w:color w:val="000000"/>
        </w:rPr>
        <w:t>Карта категорий обращения</w:t>
      </w:r>
    </w:p>
    <w:tbl>
      <w:tblPr>
        <w:tblW w:type="auto" w:w="0"/>
        <w:tblLayout w:type="fixed"/>
        <w:tblLook w:firstColumn="1" w:firstRow="1" w:lastColumn="0" w:lastRow="0" w:noHBand="0" w:noVBand="1" w:val="04A0"/>
      </w:tblPr>
      <w:tblGrid>
        <w:gridCol w:w="4986"/>
        <w:gridCol w:w="4986"/>
      </w:tblGrid>
      <w:tr>
        <w:trPr>
          <w:cantSplit/>
          <w:tblHeader/>
          <w:tblHeader/>
        </w:trPr>
        <w:tc>
          <w:tcPr>
            <w:tcW w:type="dxa" w:w="4986"/>
            <w:shd w:fill="EAEAEA"/>
          </w:tcPr>
          <w:p>
            <w:pPr>
              <w:keepNext/>
              <w:pageBreakBefore w:val="0"/>
              <w:spacing w:after="80"/>
            </w:pPr>
            <w:r>
              <w:rPr>
                <w:b/>
                <w:sz w:val="20"/>
              </w:rPr>
              <w:t>Технический service_type</w:t>
            </w:r>
          </w:p>
        </w:tc>
        <w:tc>
          <w:tcPr>
            <w:tcW w:type="dxa" w:w="4986"/>
            <w:shd w:fill="EAEAEA"/>
          </w:tcPr>
          <w:p>
            <w:pPr>
              <w:keepNext/>
              <w:pageBreakBefore w:val="0"/>
              <w:spacing w:after="80"/>
            </w:pPr>
            <w:r>
              <w:rPr>
                <w:b/>
                <w:sz w:val="20"/>
              </w:rPr>
              <w:t>Категория UF_CRM_SERVICE_TYPE</w:t>
            </w:r>
          </w:p>
        </w:tc>
      </w:tr>
      <w:tr>
        <w:trPr>
          <w:cantSplit/>
        </w:trPr>
        <w:tc>
          <w:tcPr>
            <w:tcW w:type="dxa" w:w="4986"/>
          </w:tcPr>
          <w:p>
            <w:pPr>
              <w:keepNext w:val="0"/>
              <w:pageBreakBefore w:val="0"/>
              <w:spacing w:after="80"/>
            </w:pPr>
            <w:r>
              <w:rPr>
                <w:b w:val="0"/>
                <w:sz w:val="20"/>
              </w:rPr>
              <w:t>aps_maintenance</w:t>
            </w:r>
          </w:p>
        </w:tc>
        <w:tc>
          <w:tcPr>
            <w:tcW w:type="dxa" w:w="4986"/>
          </w:tcPr>
          <w:p>
            <w:pPr>
              <w:keepNext w:val="0"/>
              <w:pageBreakBefore w:val="0"/>
              <w:spacing w:after="80"/>
            </w:pPr>
            <w:r>
              <w:rPr>
                <w:b w:val="0"/>
                <w:sz w:val="20"/>
              </w:rPr>
              <w:t>Обслуживание</w:t>
            </w:r>
          </w:p>
        </w:tc>
      </w:tr>
      <w:tr>
        <w:trPr>
          <w:cantSplit/>
        </w:trPr>
        <w:tc>
          <w:tcPr>
            <w:tcW w:type="dxa" w:w="4986"/>
          </w:tcPr>
          <w:p>
            <w:pPr>
              <w:keepNext w:val="0"/>
              <w:pageBreakBefore w:val="0"/>
              <w:spacing w:after="80"/>
            </w:pPr>
            <w:r>
              <w:rPr>
                <w:b w:val="0"/>
                <w:sz w:val="20"/>
              </w:rPr>
              <w:t>inspection</w:t>
            </w:r>
          </w:p>
        </w:tc>
        <w:tc>
          <w:tcPr>
            <w:tcW w:type="dxa" w:w="4986"/>
          </w:tcPr>
          <w:p>
            <w:pPr>
              <w:keepNext w:val="0"/>
              <w:pageBreakBefore w:val="0"/>
              <w:spacing w:after="80"/>
            </w:pPr>
            <w:r>
              <w:rPr>
                <w:b w:val="0"/>
                <w:sz w:val="20"/>
              </w:rPr>
              <w:t>Проверка</w:t>
            </w:r>
          </w:p>
        </w:tc>
      </w:tr>
      <w:tr>
        <w:trPr>
          <w:cantSplit/>
        </w:trPr>
        <w:tc>
          <w:tcPr>
            <w:tcW w:type="dxa" w:w="4986"/>
          </w:tcPr>
          <w:p>
            <w:pPr>
              <w:keepNext w:val="0"/>
              <w:pageBreakBefore w:val="0"/>
              <w:spacing w:after="80"/>
            </w:pPr>
            <w:r>
              <w:rPr>
                <w:b w:val="0"/>
                <w:sz w:val="20"/>
              </w:rPr>
              <w:t>installation</w:t>
            </w:r>
          </w:p>
        </w:tc>
        <w:tc>
          <w:tcPr>
            <w:tcW w:type="dxa" w:w="4986"/>
          </w:tcPr>
          <w:p>
            <w:pPr>
              <w:keepNext w:val="0"/>
              <w:pageBreakBefore w:val="0"/>
              <w:spacing w:after="80"/>
            </w:pPr>
            <w:r>
              <w:rPr>
                <w:b w:val="0"/>
                <w:sz w:val="20"/>
              </w:rPr>
              <w:t>Монтаж</w:t>
            </w:r>
          </w:p>
        </w:tc>
      </w:tr>
      <w:tr>
        <w:trPr>
          <w:cantSplit/>
        </w:trPr>
        <w:tc>
          <w:tcPr>
            <w:tcW w:type="dxa" w:w="4986"/>
          </w:tcPr>
          <w:p>
            <w:pPr>
              <w:keepNext w:val="0"/>
              <w:pageBreakBefore w:val="0"/>
              <w:spacing w:after="80"/>
            </w:pPr>
            <w:r>
              <w:rPr>
                <w:b w:val="0"/>
                <w:sz w:val="20"/>
              </w:rPr>
              <w:t>aps_installation</w:t>
            </w:r>
          </w:p>
        </w:tc>
        <w:tc>
          <w:tcPr>
            <w:tcW w:type="dxa" w:w="4986"/>
          </w:tcPr>
          <w:p>
            <w:pPr>
              <w:keepNext w:val="0"/>
              <w:pageBreakBefore w:val="0"/>
              <w:spacing w:after="80"/>
            </w:pPr>
            <w:r>
              <w:rPr>
                <w:b w:val="0"/>
                <w:sz w:val="20"/>
              </w:rPr>
              <w:t>Монтаж</w:t>
            </w:r>
          </w:p>
        </w:tc>
      </w:tr>
      <w:tr>
        <w:trPr>
          <w:cantSplit/>
        </w:trPr>
        <w:tc>
          <w:tcPr>
            <w:tcW w:type="dxa" w:w="4986"/>
          </w:tcPr>
          <w:p>
            <w:pPr>
              <w:keepNext w:val="0"/>
              <w:pageBreakBefore w:val="0"/>
              <w:spacing w:after="80"/>
            </w:pPr>
            <w:r>
              <w:rPr>
                <w:b w:val="0"/>
                <w:sz w:val="20"/>
              </w:rPr>
              <w:t>aps_modernization</w:t>
            </w:r>
          </w:p>
        </w:tc>
        <w:tc>
          <w:tcPr>
            <w:tcW w:type="dxa" w:w="4986"/>
          </w:tcPr>
          <w:p>
            <w:pPr>
              <w:keepNext w:val="0"/>
              <w:pageBreakBefore w:val="0"/>
              <w:spacing w:after="80"/>
            </w:pPr>
            <w:r>
              <w:rPr>
                <w:b w:val="0"/>
                <w:sz w:val="20"/>
              </w:rPr>
              <w:t>Модернизация</w:t>
            </w:r>
          </w:p>
        </w:tc>
      </w:tr>
      <w:tr>
        <w:trPr>
          <w:cantSplit/>
        </w:trPr>
        <w:tc>
          <w:tcPr>
            <w:tcW w:type="dxa" w:w="4986"/>
          </w:tcPr>
          <w:p>
            <w:pPr>
              <w:keepNext w:val="0"/>
              <w:pageBreakBefore w:val="0"/>
              <w:spacing w:after="80"/>
            </w:pPr>
            <w:r>
              <w:rPr>
                <w:b w:val="0"/>
                <w:sz w:val="20"/>
              </w:rPr>
              <w:t>emergency_visit</w:t>
            </w:r>
          </w:p>
        </w:tc>
        <w:tc>
          <w:tcPr>
            <w:tcW w:type="dxa" w:w="4986"/>
          </w:tcPr>
          <w:p>
            <w:pPr>
              <w:keepNext w:val="0"/>
              <w:pageBreakBefore w:val="0"/>
              <w:spacing w:after="80"/>
            </w:pPr>
            <w:r>
              <w:rPr>
                <w:b w:val="0"/>
                <w:sz w:val="20"/>
              </w:rPr>
              <w:t>Авария</w:t>
            </w:r>
          </w:p>
        </w:tc>
      </w:tr>
      <w:tr>
        <w:trPr>
          <w:cantSplit/>
        </w:trPr>
        <w:tc>
          <w:tcPr>
            <w:tcW w:type="dxa" w:w="4986"/>
          </w:tcPr>
          <w:p>
            <w:pPr>
              <w:keepNext w:val="0"/>
              <w:pageBreakBefore w:val="0"/>
              <w:spacing w:after="80"/>
            </w:pPr>
            <w:r>
              <w:rPr>
                <w:b w:val="0"/>
                <w:sz w:val="20"/>
              </w:rPr>
              <w:t>emergency_service</w:t>
            </w:r>
          </w:p>
        </w:tc>
        <w:tc>
          <w:tcPr>
            <w:tcW w:type="dxa" w:w="4986"/>
          </w:tcPr>
          <w:p>
            <w:pPr>
              <w:keepNext w:val="0"/>
              <w:pageBreakBefore w:val="0"/>
              <w:spacing w:after="80"/>
            </w:pPr>
            <w:r>
              <w:rPr>
                <w:b w:val="0"/>
                <w:sz w:val="20"/>
              </w:rPr>
              <w:t>Авария</w:t>
            </w:r>
          </w:p>
        </w:tc>
      </w:tr>
      <w:tr>
        <w:trPr>
          <w:cantSplit/>
        </w:trPr>
        <w:tc>
          <w:tcPr>
            <w:tcW w:type="dxa" w:w="4986"/>
          </w:tcPr>
          <w:p>
            <w:pPr>
              <w:keepNext w:val="0"/>
              <w:pageBreakBefore w:val="0"/>
              <w:spacing w:after="80"/>
            </w:pPr>
            <w:r>
              <w:rPr>
                <w:b w:val="0"/>
                <w:sz w:val="20"/>
              </w:rPr>
              <w:t>lead_srabotka</w:t>
            </w:r>
          </w:p>
        </w:tc>
        <w:tc>
          <w:tcPr>
            <w:tcW w:type="dxa" w:w="4986"/>
          </w:tcPr>
          <w:p>
            <w:pPr>
              <w:keepNext w:val="0"/>
              <w:pageBreakBefore w:val="0"/>
              <w:spacing w:after="80"/>
            </w:pPr>
            <w:r>
              <w:rPr>
                <w:b w:val="0"/>
                <w:sz w:val="20"/>
              </w:rPr>
              <w:t>Авария</w:t>
            </w:r>
          </w:p>
        </w:tc>
      </w:tr>
      <w:tr>
        <w:trPr>
          <w:cantSplit/>
        </w:trPr>
        <w:tc>
          <w:tcPr>
            <w:tcW w:type="dxa" w:w="4986"/>
          </w:tcPr>
          <w:p>
            <w:pPr>
              <w:keepNext w:val="0"/>
              <w:pageBreakBefore w:val="0"/>
              <w:spacing w:after="80"/>
            </w:pPr>
            <w:r>
              <w:rPr>
                <w:b w:val="0"/>
                <w:sz w:val="20"/>
              </w:rPr>
              <w:t>aps_repair</w:t>
            </w:r>
          </w:p>
        </w:tc>
        <w:tc>
          <w:tcPr>
            <w:tcW w:type="dxa" w:w="4986"/>
          </w:tcPr>
          <w:p>
            <w:pPr>
              <w:keepNext w:val="0"/>
              <w:pageBreakBefore w:val="0"/>
              <w:spacing w:after="80"/>
            </w:pPr>
            <w:r>
              <w:rPr>
                <w:b w:val="0"/>
                <w:sz w:val="20"/>
              </w:rPr>
              <w:t>Авария</w:t>
            </w:r>
          </w:p>
        </w:tc>
      </w:tr>
      <w:tr>
        <w:trPr>
          <w:cantSplit/>
        </w:trPr>
        <w:tc>
          <w:tcPr>
            <w:tcW w:type="dxa" w:w="4986"/>
          </w:tcPr>
          <w:p>
            <w:pPr>
              <w:keepNext w:val="0"/>
              <w:pageBreakBefore w:val="0"/>
              <w:spacing w:after="80"/>
            </w:pPr>
            <w:r>
              <w:rPr>
                <w:b w:val="0"/>
                <w:sz w:val="20"/>
              </w:rPr>
              <w:t>fire_audit</w:t>
            </w:r>
          </w:p>
        </w:tc>
        <w:tc>
          <w:tcPr>
            <w:tcW w:type="dxa" w:w="4986"/>
          </w:tcPr>
          <w:p>
            <w:pPr>
              <w:keepNext w:val="0"/>
              <w:pageBreakBefore w:val="0"/>
              <w:spacing w:after="80"/>
            </w:pPr>
            <w:r>
              <w:rPr>
                <w:b w:val="0"/>
                <w:sz w:val="20"/>
              </w:rPr>
              <w:t>Пожарный аудит</w:t>
            </w:r>
          </w:p>
        </w:tc>
      </w:tr>
      <w:tr>
        <w:trPr>
          <w:cantSplit/>
        </w:trPr>
        <w:tc>
          <w:tcPr>
            <w:tcW w:type="dxa" w:w="4986"/>
          </w:tcPr>
          <w:p>
            <w:pPr>
              <w:keepNext w:val="0"/>
              <w:pageBreakBefore w:val="0"/>
              <w:spacing w:after="80"/>
            </w:pPr>
            <w:r>
              <w:rPr>
                <w:b w:val="0"/>
                <w:sz w:val="20"/>
              </w:rPr>
              <w:t>fire_alarm_design</w:t>
            </w:r>
          </w:p>
        </w:tc>
        <w:tc>
          <w:tcPr>
            <w:tcW w:type="dxa" w:w="4986"/>
          </w:tcPr>
          <w:p>
            <w:pPr>
              <w:keepNext w:val="0"/>
              <w:pageBreakBefore w:val="0"/>
              <w:spacing w:after="80"/>
            </w:pPr>
            <w:r>
              <w:rPr>
                <w:b w:val="0"/>
                <w:sz w:val="20"/>
              </w:rPr>
              <w:t>Проектирование</w:t>
            </w:r>
          </w:p>
        </w:tc>
      </w:tr>
      <w:tr>
        <w:trPr>
          <w:cantSplit/>
        </w:trPr>
        <w:tc>
          <w:tcPr>
            <w:tcW w:type="dxa" w:w="4986"/>
          </w:tcPr>
          <w:p>
            <w:pPr>
              <w:keepNext w:val="0"/>
              <w:pageBreakBefore w:val="0"/>
              <w:spacing w:after="80"/>
            </w:pPr>
            <w:r>
              <w:rPr>
                <w:b w:val="0"/>
                <w:sz w:val="20"/>
              </w:rPr>
              <w:t>aps_design</w:t>
            </w:r>
          </w:p>
        </w:tc>
        <w:tc>
          <w:tcPr>
            <w:tcW w:type="dxa" w:w="4986"/>
          </w:tcPr>
          <w:p>
            <w:pPr>
              <w:keepNext w:val="0"/>
              <w:pageBreakBefore w:val="0"/>
              <w:spacing w:after="80"/>
            </w:pPr>
            <w:r>
              <w:rPr>
                <w:b w:val="0"/>
                <w:sz w:val="20"/>
              </w:rPr>
              <w:t>Проектирование</w:t>
            </w:r>
          </w:p>
        </w:tc>
      </w:tr>
      <w:tr>
        <w:trPr>
          <w:cantSplit/>
        </w:trPr>
        <w:tc>
          <w:tcPr>
            <w:tcW w:type="dxa" w:w="4986"/>
          </w:tcPr>
          <w:p>
            <w:pPr>
              <w:keepNext w:val="0"/>
              <w:pageBreakBefore w:val="0"/>
              <w:spacing w:after="80"/>
            </w:pPr>
            <w:r>
              <w:rPr>
                <w:b w:val="0"/>
                <w:sz w:val="20"/>
              </w:rPr>
              <w:t>design</w:t>
            </w:r>
          </w:p>
        </w:tc>
        <w:tc>
          <w:tcPr>
            <w:tcW w:type="dxa" w:w="4986"/>
          </w:tcPr>
          <w:p>
            <w:pPr>
              <w:keepNext w:val="0"/>
              <w:pageBreakBefore w:val="0"/>
              <w:spacing w:after="80"/>
            </w:pPr>
            <w:r>
              <w:rPr>
                <w:b w:val="0"/>
                <w:sz w:val="20"/>
              </w:rPr>
              <w:t>Проектирование</w:t>
            </w:r>
          </w:p>
        </w:tc>
      </w:tr>
      <w:tr>
        <w:trPr>
          <w:cantSplit/>
        </w:trPr>
        <w:tc>
          <w:tcPr>
            <w:tcW w:type="dxa" w:w="4986"/>
          </w:tcPr>
          <w:p>
            <w:pPr>
              <w:keepNext w:val="0"/>
              <w:pageBreakBefore w:val="0"/>
              <w:spacing w:after="80"/>
            </w:pPr>
            <w:r>
              <w:rPr>
                <w:b w:val="0"/>
                <w:sz w:val="20"/>
              </w:rPr>
              <w:t>extinguisher_recharge</w:t>
            </w:r>
          </w:p>
        </w:tc>
        <w:tc>
          <w:tcPr>
            <w:tcW w:type="dxa" w:w="4986"/>
          </w:tcPr>
          <w:p>
            <w:pPr>
              <w:keepNext w:val="0"/>
              <w:pageBreakBefore w:val="0"/>
              <w:spacing w:after="80"/>
            </w:pPr>
            <w:r>
              <w:rPr>
                <w:b w:val="0"/>
                <w:sz w:val="20"/>
              </w:rPr>
              <w:t>Отдельная услуга</w:t>
            </w:r>
          </w:p>
        </w:tc>
      </w:tr>
      <w:tr>
        <w:trPr>
          <w:cantSplit/>
        </w:trPr>
        <w:tc>
          <w:tcPr>
            <w:tcW w:type="dxa" w:w="4986"/>
          </w:tcPr>
          <w:p>
            <w:pPr>
              <w:keepNext w:val="0"/>
              <w:pageBreakBefore w:val="0"/>
              <w:spacing w:after="80"/>
            </w:pPr>
            <w:r>
              <w:rPr>
                <w:b w:val="0"/>
                <w:sz w:val="20"/>
              </w:rPr>
              <w:t>evacuation_plans</w:t>
            </w:r>
          </w:p>
        </w:tc>
        <w:tc>
          <w:tcPr>
            <w:tcW w:type="dxa" w:w="4986"/>
          </w:tcPr>
          <w:p>
            <w:pPr>
              <w:keepNext w:val="0"/>
              <w:pageBreakBefore w:val="0"/>
              <w:spacing w:after="80"/>
            </w:pPr>
            <w:r>
              <w:rPr>
                <w:b w:val="0"/>
                <w:sz w:val="20"/>
              </w:rPr>
              <w:t>Отдельная услуга</w:t>
            </w:r>
          </w:p>
        </w:tc>
      </w:tr>
      <w:tr>
        <w:trPr>
          <w:cantSplit/>
        </w:trPr>
        <w:tc>
          <w:tcPr>
            <w:tcW w:type="dxa" w:w="4986"/>
          </w:tcPr>
          <w:p>
            <w:pPr>
              <w:keepNext w:val="0"/>
              <w:pageBreakBefore w:val="0"/>
              <w:spacing w:after="80"/>
            </w:pPr>
            <w:r>
              <w:rPr>
                <w:b w:val="0"/>
                <w:sz w:val="20"/>
              </w:rPr>
              <w:t>fire_hydrant_testing</w:t>
            </w:r>
          </w:p>
        </w:tc>
        <w:tc>
          <w:tcPr>
            <w:tcW w:type="dxa" w:w="4986"/>
          </w:tcPr>
          <w:p>
            <w:pPr>
              <w:keepNext w:val="0"/>
              <w:pageBreakBefore w:val="0"/>
              <w:spacing w:after="80"/>
            </w:pPr>
            <w:r>
              <w:rPr>
                <w:b w:val="0"/>
                <w:sz w:val="20"/>
              </w:rPr>
              <w:t>Отдельная услуга</w:t>
            </w:r>
          </w:p>
        </w:tc>
      </w:tr>
      <w:tr>
        <w:trPr>
          <w:cantSplit/>
        </w:trPr>
        <w:tc>
          <w:tcPr>
            <w:tcW w:type="dxa" w:w="4986"/>
          </w:tcPr>
          <w:p>
            <w:pPr>
              <w:keepNext w:val="0"/>
              <w:pageBreakBefore w:val="0"/>
              <w:spacing w:after="80"/>
            </w:pPr>
            <w:r>
              <w:rPr>
                <w:b w:val="0"/>
                <w:sz w:val="20"/>
              </w:rPr>
              <w:t>ispytaniya_pk</w:t>
            </w:r>
          </w:p>
        </w:tc>
        <w:tc>
          <w:tcPr>
            <w:tcW w:type="dxa" w:w="4986"/>
          </w:tcPr>
          <w:p>
            <w:pPr>
              <w:keepNext w:val="0"/>
              <w:pageBreakBefore w:val="0"/>
              <w:spacing w:after="80"/>
            </w:pPr>
            <w:r>
              <w:rPr>
                <w:b w:val="0"/>
                <w:sz w:val="20"/>
              </w:rPr>
              <w:t>Отдельная услуга</w:t>
            </w:r>
          </w:p>
        </w:tc>
      </w:tr>
      <w:tr>
        <w:trPr>
          <w:cantSplit/>
        </w:trPr>
        <w:tc>
          <w:tcPr>
            <w:tcW w:type="dxa" w:w="4986"/>
          </w:tcPr>
          <w:p>
            <w:pPr>
              <w:keepNext w:val="0"/>
              <w:pageBreakBefore w:val="0"/>
              <w:spacing w:after="80"/>
            </w:pPr>
            <w:r>
              <w:rPr>
                <w:b w:val="0"/>
                <w:sz w:val="20"/>
              </w:rPr>
              <w:t>stress_test</w:t>
            </w:r>
          </w:p>
        </w:tc>
        <w:tc>
          <w:tcPr>
            <w:tcW w:type="dxa" w:w="4986"/>
          </w:tcPr>
          <w:p>
            <w:pPr>
              <w:keepNext w:val="0"/>
              <w:pageBreakBefore w:val="0"/>
              <w:spacing w:after="80"/>
            </w:pPr>
            <w:r>
              <w:rPr>
                <w:b w:val="0"/>
                <w:sz w:val="20"/>
              </w:rPr>
              <w:t>Отдельная услуга</w:t>
            </w:r>
          </w:p>
        </w:tc>
      </w:tr>
      <w:tr>
        <w:trPr>
          <w:cantSplit/>
        </w:trPr>
        <w:tc>
          <w:tcPr>
            <w:tcW w:type="dxa" w:w="4986"/>
          </w:tcPr>
          <w:p>
            <w:pPr>
              <w:keepNext w:val="0"/>
              <w:pageBreakBefore w:val="0"/>
              <w:spacing w:after="80"/>
            </w:pPr>
            <w:r>
              <w:rPr>
                <w:b w:val="0"/>
                <w:sz w:val="20"/>
              </w:rPr>
              <w:t>kuzet_retail</w:t>
            </w:r>
          </w:p>
        </w:tc>
        <w:tc>
          <w:tcPr>
            <w:tcW w:type="dxa" w:w="4986"/>
          </w:tcPr>
          <w:p>
            <w:pPr>
              <w:keepNext w:val="0"/>
              <w:pageBreakBefore w:val="0"/>
              <w:spacing w:after="80"/>
            </w:pPr>
            <w:r>
              <w:rPr>
                <w:b w:val="0"/>
                <w:sz w:val="20"/>
              </w:rPr>
              <w:t>Отдельная услуга</w:t>
            </w:r>
          </w:p>
        </w:tc>
      </w:tr>
      <w:tr>
        <w:trPr>
          <w:cantSplit/>
        </w:trPr>
        <w:tc>
          <w:tcPr>
            <w:tcW w:type="dxa" w:w="4986"/>
          </w:tcPr>
          <w:p>
            <w:pPr>
              <w:keepNext w:val="0"/>
              <w:pageBreakBefore w:val="0"/>
              <w:spacing w:after="80"/>
            </w:pPr>
            <w:r>
              <w:rPr>
                <w:b w:val="0"/>
                <w:sz w:val="20"/>
              </w:rPr>
              <w:t>fire_suppression</w:t>
            </w:r>
          </w:p>
        </w:tc>
        <w:tc>
          <w:tcPr>
            <w:tcW w:type="dxa" w:w="4986"/>
          </w:tcPr>
          <w:p>
            <w:pPr>
              <w:keepNext w:val="0"/>
              <w:pageBreakBefore w:val="0"/>
              <w:spacing w:after="80"/>
            </w:pPr>
            <w:r>
              <w:rPr>
                <w:b w:val="0"/>
                <w:sz w:val="20"/>
              </w:rPr>
              <w:t>Отдельная услуга</w:t>
            </w:r>
          </w:p>
        </w:tc>
      </w:tr>
      <w:tr>
        <w:trPr>
          <w:cantSplit/>
        </w:trPr>
        <w:tc>
          <w:tcPr>
            <w:tcW w:type="dxa" w:w="4986"/>
          </w:tcPr>
          <w:p>
            <w:pPr>
              <w:keepNext w:val="0"/>
              <w:pageBreakBefore w:val="0"/>
              <w:spacing w:after="80"/>
            </w:pPr>
            <w:r>
              <w:rPr>
                <w:b w:val="0"/>
                <w:sz w:val="20"/>
              </w:rPr>
              <w:t>antiterror</w:t>
            </w:r>
          </w:p>
        </w:tc>
        <w:tc>
          <w:tcPr>
            <w:tcW w:type="dxa" w:w="4986"/>
          </w:tcPr>
          <w:p>
            <w:pPr>
              <w:keepNext w:val="0"/>
              <w:pageBreakBefore w:val="0"/>
              <w:spacing w:after="80"/>
            </w:pPr>
            <w:r>
              <w:rPr>
                <w:b w:val="0"/>
                <w:sz w:val="20"/>
              </w:rPr>
              <w:t>Отдельная услуга</w:t>
            </w:r>
          </w:p>
        </w:tc>
      </w:tr>
      <w:tr>
        <w:trPr>
          <w:cantSplit/>
        </w:trPr>
        <w:tc>
          <w:tcPr>
            <w:tcW w:type="dxa" w:w="4986"/>
          </w:tcPr>
          <w:p>
            <w:pPr>
              <w:keepNext w:val="0"/>
              <w:pageBreakBefore w:val="0"/>
              <w:spacing w:after="80"/>
            </w:pPr>
            <w:r>
              <w:rPr>
                <w:b w:val="0"/>
                <w:sz w:val="20"/>
              </w:rPr>
              <w:t>insulation_resistance</w:t>
            </w:r>
          </w:p>
        </w:tc>
        <w:tc>
          <w:tcPr>
            <w:tcW w:type="dxa" w:w="4986"/>
          </w:tcPr>
          <w:p>
            <w:pPr>
              <w:keepNext w:val="0"/>
              <w:pageBreakBefore w:val="0"/>
              <w:spacing w:after="80"/>
            </w:pPr>
            <w:r>
              <w:rPr>
                <w:b w:val="0"/>
                <w:sz w:val="20"/>
              </w:rPr>
              <w:t>Отдельная услуга</w:t>
            </w:r>
          </w:p>
        </w:tc>
      </w:tr>
      <w:tr>
        <w:trPr>
          <w:cantSplit/>
        </w:trPr>
        <w:tc>
          <w:tcPr>
            <w:tcW w:type="dxa" w:w="4986"/>
          </w:tcPr>
          <w:p>
            <w:pPr>
              <w:keepNext w:val="0"/>
              <w:pageBreakBefore w:val="0"/>
              <w:spacing w:after="80"/>
            </w:pPr>
            <w:r>
              <w:rPr>
                <w:b w:val="0"/>
                <w:sz w:val="20"/>
              </w:rPr>
              <w:t>fire_ladder_test</w:t>
            </w:r>
          </w:p>
        </w:tc>
        <w:tc>
          <w:tcPr>
            <w:tcW w:type="dxa" w:w="4986"/>
          </w:tcPr>
          <w:p>
            <w:pPr>
              <w:keepNext w:val="0"/>
              <w:pageBreakBefore w:val="0"/>
              <w:spacing w:after="80"/>
            </w:pPr>
            <w:r>
              <w:rPr>
                <w:b w:val="0"/>
                <w:sz w:val="20"/>
              </w:rPr>
              <w:t>Отдельная услуга</w:t>
            </w:r>
          </w:p>
        </w:tc>
      </w:tr>
      <w:tr>
        <w:trPr>
          <w:cantSplit/>
        </w:trPr>
        <w:tc>
          <w:tcPr>
            <w:tcW w:type="dxa" w:w="4986"/>
          </w:tcPr>
          <w:p>
            <w:pPr>
              <w:keepNext w:val="0"/>
              <w:pageBreakBefore w:val="0"/>
              <w:spacing w:after="80"/>
            </w:pPr>
            <w:r>
              <w:rPr>
                <w:b w:val="0"/>
                <w:sz w:val="20"/>
              </w:rPr>
              <w:t>fire_safety_training</w:t>
            </w:r>
          </w:p>
        </w:tc>
        <w:tc>
          <w:tcPr>
            <w:tcW w:type="dxa" w:w="4986"/>
          </w:tcPr>
          <w:p>
            <w:pPr>
              <w:keepNext w:val="0"/>
              <w:pageBreakBefore w:val="0"/>
              <w:spacing w:after="80"/>
            </w:pPr>
            <w:r>
              <w:rPr>
                <w:b w:val="0"/>
                <w:sz w:val="20"/>
              </w:rPr>
              <w:t>Отдельная услуга</w:t>
            </w:r>
          </w:p>
        </w:tc>
      </w:tr>
      <w:tr>
        <w:trPr>
          <w:cantSplit/>
        </w:trPr>
        <w:tc>
          <w:tcPr>
            <w:tcW w:type="dxa" w:w="4986"/>
          </w:tcPr>
          <w:p>
            <w:pPr>
              <w:keepNext w:val="0"/>
              <w:pageBreakBefore w:val="0"/>
              <w:spacing w:after="80"/>
            </w:pPr>
            <w:r>
              <w:rPr>
                <w:b w:val="0"/>
                <w:sz w:val="20"/>
              </w:rPr>
              <w:t>fire_protection</w:t>
            </w:r>
          </w:p>
        </w:tc>
        <w:tc>
          <w:tcPr>
            <w:tcW w:type="dxa" w:w="4986"/>
          </w:tcPr>
          <w:p>
            <w:pPr>
              <w:keepNext w:val="0"/>
              <w:pageBreakBefore w:val="0"/>
              <w:spacing w:after="80"/>
            </w:pPr>
            <w:r>
              <w:rPr>
                <w:b w:val="0"/>
                <w:sz w:val="20"/>
              </w:rPr>
              <w:t>Отдельная услуга</w:t>
            </w:r>
          </w:p>
        </w:tc>
      </w:tr>
      <w:tr>
        <w:trPr>
          <w:cantSplit/>
        </w:trPr>
        <w:tc>
          <w:tcPr>
            <w:tcW w:type="dxa" w:w="4986"/>
          </w:tcPr>
          <w:p>
            <w:pPr>
              <w:keepNext w:val="0"/>
              <w:pageBreakBefore w:val="0"/>
              <w:spacing w:after="80"/>
            </w:pPr>
            <w:r>
              <w:rPr>
                <w:b w:val="0"/>
                <w:sz w:val="20"/>
              </w:rPr>
              <w:t>soue</w:t>
            </w:r>
          </w:p>
        </w:tc>
        <w:tc>
          <w:tcPr>
            <w:tcW w:type="dxa" w:w="4986"/>
          </w:tcPr>
          <w:p>
            <w:pPr>
              <w:keepNext w:val="0"/>
              <w:pageBreakBefore w:val="0"/>
              <w:spacing w:after="80"/>
            </w:pPr>
            <w:r>
              <w:rPr>
                <w:b w:val="0"/>
                <w:sz w:val="20"/>
              </w:rPr>
              <w:t>Отдельная услуга</w:t>
            </w:r>
          </w:p>
        </w:tc>
      </w:tr>
    </w:tbl>
    <w:p>
      <w:pPr>
        <w:pageBreakBefore w:val="0"/>
        <w:widowControl/>
      </w:pPr>
      <w:r>
        <w:t>Карта является требованием новой редакции. Для новых значений kuzet_retail и расширенного списка отдельных услуг зарегистрировать соответствия в рабочем Cloud Run и резервном адаптере, затем проверить на тесте. Строковый код страницы или тип материала не подменяет услугу; на общих страницах service_type берётся из выбранного предмета обращения. Восемь существующих категорий CRM сохраняются; новые категории и воронки автоматически не создаются.</w:t>
      </w:r>
    </w:p>
    <w:p>
      <w:pPr>
        <w:pStyle w:val="Heading2"/>
        <w:pageBreakBefore w:val="0"/>
        <w:widowControl/>
      </w:pPr>
      <w:r>
        <w:rPr>
          <w:color w:val="000000"/>
        </w:rPr>
        <w:t>Исключения обследования и работа координатора</w:t>
      </w:r>
    </w:p>
    <w:p>
      <w:pPr>
        <w:pageBreakBefore w:val="0"/>
        <w:widowControl/>
      </w:pPr>
      <w:r>
        <w:t>Все коммерческие заявки начинают в Общей воронке. Обследование проводится по необходимости. Для Кузет без планового ТО допускается заключение договора без обязательного выезда. Координатор фиксирует обоснование «обследование не требуется»; применимые поля обязательности на стадиях договора не должны блокировать этот путь. Исполнитель подтверждает механизм в текущем виде карточки CRM и отдельным контрольным сценарием, не подставляя фиктивного инженера, даты выезда или акта.</w:t>
      </w:r>
    </w:p>
    <w:p>
      <w:pPr>
        <w:pStyle w:val="Heading2"/>
        <w:pageBreakBefore w:val="0"/>
        <w:widowControl/>
      </w:pPr>
      <w:r>
        <w:rPr>
          <w:color w:val="000000"/>
        </w:rPr>
        <w:t>Четыре направления экономики и пакетный ряд</w:t>
      </w:r>
    </w:p>
    <w:p>
      <w:pPr>
        <w:pageBreakBefore w:val="0"/>
        <w:widowControl/>
      </w:pPr>
      <w:r>
        <w:t>Раздельная аналитика: Кузет, обычное ТО, аутсорсинг документации и монтаж с перспективой обслуживания. Направление определяется сервером по исходной странице, выбранному продукту и фактическому договору; исходная и итоговая услуги сохраняются отдельно. Малая площадь сама по себе не означает низкий приоритет. Весам ICP и ставкам себестоимости требуется утверждение по фактической экономике; браузер не рассчитывает ICP.</w:t>
      </w:r>
    </w:p>
    <w:p>
      <w:pPr>
        <w:pageBreakBefore w:val="0"/>
        <w:widowControl/>
      </w:pPr>
      <w:r>
        <w:t>Контроль — техническое обслуживание, эксплуатационный журнал и ежегодное обследование. Защита — дополнительно согласованная документация, обучение и бесплатные консультации; тренировки и сопровождение являются платными опциями. Премиум — пожарный аутсорсинг, документация и журналы, тренировки и сопровождение проверок, один предварительный аудит в год вместо базового ежегодного обследования. Стоимость рассчитывается индивидуально; при численности более 50 сотрудников учитывать дополнительного инженера. Кузет — отдельное предложение, не нижний пакет обычного ТО.</w:t>
      </w:r>
    </w:p>
    <w:p>
      <w:pPr>
        <w:pageBreakBefore w:val="0"/>
        <w:widowControl/>
      </w:pPr>
      <w:r>
        <w:t>Коммерческий состав обычного ТО: проверка помещений по чек-листу, два капитальных ТО с тестированием и два отдельных тестирования в год; отчёт на следующий рабочий день с приоритетами и динамикой устранения замечаний. Применимость и технические операции определяются по назначению объекта, системе, эксплуатационной документации, действующим нормам и договору. Этот цикл не включён в Базовый Кузет.</w:t>
      </w:r>
    </w:p>
    <w:p>
      <w:pPr>
        <w:pageBreakBefore w:val="0"/>
        <w:widowControl/>
      </w:pPr>
      <w:r>
        <w:t>Ритейл Кузет до 500 м²: услуги Базового Кузет 44 000 ₸/месяц (без планового ТО), Расширенного ТО 90 000 ₸/месяц (без Кузет), PRO 134 000 ₸/месяц (оба компонента). Пример аренды +20 000 ₸ даёт 64 000 / 110 000 / 154 000 ₸, не универсальный тариф. Покупка и аренда — разные договорные модели; аренда не означает автоматический выкуп. Основной ряд /pakety/ не заменять ритейл предложением; URL control/service/full-safe сохранять до решения по карте URL.</w:t>
      </w:r>
    </w:p>
    <w:p>
      <w:pPr>
        <w:pStyle w:val="Heading2"/>
        <w:pageBreakBefore w:val="0"/>
        <w:widowControl/>
      </w:pPr>
      <w:r>
        <w:rPr>
          <w:color w:val="000000"/>
        </w:rPr>
        <w:t>Обязательные контрольные сценарии</w:t>
      </w:r>
    </w:p>
    <w:p>
      <w:pPr>
        <w:pageBreakBefore w:val="0"/>
        <w:widowControl/>
      </w:pPr>
      <w:r>
        <w:t>☐ Одна заявка при granted и denied; полный контекст страницы и одна сделка в Общей воронке; отсутствие второго моста Tilda.</w:t>
      </w:r>
    </w:p>
    <w:p>
      <w:pPr>
        <w:pageBreakBefore w:val="0"/>
        <w:widowControl/>
      </w:pPr>
      <w:r>
        <w:t>☐ Повтор event_id и конкурентная доставка не создают вторую сделку, контакт, задачу или конверсию. Проверка по названию и окну 3 минуты не заменяет идемпотентный ключ.</w:t>
      </w:r>
    </w:p>
    <w:p>
      <w:pPr>
        <w:pageBreakBefore w:val="0"/>
        <w:widowControl/>
      </w:pPr>
      <w:r>
        <w:t>☐ Два объекта одного договора дают один contract_won; перевод той же сделки не повторяет результат; два отдельные договора монтажа и ТО дают два результата.</w:t>
      </w:r>
    </w:p>
    <w:p>
      <w:pPr>
        <w:pageBreakBefore w:val="0"/>
        <w:widowControl/>
      </w:pPr>
      <w:r>
        <w:t>☐ Кузет проходит до подписанного договора без обязательного выезда; обследовательские гейты не обходятся фиктивными значениями.</w:t>
      </w:r>
    </w:p>
    <w:p>
      <w:pPr>
        <w:pageBreakBefore w:val="0"/>
        <w:widowControl/>
      </w:pPr>
      <w:r>
        <w:t>☐ Скачивание другого региона выдаёт файл, фиксируется в CRM/аналитике и не создаёт задачи или уведомления продажам.</w:t>
      </w:r>
    </w:p>
    <w:p>
      <w:pPr>
        <w:pageBreakBefore w:val="0"/>
        <w:widowControl/>
      </w:pPr>
      <w:r>
        <w:t>☐ 10 уникальных договорных конверсий приняты Google Ads; только contract_won находится в наборе целей ставок, включая custom goals.</w:t>
      </w:r>
    </w:p>
    <w:p>
      <w:pPr>
        <w:pageBreakBefore w:val="0"/>
        <w:widowControl/>
      </w:pPr>
      <w:r>
        <w:t>☐ Тестовые данные исключены из ставок, финансовых и маркетинговых отчётов; неизвестная экономика отмечена как недоступная.</w:t>
      </w:r>
    </w:p>
    <w:p>
      <w:pPr>
        <w:pageBreakBefore w:val="0"/>
        <w:widowControl/>
      </w:pPr>
      <w:r>
        <w:t>Редакция фиксирует требования документов и решения владельца на 08.10.2026. Изменения живых GTM, Cloud Run, сайта, CRM и Ads выполняются и принимаются отдельно. Исторические результаты тестов не означают приёмку новых правил.</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5F5F"/>
        <w:sz w:val="16"/>
      </w:rPr>
      <w:t xml:space="preserve">Pozharnik.kz · ТЗ Bitrix24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heme="majorHAnsi" w:eastAsiaTheme="majorEastAsia" w:hAnsiTheme="majorHAnsi" w:cstheme="majorBidi" w:ascii="Arial" w:hAnsi="Arial"/>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heme="majorHAnsi" w:eastAsiaTheme="majorEastAsia" w:hAnsiTheme="majorHAnsi" w:cstheme="majorBidi" w:ascii="Arial" w:hAnsi="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pageBreakBefore w:val="0"/>
      <w:spacing w:before="240" w:after="120"/>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pageBreakBefore w:val="0"/>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pageBreakBefore w:val="0"/>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pageBreakBefore w:val="0"/>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pageBreakBefore w:val="0"/>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pageBreakBefore w:val="0"/>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pageBreakBefore w:val="0"/>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