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  <w:jc w:val="left"/>
      </w:pPr>
      <w:r>
        <w:rPr>
          <w:rFonts w:ascii="Arial" w:hAnsi="Arial"/>
          <w:color w:val="000000"/>
          <w:u w:val="none"/>
        </w:rPr>
        <w:t>Техническое задание на настройку Google Ads Pozharnik</w:t>
      </w:r>
    </w:p>
    <w:p>
      <w:pPr>
        <w:pageBreakBefore w:val="0"/>
        <w:widowControl/>
      </w:pPr>
      <w:r>
        <w:t>Действующая редакция 1.5 от 08.10.2026. Основание — медиаплан 4.5 и решение владельца о начале обучения после 10 договоров. Изменения требований не означают изменения живых настроек.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Subtitle"/>
        <w:pageBreakBefore w:val="0"/>
        <w:widowControl/>
      </w:pPr>
      <w:r>
        <w:rPr>
          <w:rFonts w:ascii="Arial" w:hAnsi="Arial"/>
        </w:rPr>
        <w:t>Search кампании 5 ICP офлайн конверсии Bitrix24 и Consent Mode v2</w:t>
      </w:r>
    </w:p>
    <w:p>
      <w:pPr>
        <w:pageBreakBefore w:val="0"/>
        <w:widowControl/>
      </w:pPr>
      <w:r>
        <w:t>Версия 1.5 · Контракт данных 1.7 · 8 октября 2026 года</w:t>
      </w:r>
    </w:p>
    <w:p>
      <w:pPr>
        <w:pageBreakBefore w:val="0"/>
        <w:widowControl/>
      </w:pPr>
      <w:r>
        <w:rPr>
          <w:rFonts w:ascii="Arial" w:hAnsi="Arial"/>
        </w:rPr>
        <w:t>Цель — привлекать обращения организаций и оптимизировать рекламу по заключённым договорам contract_won. ICP, выезды, КП, оплаты и формы — отдельные Secondary-показатели качества и процесса.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 Объем работ и результат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Настроить аккаунт Google Ads, измерение, Search кампании, аудитории наблюдения, минус-слова, объявления и расширения.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Связать Google Ads с GA4 G-K3055R6Y7X и GTM GTM-WVGQ5BZ4 без создания дублирующих тегов.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Настроить enhanced conversions for leads и автоматический импорт офлайн-конверсий из Bitrix24 через Cloud Run или Google Ads Data Manager.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Сохранить gclid, gbraid и wbraid с момента клика до CRM-события и передавать value в KZT для денежных конверсий.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Запустить управленческую отчетность по расходу, ICP, выездам, КП, оплатам, договорам, MRR и валовой прибыли.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2 Источники истины и архитектура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1984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2835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Источник истины</w:t>
            </w:r>
          </w:p>
        </w:tc>
        <w:tc>
          <w:tcPr>
            <w:tcW w:type="dxa" w:w="5216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Реклама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Google Ads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Кампании, объявления, расходы и search terms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Веб аналитика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GTM и GA4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Сессии и события pz_* без персональных данных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Лиды и продажи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Bitrix24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Квалификация, стадии, суммы, MRR и результат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Транспорт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Cloud Run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Валидация, дедупликация и загрузка конверсий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Аудит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BigQuery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Журнал входящих и исходящих событий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Схема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t>Единый контракт данных 1.7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Технические имена и правила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rPr>
          <w:rFonts w:ascii="Arial" w:hAnsi="Arial"/>
        </w:rPr>
        <w:t>Поток: Google Ads -&gt; Tilda -&gt; GTM/GA4 -&gt; форма -&gt; Cloud Run -&gt; BigQuery -&gt; Bitrix24 -&gt; Cloud Run или Data Manager -&gt; Google Ads.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3 Доступы и предварительные условия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Доступ администратора к Google Ads и право связывать GA4, GTM и источники данных.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Включенная автоматическая пометка URL. Ручные UTM используются дополнительно и не заменяют auto-tagging.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Приняты Customer Data Terms и включены enhanced conversions for leads.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Настроен Consent Mode v2: default denied; значения analytics_storage, ad_storage, ad_user_data и ad_personalization обновляются после выбора пользователя.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 Bitrix24 доступны event_id, click ID, consent_*, ICP, стадии, value, MRR и валовая прибыль.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OAuth, developer token, customer ID и conversion action IDs хранятся вне сайта и GTM.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4 Структура аккаунта и кампаний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  <w:tblHeader/>
          <w:tblHeader/>
        </w:trPr>
        <w:tc>
          <w:tcPr>
            <w:tcW w:type="dxa" w:w="2381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Кампания</w:t>
            </w:r>
          </w:p>
        </w:tc>
        <w:tc>
          <w:tcPr>
            <w:tcW w:type="dxa" w:w="1134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ICP</w:t>
            </w:r>
          </w:p>
        </w:tc>
        <w:tc>
          <w:tcPr>
            <w:tcW w:type="dxa" w:w="3118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Намерение</w:t>
            </w:r>
          </w:p>
        </w:tc>
        <w:tc>
          <w:tcPr>
            <w:tcW w:type="dxa" w:w="3402"/>
            <w:vAlign w:val="center"/>
            <w:shd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Посадочная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TO APS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1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Обслуживание АПС, договор ТО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/obsluzhivanie/</w:t>
            </w:r>
          </w:p>
        </w:tc>
      </w:tr>
      <w:tr>
        <w:tc>
          <w:tcPr>
            <w:tcW w:type="dxa" w:w="2381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SMENA PODRYADCHIKA</w:t>
            </w:r>
          </w:p>
        </w:tc>
        <w:tc>
          <w:tcPr>
            <w:tcW w:type="dxa" w:w="1134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2</w:t>
            </w:r>
          </w:p>
        </w:tc>
        <w:tc>
          <w:tcPr>
            <w:tcW w:type="dxa" w:w="3118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Смена обслуживающей организации</w:t>
            </w:r>
          </w:p>
        </w:tc>
        <w:tc>
          <w:tcPr>
            <w:tcW w:type="dxa" w:w="3402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/smena-podryadchika/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MONTAZH B2B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3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Новый объект, монтаж и проектирование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/montazh/</w:t>
            </w:r>
          </w:p>
        </w:tc>
      </w:tr>
      <w:tr>
        <w:tc>
          <w:tcPr>
            <w:tcW w:type="dxa" w:w="2381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SRABOTKA REMONT</w:t>
            </w:r>
          </w:p>
        </w:tc>
        <w:tc>
          <w:tcPr>
            <w:tcW w:type="dxa" w:w="1134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3118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Неисправность, срочная диагностика и ремонт</w:t>
            </w:r>
          </w:p>
        </w:tc>
        <w:tc>
          <w:tcPr>
            <w:tcW w:type="dxa" w:w="3402"/>
            <w:vAlign w:val="center"/>
            <w:shd w:fill="EAF2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/srabotka/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MODERNIZACIYA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Модернизация или замена действующей АПС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/modernizaciya/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SEARCH AUDIT PB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5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Аудит, проверка ДЧС и подготовка документов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/audit/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pageBreakBefore w:val="0"/>
        <w:widowControl/>
      </w:pPr>
      <w:r>
        <w:rPr>
          <w:rFonts w:ascii="Arial" w:hAnsi="Arial"/>
        </w:rPr>
        <w:t>География: присутствие пользователя в Алматы и реально обслуживаемой части Алматинской области. Исключить интерес к региону без физического присутствия.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Язык объявлений и ключей: русский; казахские группы добавлять отдельно после проверки спроса и качества посадочных.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На старте использовать Search. Performance Max не запускать до стабильного импорта офлайн-конверсий.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5 Ключевые слова и поисковые запросы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1247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ICP</w:t>
            </w:r>
          </w:p>
        </w:tc>
        <w:tc>
          <w:tcPr>
            <w:tcW w:type="dxa" w:w="5102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Стартовые темы</w:t>
            </w:r>
          </w:p>
        </w:tc>
        <w:tc>
          <w:tcPr>
            <w:tcW w:type="dxa" w:w="3685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Исключить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1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обслуживание пожарной сигнализации, ТО АПС, договор обслуживания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квартира, подъезд, своими руками</w:t>
            </w:r>
          </w:p>
        </w:tc>
      </w:tr>
      <w:tr>
        <w:tc>
          <w:tcPr>
            <w:tcW w:type="dxa" w:w="124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2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сменить подрядчика АПС, обслуживание не устраивает, новая обслуживающая компания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работа, вакансии, обучение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3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монтаж АПС склад, производство, офис, проект пожарной сигнализации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автосигнализация, StarLine, автомобиль</w:t>
            </w:r>
          </w:p>
        </w:tc>
      </w:tr>
      <w:tr>
        <w:tc>
          <w:tcPr>
            <w:tcW w:type="dxa" w:w="124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4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ремонт АПС, неисправность сигнализации, ложные срабатывания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домофон, охранная сигнализация бытовая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5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аудит пожарной безопасности, обследование АПС, проверка объекта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реферат, курсовая, скачать бесплатно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pageBreakBefore w:val="0"/>
        <w:widowControl/>
      </w:pPr>
      <w:r>
        <w:rPr>
          <w:rFonts w:ascii="Arial" w:hAnsi="Arial"/>
        </w:rPr>
        <w:t>Начало обучения — после 10 уникальных подтверждённых contract_won, успешно переданных Google Ads. Broad и PMax остаются отдельными экспериментами после проверки стабильности импорта, поисковых запросов и экономики; накопление десяти договоров не запускает их автоматически.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Search terms проверять не реже одного раза в неделю; новые минус-слова согласовывать с ответственным за продажи, чтобы не исключить B2B спрос.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6 Объявления и активы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 заголовках явно указывать B2B: для организаций, складов, производств и коммерческих объектов.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Не обещать цену, срок, лицензию, выезд или результат, если формулировка не подтверждена операционным процессом.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Для каждого ICP подготовить не менее двух адаптивных поисковых объявлений и уникальный набор активов.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Использовать быстрые ссылки на услуги, примеры работ, документы, контакты и FAQ; номера телефонов должны соответствовать коллтрекингу.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UTM шаблон: utm_source=google&amp;utm_medium=cpc&amp;utm_campaign={campaignid}&amp;utm_id={campaignid}&amp;utm_content={creative}&amp;utm_term={keyword}; фактический search_term хранится отдельно.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7 Конверсии Google Ads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tblHeader w:val="true"/>
          <w:tblHeader/>
          <w:tblHeader/>
        </w:trPr>
        <w:tc>
          <w:tcPr>
            <w:tcW w:type="dxa" w:w="1814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361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417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494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948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6"/>
              </w:rPr>
              <w:t>Условие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pz_form_success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Website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После подтверждения фактического приёмщика формы: Cloud Run для прямого пути; Tilda — только для согласованного нативного пути.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lead_created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После создания валидного лида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qualified_lead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Фиксированная или модельная ценность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Только ICP A/B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visit_scheduled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Фиксированная ценность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Есть дата и ответственный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visit_done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Фиксированная ценность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Выезд состоялся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quote_sent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Сумма КП или расчетная ценность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КП фактически отправлено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invoice_issued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Сумма счета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Счет отправлен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payment_received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Фактически оплачено KZT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Оплата подтверждена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contract_won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KZT по утверждённой методике. Неизвестную прибыль не заменять нулём; факт договора не блокировать отсутствием подтверждённой экономики.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Договор фактически заключён; дата события — дата заключения, без ожидания оплаты или завершения.</w:t>
            </w:r>
          </w:p>
        </w:tc>
      </w:tr>
      <w:tr>
        <w:tc>
          <w:tcPr>
            <w:tcW w:type="dxa" w:w="181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work_completed</w:t>
            </w:r>
          </w:p>
        </w:tc>
        <w:tc>
          <w:tcPr>
            <w:tcW w:type="dxa" w:w="136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Offline</w:t>
            </w:r>
          </w:p>
        </w:tc>
        <w:tc>
          <w:tcPr>
            <w:tcW w:type="dxa" w:w="1417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Secondary</w:t>
            </w:r>
          </w:p>
        </w:tc>
        <w:tc>
          <w:tcPr>
            <w:tcW w:type="dxa" w:w="249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Без value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6"/>
              </w:rPr>
              <w:t>Работа завершена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pageBreakBefore w:val="0"/>
        <w:widowControl/>
      </w:pPr>
      <w:r>
        <w:rPr>
          <w:rFonts w:ascii="Arial" w:hAnsi="Arial"/>
        </w:rPr>
        <w:t>Для каждой стадии создается отдельное conversion action. Не объединять qualified_lead и contract_won в одно действие.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Модель атрибуции — data-driven, если доступна для аккаунта; окно конверсии задается с учетом фактического цикла сделки.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Включение в столбец Conversions и account-default goals выполняется только согласно роли Primary/Secondary из таблицы.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8 Enhanced conversions for leads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 Google Ads принять Customer Data Terms и включить enhanced conversions.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На сайте использовать Google tag через GTM. Пользовательские данные не передавать в dataLayer или GA4 в открытом виде.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Для сопоставления использовать нормализованный email и/или телефон, хешированный SHA-256 до передачи Google, только при consent_ads=granted.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Сохранять gclid, gbraid и wbraid вместе с event_id и CRM ID. При загрузке click conversion передавать ровно один из gclid, gbraid или wbraid.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Для contract_won order_id формируется из подтверждённого ID договора и типа события: pz:contract:{CONTRACT_ID}:contract_won. Перенос сделки между воронками и изменение версии схемы не создают новую конверсию.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conversion_date_time передавать с часовым поясом; время должно быть позже клика и соответствовать факту CRM-события.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Загрузка выполняется пакетно с partial failure, логированием принятых и отклоненных строк и повтором только технически ошибочных записей.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9 Единый payload офлайн-конверсии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2551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2268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Обязательность</w:t>
            </w:r>
          </w:p>
        </w:tc>
        <w:tc>
          <w:tcPr>
            <w:tcW w:type="dxa" w:w="5216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conversion_action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Ресурс или ID отдельного conversion action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conversion_date_time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Формат yyyy-mm-dd hh:mm:ss+|-hh:mm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gclid / gbraid / wbraid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Один из доступных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Не передавать несколько click ID в одной click conversion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order_id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Стабильный ключ дедупликации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conversion_value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Для денежных событий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Число из Bitrix24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currency_code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Для денежных событий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KZT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user_identifiers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При consent_ads=granted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SHA-256 email или телефона</w:t>
            </w:r>
          </w:p>
        </w:tc>
      </w:tr>
      <w:tr>
        <w:tc>
          <w:tcPr>
            <w:tcW w:type="dxa" w:w="255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ad_user_data_consent</w:t>
            </w:r>
          </w:p>
        </w:tc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GRANTED или DENIED из consent_ads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event_id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Да во внутреннем журнале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Связь с BigQuery и Bitrix24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10 Канонические поля и атрибуция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1984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5102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Поля</w:t>
            </w:r>
          </w:p>
        </w:tc>
        <w:tc>
          <w:tcPr>
            <w:tcW w:type="dxa" w:w="2948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Текущий визит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utm_source, utm_medium, utm_campaign, utm_id, utm_content, utm_term, referrer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Отдельно от first/last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Первое касание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first_utm_*, first_gclid, first_landing_page, first_referrer, first_visit_at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Не перезаписывать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Последнее касание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last_utm_*, last_gclid, last_landing_page, last_referrer, last_visit_at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Обновлять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Click ID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gclid, gbraid, wbraid, yclid, dclid, fbclid, gad_source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Без переименований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Контекст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search_term, page_url, page_path, page_title, platform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Одинаковые имена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Согласие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consent_analytics, consent_ads, consent_timestamp, consent_version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Default denied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Предмет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service_type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Поле service запрещено</w:t>
            </w:r>
          </w:p>
        </w:tc>
      </w:tr>
      <w:tr>
        <w:tc>
          <w:tcPr>
            <w:tcW w:type="dxa" w:w="198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</w:t>
            </w:r>
          </w:p>
        </w:tc>
        <w:tc>
          <w:tcPr>
            <w:tcW w:type="dxa" w:w="5102"/>
            <w:vAlign w:val="center"/>
            <w:shd w:fill="F2F7F9"/>
          </w:tcPr>
          <w:p>
            <w:pPr>
              <w:keepNext w:val="0"/>
              <w:pageBreakBefore w:val="0"/>
            </w:pPr>
            <w:r>
              <w:t>icp_type / UF_CRM_ICP_TYPE; icp_class / UF_CRM_ICP_SEGMENT</w:t>
            </w:r>
          </w:p>
        </w:tc>
        <w:tc>
          <w:tcPr>
            <w:tcW w:type="dxa" w:w="2948"/>
            <w:vAlign w:val="center"/>
            <w:shd w:fill="F2F7F9"/>
          </w:tcPr>
          <w:p>
            <w:pPr>
              <w:keepNext w:val="0"/>
              <w:pageBreakBefore w:val="0"/>
            </w:pPr>
            <w:r>
              <w:t>Сценарий ICP-1…ICP-5/ICP-C и класс A/B/C — разные канонические поля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11 Стратегия ставок и бюджет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Первые 2–4 недели: контролируемый запуск с ограничениями бюджета и проверкой поисковых запросов, географии и качества лидов.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pz_form_success всегда Secondary. До 10 принятых Google Ads уникальных contract_won вести контролируемый Search; после достижения проектного порога начать обучение по contract_won. Порог не гарантирует стабилизацию алгоритма или достижение целевой стоимости.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После 10 уникальных подтверждённых contract_won, принятых Google Ads, начать тест Maximize Conversions по contract_won; target CPA рассматривать отдельным экспериментом по фактической стабильности результатов.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Бюджет перераспределять по CAC ICP A/B, выезду, КП, payment_received, contract_won, MRR и валовой прибыли.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Изменения бюджета свыше 20 процентов в неделю проводить только с зафиксированной причиной и датой оценки результата.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12 Отчетность и контроль качества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2268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195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3572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Ежедневно первые 14 дней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Расход, отклонения, 404, теги, лиды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Журнал запуска</w:t>
            </w:r>
          </w:p>
        </w:tc>
      </w:tr>
      <w:tr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Еженедельно</w:t>
            </w:r>
          </w:p>
        </w:tc>
        <w:tc>
          <w:tcPr>
            <w:tcW w:type="dxa" w:w="419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Search terms, минус-слова, ICP A/B, import errors</w:t>
            </w:r>
          </w:p>
        </w:tc>
        <w:tc>
          <w:tcPr>
            <w:tcW w:type="dxa" w:w="357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Список решений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Раз в 2 недели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Посадочные, объявления, CPA по событиям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План экспериментов</w:t>
            </w:r>
          </w:p>
        </w:tc>
      </w:tr>
      <w:tr>
        <w:tc>
          <w:tcPr>
            <w:tcW w:type="dxa" w:w="2268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Ежемесячно</w:t>
            </w:r>
          </w:p>
        </w:tc>
        <w:tc>
          <w:tcPr>
            <w:tcW w:type="dxa" w:w="419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CAC, выезды, КП, оплаты, MRR, валовая прибыль</w:t>
            </w:r>
          </w:p>
        </w:tc>
        <w:tc>
          <w:tcPr>
            <w:tcW w:type="dxa" w:w="3572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Управленческий отчет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pageBreakBefore w:val="0"/>
        <w:widowControl/>
      </w:pPr>
      <w:r>
        <w:rPr>
          <w:rFonts w:ascii="Arial" w:hAnsi="Arial"/>
        </w:rPr>
        <w:t>Обязательно контролировать diagnostics enhanced conversions for leads, статус conversion actions, upload errors и долю лидов с click ID.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13 Безопасность и соответствие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Не передавать телефон, email, имя, комментарий формы и адрес объекта в GA4.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Хеширование не отменяет требование consent_ads=granted для enhanced conversions for leads.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Секреты не размещать в Tilda, HTML, GTM, URL, документации общего доступа или BigQuery payload_json.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Доступы выдавать по принципу минимальных прав; изменения Google Ads и GTM должны иметь журнал версий.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Срок хранения click ID и пользовательских данных согласовать с политикой обработки данных и применимыми требованиями.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14 План внедрения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1871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5329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Работы</w:t>
            </w:r>
          </w:p>
        </w:tc>
        <w:tc>
          <w:tcPr>
            <w:tcW w:type="dxa" w:w="2835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Выход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1 Аудит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Доступы, связи, теги, auto-tagging, конверсии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Акт исходного состояния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2 Измерение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Conversion actions, enhanced conversions, offline import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Тестовые загрузки приняты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3 Кампании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Структура 5 ICP, ключи, минус-слова, объявления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Черновики на согласование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4 Запуск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Бюджеты, география, расписание, URL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Кампании активны</w:t>
            </w:r>
          </w:p>
        </w:tc>
      </w:tr>
      <w:tr>
        <w:tc>
          <w:tcPr>
            <w:tcW w:type="dxa" w:w="1871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5 Стабилизация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Search terms, лиды, import diagnostics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Исправлены ошибки</w:t>
            </w:r>
          </w:p>
        </w:tc>
      </w:tr>
      <w:tr>
        <w:tc>
          <w:tcPr>
            <w:tcW w:type="dxa" w:w="1871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6 Оптимизация</w:t>
            </w:r>
          </w:p>
        </w:tc>
        <w:tc>
          <w:tcPr>
            <w:tcW w:type="dxa" w:w="5329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Primary goals, ставки, бюджеты, эксперименты</w:t>
            </w:r>
          </w:p>
        </w:tc>
        <w:tc>
          <w:tcPr>
            <w:tcW w:type="dxa" w:w="283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Решения по бизнес-метрикам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15 Приемочные испытания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/>
          <w:tblHeader/>
        </w:trPr>
        <w:tc>
          <w:tcPr>
            <w:tcW w:type="dxa" w:w="1134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5216"/>
            <w:vAlign w:val="center"/>
            <w:shd w:fill="173B4D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T01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Клик Google Ads с gclid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gclid сохранен в форме, BigQuery и Bitrix24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T02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iOS web с wbraid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wbraid сохранен и выбран как идентификатор импорта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T03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Новый пользователь без выбора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Все сигналы Consent Mode denied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T04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Пользователь нажал Принять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consent_ads и consent_analytics granted с timestamp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T05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Успешная форма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pz_form_success и lead_created с одним event_id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T06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ICP A/B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qualified_lead загружен в правильное conversion action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T07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Повтор того же события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order_id предотвращает дубль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T08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Выигранная сделка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contract_won передан с value и KZT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T09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Ошибка одной строки пакета</w:t>
            </w:r>
          </w:p>
        </w:tc>
        <w:tc>
          <w:tcPr>
            <w:tcW w:type="dxa" w:w="5216"/>
            <w:vAlign w:val="center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partial failure не отклоняет корректные строки</w:t>
            </w:r>
          </w:p>
        </w:tc>
      </w:tr>
      <w:tr>
        <w:tc>
          <w:tcPr>
            <w:tcW w:type="dxa" w:w="1134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T10</w:t>
            </w:r>
          </w:p>
        </w:tc>
        <w:tc>
          <w:tcPr>
            <w:tcW w:type="dxa" w:w="3685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Проверка privacy</w:t>
            </w:r>
          </w:p>
        </w:tc>
        <w:tc>
          <w:tcPr>
            <w:tcW w:type="dxa" w:w="5216"/>
            <w:vAlign w:val="center"/>
            <w:shd w:fill="F2F7F9"/>
          </w:tcPr>
          <w:p>
            <w:pPr>
              <w:keepNext w:val="0"/>
              <w:pageBreakBefore w:val="0"/>
              <w:spacing w:after="40"/>
            </w:pPr>
            <w:r>
              <w:rPr>
                <w:rFonts w:ascii="Arial" w:hAnsi="Arial"/>
                <w:sz w:val="17"/>
              </w:rPr>
              <w:t>В GA4 отсутствуют персональные данные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16 Критерии завершения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Пять ICP обслуживаются шестью раздельными Search-кампаниями: ICP 4 разделен на сработка/ремонт и модернизацию. Каждая кампания имеет отдельную релевантную посадочную и отчетность.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Auto-tagging включен, UTM не конфликтуют с GCLID, first touch не перезаписывается.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Primary и Secondary действия настроены строго по разделу 7.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Enhanced conversions for leads включены, Customer Data Terms приняты, diagnostics не содержат критических ошибок.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Не менее десяти тестовых лидов прошли путь Google Ads -&gt; сайт -&gt; Bitrix24 -&gt; офлайн-конверсия без дублей.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 отчетах доступны расход, ICP A/B, выезды, КП, оплаты, contract_won, MRR и валовая прибыль.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Ответственные получили инструкцию по еженедельному контролю search terms и импорта конверсий.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17 Официальные источники Google</w:t>
      </w:r>
    </w:p>
    <w:p>
      <w:pPr>
        <w:pageBreakBefore w:val="0"/>
        <w:widowControl/>
      </w:pPr>
      <w:r>
        <w:rPr>
          <w:rFonts w:ascii="Arial" w:hAnsi="Arial"/>
        </w:rPr>
        <w:t>Google Ads Help — Set up offline conversions using Google Click ID: https://support.google.com/google-ads/answer/7012522</w:t>
      </w:r>
    </w:p>
    <w:p>
      <w:pPr>
        <w:pageBreakBefore w:val="0"/>
        <w:widowControl/>
      </w:pPr>
      <w:r>
        <w:rPr>
          <w:rFonts w:ascii="Arial" w:hAnsi="Arial"/>
        </w:rPr>
        <w:t>Google Ads Help — Configure Google Tag Manager for enhanced conversions for leads: https://support.google.com/google-ads/answer/11347292</w:t>
      </w:r>
    </w:p>
    <w:p>
      <w:pPr>
        <w:pageBreakBefore w:val="0"/>
        <w:widowControl/>
      </w:pPr>
      <w:r>
        <w:rPr>
          <w:rFonts w:ascii="Arial" w:hAnsi="Arial"/>
        </w:rPr>
        <w:t>Google Ads Help — Enhanced conversions for leads implementation checklist: https://support.google.com/google-ads/answer/16782203</w:t>
      </w:r>
    </w:p>
    <w:p>
      <w:pPr>
        <w:pageBreakBefore w:val="0"/>
        <w:widowControl/>
      </w:pPr>
      <w:r>
        <w:rPr>
          <w:rFonts w:ascii="Arial" w:hAnsi="Arial"/>
        </w:rPr>
        <w:t>Google Ads Help — About consent mode: https://support.google.com/google-ads/answer/10000067</w:t>
      </w:r>
    </w:p>
    <w:p>
      <w:pPr>
        <w:pageBreakBefore w:val="0"/>
        <w:widowControl/>
      </w:pPr>
      <w:r>
        <w:rPr>
          <w:rFonts w:ascii="Arial" w:hAnsi="Arial"/>
        </w:rPr>
        <w:t>Google Ads API — Upload offline conversion: https://developers.google.com/google-ads/api/samples/upload-offline-conversion</w:t>
      </w:r>
    </w:p>
    <w:p>
      <w:pPr>
        <w:pageBreakBefore w:val="0"/>
        <w:widowControl/>
      </w:pPr>
      <w:r>
        <w:rPr>
          <w:rFonts w:ascii="Arial" w:hAnsi="Arial"/>
        </w:rPr>
        <w:t>Google Ads API — UploadClickConversions: https://developers.google.com/google-ads/api/reference/rpc/v22/ConversionUploadService/UploadClickConversions</w:t>
      </w:r>
    </w:p>
    <w:p>
      <w:pPr>
        <w:pageBreakBefore w:val="0"/>
        <w:widowControl/>
      </w:pPr>
      <w:r>
        <w:rPr>
          <w:rFonts w:ascii="Arial" w:hAnsi="Arial"/>
        </w:rPr>
        <w:br w:type="page"/>
      </w:r>
    </w:p>
    <w:p>
      <w:pPr>
        <w:pStyle w:val="Heading1"/>
        <w:keepNext/>
        <w:pageBreakBefore w:val="0"/>
        <w:widowControl/>
      </w:pPr>
      <w:r>
        <w:rPr>
          <w:rFonts w:ascii="Arial" w:hAnsi="Arial"/>
          <w:color w:val="000000"/>
        </w:rPr>
        <w:t>18 Требования к конверсии посадочных страниц</w:t>
      </w:r>
    </w:p>
    <w:p>
      <w:pPr>
        <w:pageBreakBefore w:val="0"/>
        <w:widowControl/>
      </w:pPr>
      <w:r>
        <w:rPr>
          <w:rFonts w:ascii="Arial" w:hAnsi="Arial"/>
        </w:rPr>
        <w:t>Редакция 1.1 от 22 сентября 2026 года. Эти требования применяются к каждой посадочной странице, используемой в Google Ads.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Единое правило повышения конверсии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Одна страница решает одну основную задачу пользователя и имеет один доминирующий CTA. Для большинства коммерческих страниц основной CTA — «Получить расчёт».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CTA «Вызвать инженера» применяется только в аварийных, диагностических и выездных сценариях. Для аудита используется «Записаться на аудит». Текст «Рассчитать работы» допустим как контекстный вариант действия calculate.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Основной CTA размещается на первом экране и повторяется у финальной формы. Дополнительное повторение допускается только после смыслового перехода: доказательства, калькулятор или тарифы.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Калькулятор или короткая форма должны быть доступны не позднее третьего–четвёртого мобильного экрана. Документы, FAQ и расширенные доказательства не должны отодвигать первое конверсионное действие.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Пересекающиеся блоки «ситуации клиента» и «услуги» объединяются. Одинаковые карточки, повторяющие друг друга галереи и лишние медиа удаляются.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В одном смысловом блоке — не более 5–6 карточек; описание карточки — 2–3 короткие строки. FAQ и второстепенные подробности оформляются аккордеоном; видео и карточки на мобильных могут использовать горизонтальную прокрутку.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Для существующих страниц целевое сокращение мобильной высоты — 20–25% относительно зафиксированной исходной версии, если это не ухудшает полноту предложения и не удаляет обязательные юридические сведения. Для новых страниц применяется критерий раннего доступа к форме, а не формальное сокращение от несуществующей базы.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Матрица CTA по типам страниц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  <w:tblHeader/>
          <w:tblHeader/>
        </w:trPr>
        <w:tc>
          <w:tcPr>
            <w:tcW w:type="dxa" w:w="2494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Тип страницы</w:t>
            </w:r>
          </w:p>
        </w:tc>
        <w:tc>
          <w:tcPr>
            <w:tcW w:type="dxa" w:w="2381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Основной CTA</w:t>
            </w:r>
          </w:p>
        </w:tc>
        <w:tc>
          <w:tcPr>
            <w:tcW w:type="dxa" w:w="1928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requested_action</w:t>
            </w:r>
          </w:p>
        </w:tc>
        <w:tc>
          <w:tcPr>
            <w:tcW w:type="dxa" w:w="3402"/>
            <w:vAlign w:val="center"/>
            <w:shd w:fill="E8EEF3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/>
              <w:pageBreakBefore w:val="0"/>
            </w:pPr>
            <w:r>
              <w:rPr>
                <w:b/>
                <w:color w:val="000000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Услуга / отраслевое решение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Основной сценарий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Диагностика / авария / неисправность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Вызвать инженера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engineer_visit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Только когда нужен выезд или срочная диагностика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Аудит / обследование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Записаться на аудит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audit_booking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Для страниц аудита и обследования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Калькулятор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Получить расчёт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  <w:shd w:fill="F7F9FB"/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После результата — короткая форма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Статья / документ</w:t>
            </w:r>
          </w:p>
        </w:tc>
        <w:tc>
          <w:tcPr>
            <w:tcW w:type="dxa" w:w="2381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Рассчитать работы</w:t>
            </w:r>
          </w:p>
        </w:tc>
        <w:tc>
          <w:tcPr>
            <w:tcW w:type="dxa" w:w="1928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3402"/>
            <w:vAlign w:val="top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  <w:insideH w:val="single" w:sz="4" w:color="D9E0E7"/>
              <w:insideV w:val="single" w:sz="4" w:color="D9E0E7"/>
            </w:tcBorders>
          </w:tcPr>
          <w:p>
            <w:pPr>
              <w:keepNext w:val="0"/>
              <w:pageBreakBefore w:val="0"/>
              <w:spacing w:after="20"/>
            </w:pPr>
            <w:r>
              <w:rPr>
                <w:sz w:val="17"/>
              </w:rPr>
              <w:t>Ведёт на релевантную услугу или калькулятор</w:t>
            </w:r>
          </w:p>
        </w:tc>
      </w:tr>
    </w:tbl>
    <w:p>
      <w:pPr>
        <w:pageBreakBefore w:val="0"/>
        <w:widowControl/>
      </w:pP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Связь рекламы, страницы и офлайн-конверсии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Объявление, ключевой запрос, service_type и основной CTA страницы должны описывать один и тот же сценарий. Аварийные запросы ведут на engineer_visit; расчётные запросы — на calculate; аудит — на audit_booking.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Единственная основная конверсия (Primary) для оптимизации Google Ads — contract_won: подтверждённый заключённый договор, импортированный из Bitrix24. pz_form_success / generate_lead, клики CTA, отправки форм и промежуточные события — Secondary для аналитики; они не включаются в цели назначения ставок и специальные цели кампаний.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Обучение стратегии на contract_won запускать после 10 уникальных подтверждённых договоров, успешно принятых Google Ads, и проверки импорта, атрибуции и дедупликации. Это принятый порог проекта, а не универсальный минимум Google или гарантия результата. Квалифицированный лид и промежуточные этапы остаются Secondary.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URL и UTM не должны менять канонические значения service_type и requested_action. gclid, gbraid, wbraid, dclid и gad_source передаются по единому контракту данных.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Изменение структуры страницы запускается с аннотацией даты; оценка проводится по стоимости квалифицированного лида и доле квалификации, а не только по общему числу форм.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Критерии приёмки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На странице визуально доминирует один основной CTA; альтернативные CTA не конкурируют с ним по цвету, размеру и частоте.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На мобильном устройстве калькулятор или короткая форма доступны не позднее третьего–четвёртого экрана.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Пересекающиеся блоки и дублирующие медиа отсутствуют; обязательные сведения, доверительные элементы и ключевые сценарии сохранены.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Для переработанной существующей страницы мобильная высота сокращена на 20–25% по сравнению с сохранённым контрольным снимком, либо оформлено обоснование меньшего сокращения.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Проверены ширины 360, 390, 768 и 1440 px: нет горизонтального переполнения, обрезанного текста и перекрывающихся кнопок.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Каждый основной CTA передаёт одинаковые service_type, requested_action, cta_location и cta_text во все системы.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События pz_cta_click, pz_calculator_start, pz_calculator_complete, pz_form_start, pz_form_submit и pz_form_success проходят тест без дублей; generate_lead создаётся только после pz_form_success с тем же event_id.</w:t>
      </w:r>
    </w:p>
    <w:p>
      <w:pPr>
        <w:pStyle w:val="ListBullet"/>
        <w:keepLines/>
        <w:pageBreakBefore w:val="0"/>
        <w:widowControl/>
      </w:pPr>
      <w:r>
        <w:rPr>
          <w:rFonts w:ascii="Arial" w:hAnsi="Arial"/>
        </w:rPr>
        <w:t>Результат сравнивается с исходной версией после согласованного периода и достаточного объёма трафика; до этого изменение не признаётся победителем только по единичным заявкам.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rPr>
          <w:rFonts w:ascii="Arial" w:hAnsi="Arial"/>
        </w:rPr>
        <w:t>Версия 1.1 от 22 сентября 2026 года: добавлены единые правила CTA и посадочных страниц, сквозные параметры requested_action и критерии оценки по квалифицированным лидам.</w:t>
      </w:r>
    </w:p>
    <w:p>
      <w:pPr>
        <w:pageBreakBefore w:val="0"/>
        <w:widowControl/>
      </w:pPr>
      <w:r>
        <w:rPr>
          <w:rFonts w:ascii="Arial" w:hAnsi="Arial"/>
        </w:rPr>
        <w:br w:type="page"/>
      </w:r>
    </w:p>
    <w:p>
      <w:pPr>
        <w:pStyle w:val="Heading1"/>
        <w:keepNext/>
        <w:pageBreakBefore w:val="0"/>
        <w:widowControl/>
      </w:pPr>
      <w:r>
        <w:rPr>
          <w:rFonts w:ascii="Arial" w:hAnsi="Arial"/>
          <w:color w:val="000000"/>
        </w:rPr>
        <w:t>19 Согласование со стратегией медиаплана</w:t>
      </w:r>
    </w:p>
    <w:p>
      <w:pPr>
        <w:pageBreakBefore w:val="0"/>
        <w:widowControl/>
      </w:pPr>
      <w:r>
        <w:t>Источник стратегии. Согласованный медиаплан Pozharnik версии 4.5 является источником истины для коммерческих приоритетов, распределения тестового бюджета, целевых ICP, посадочных страниц и правил перераспределения расходов. Настоящее ТЗ остается источником истины для технической реализации Google Ads, измерения, согласий и импорта офлайн-конверсий.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19.1 Структура Search кампаний</w:t>
      </w:r>
    </w:p>
    <w:p>
      <w:pPr>
        <w:pageBreakBefore w:val="0"/>
        <w:widowControl/>
      </w:pPr>
      <w:r>
        <w:rPr>
          <w:rFonts w:ascii="Arial" w:hAnsi="Arial"/>
        </w:rPr>
        <w:t>На старте создаются шесть раздельных Search-кампаний для пяти ICP. ICP 4 делится на две кампании, поскольку срочный ремонт и плановая модернизация имеют разные намерения, CTA, экономику и посадочные страницы. Смешивать эти намерения в одной кампании запрещено.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tblHeader/>
          <w:tblHeader/>
        </w:trP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Кампания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ICP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Посадочная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Тест в месяц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Основная бизнес-конверсия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</w:tcPr>
          <w:p>
            <w:pPr>
              <w:keepNext/>
              <w:pageBreakBefore w:val="0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Условие продолжения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Обслуживание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1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/obsluzhivanie/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60–90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Стоимость качественного выезда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Смена подрядчика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2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/smena-podryadchika/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30–50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Потенциал регулярного договора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Монтаж B2B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3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/montazh/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60–90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Целевой объект и маржа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Аудит и проверка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5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/audit/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30–45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Конверсия в работы или ТО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Сработка и ремонт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/srabotka/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25–40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Низкая доля бытового трафика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Модернизация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ICP 4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/modernizaciya/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25–40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>
              <w:t>contract_won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 w:val="0"/>
                <w:sz w:val="17"/>
              </w:rPr>
              <w:t>Достаточный чек и маржа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  <w:t>Итого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  <w:t>230–355 тыс. тенге</w:t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pageBreakBefore w:val="0"/>
            </w:pPr>
            <w:r/>
            <w:r>
              <w:rPr>
                <w:rFonts w:ascii="Arial" w:hAnsi="Arial"/>
                <w:b/>
                <w:sz w:val="17"/>
              </w:rPr>
              <w:t>Перераспределение по ICP, прибыли и MRR</w:t>
            </w:r>
          </w:p>
        </w:tc>
      </w:tr>
    </w:tbl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19.2 Правило посадочных страниц</w:t>
      </w:r>
    </w:p>
    <w:p>
      <w:pPr>
        <w:pageBreakBefore w:val="0"/>
        <w:widowControl/>
      </w:pPr>
      <w:r>
        <w:rPr>
          <w:rFonts w:ascii="Arial" w:hAnsi="Arial"/>
        </w:rPr>
        <w:t>Одна кампания ведет на одну релевантную посадочную, указанную в таблице. Главная страница / не используется как постоянная замена специализированной посадочной. До публикации нужной страницы допускается временно направить трафик на главную только после проверки соответствия объявления, поискового намерения, service_type, requested_action и основного CTA. В журнале изменений фиксируются дата, кампания и срок устранения временного маршрута.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19.3 Этапность запуска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Этап 0. Проверить CRM, аналитику, auto-tagging, Consent Mode v2, сохранение click ID и карту URL. Рекламу не запускать.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Этап 1. Запускать только кампании, для которых опубликована и проверена конверсионная посадочная.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Этап 2. После готовности входных продуктов и отраслевых страниц расширять семантику отдельными группами, не смешивая экономику ICP.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Этап 3. PMax и broad match не запускать до стабильного импорта качественных Primary-конверсий и достаточного объема данных.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19.4 Ставки и оптимизация</w:t>
      </w:r>
    </w:p>
    <w:p>
      <w:pPr>
        <w:pageBreakBefore w:val="0"/>
        <w:widowControl/>
      </w:pPr>
      <w:r>
        <w:rPr>
          <w:rFonts w:ascii="Arial" w:hAnsi="Arial"/>
        </w:rPr>
        <w:t>Первые 2–4 недели — контролируемый Search-запуск с exact и phrase.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19.5 Контроль бюджета и решения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Еженедельно: search terms, CTR, CPC, нецелевой трафик, ICP A/B, состоявшиеся выезды, КП и ошибки импорта.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Через 4–6 недель: перенос бюджета по стоимости ICP A/B, состоявшегося выезда, договора, валовой прибыли и нового MRR, а не по CTR.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Кампания без квалифицированного лида при достаточном числе кликов приостанавливается либо меняет семантику, объявление или посадочную.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Кампания с заявками без выездов проверяется одновременно по поисковым запросам, офферу, посадочной и дисциплине обработки менеджером.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Изменение бюджета свыше 20 процентов в неделю требует записи причины, даты и контрольной метрики.</w:t>
      </w:r>
    </w:p>
    <w:p>
      <w:pPr>
        <w:pStyle w:val="Heading2"/>
        <w:pageBreakBefore w:val="0"/>
        <w:widowControl/>
      </w:pPr>
      <w:r>
        <w:rPr>
          <w:rFonts w:ascii="Arial" w:hAnsi="Arial"/>
          <w:color w:val="000000"/>
        </w:rPr>
        <w:t>19.6 Дополнительные приемочные критерии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В аккаунте пять ICP представлены шестью Search-кампаниями; ремонт и модернизация разделены.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Суммарный тестовый бюджет находится в диапазоне 230–355 тыс. тенге в месяц и распределен по утвержденной матрице.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Каждая активная кампания ведет на свою опубликованную посадочную; временный маршрут на главную документирован.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Основные CTA и формы передают согласованные service_type и requested_action без подмены UTM-параметрами.</w:t>
      </w:r>
    </w:p>
    <w:p>
      <w:pPr>
        <w:pStyle w:val="ListBullet"/>
        <w:pageBreakBefore w:val="0"/>
        <w:widowControl/>
      </w:pPr>
      <w:r>
        <w:rPr>
          <w:rFonts w:ascii="Arial" w:hAnsi="Arial"/>
        </w:rPr>
        <w:t>Решение об оптимизации принимается по ICP A/B, выездам, КП, договорам, валовой прибыли и MRR.</w:t>
      </w:r>
    </w:p>
    <w:p>
      <w:pPr>
        <w:pStyle w:val="Heading1"/>
        <w:pageBreakBefore w:val="0"/>
        <w:widowControl/>
      </w:pPr>
      <w:r>
        <w:rPr>
          <w:rFonts w:ascii="Arial" w:hAnsi="Arial"/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Версия 1.4 от 30 сентября 2026 года. Документ согласован с медиапланом Pozharnik версии 4.3: добавлены шесть Search-кампаний для пяти ICP, бюджеты 230–355 тыс. тенге в месяц, канонические посадочные, переходное правило для главной страницы, этапность запуска и критерии перераспределения по бизнес-результатам.</w:t>
      </w:r>
    </w:p>
    <w:p>
      <w:pPr>
        <w:pStyle w:val="Heading1"/>
        <w:pageBreakBefore w:val="0"/>
        <w:widowControl/>
      </w:pPr>
      <w:r>
        <w:rPr>
          <w:color w:val="000000"/>
        </w:rPr>
        <w:t>15 Совместимость с тарифом Bitrix24 Стандартный</w:t>
      </w:r>
    </w:p>
    <w:p>
      <w:pPr>
        <w:pageBreakBefore w:val="0"/>
        <w:widowControl/>
      </w:pPr>
      <w:r>
        <w:t>Переход Bitrix24 на тариф «Стандартный» не меняет кампании, conversion actions, GTM, GA4, Consent Mode v2, BigQuery или формат офлайн-конверсий. Поток остается Google Ads → сайт → Cloud Run → BigQuery → Bitrix24 → Cloud Run или Data Manager → Google Ads.</w:t>
      </w:r>
    </w:p>
    <w:p>
      <w:pPr>
        <w:pageBreakBefore w:val="0"/>
        <w:widowControl/>
      </w:pPr>
      <w:r>
        <w:t>Источником истины для qualified_lead, visit_done, quote_sent, payment_received и contract_won остается Bitrix24. Cloud Run может рассчитывать технические признаки и доставлять события, но не создает коммерческий факт без подтвержденного состояния CRM.</w:t>
      </w:r>
    </w:p>
    <w:p>
      <w:pPr>
        <w:pageBreakBefore w:val="0"/>
        <w:widowControl/>
      </w:pPr>
      <w:r>
        <w:t>customer_type используется для исключения текущего обслуживания из рекламной оптимизации привлечения новых клиентов: existing не отправляется как новая рекламная конверсия; new допускается при наличии требуемого consent_ads и рекламного идентификатора.</w:t>
      </w:r>
    </w:p>
    <w:p>
      <w:pPr>
        <w:pageBreakBefore w:val="0"/>
        <w:widowControl/>
      </w:pPr>
      <w:r>
        <w:t>consent_marketing управляет рассылками и рекламными коммуникациями и не подменяет consent_ads. Для загрузки и персонализации Google Ads применяются consent_ads, ad_user_data и ad_personalization.</w:t>
      </w:r>
    </w:p>
    <w:p>
      <w:pPr>
        <w:pageBreakBefore w:val="0"/>
        <w:widowControl/>
      </w:pPr>
      <w:r>
        <w:t>Версия 1.4 от 24 сентября 2026 года. Зафиксирована неизменность сквозной аналитики и офлайн-конверсий при тарифе «Стандартный», добавлены правила customer_type и разделение ICP-сценария и класса.</w:t>
      </w:r>
    </w:p>
    <w:p>
      <w:pPr>
        <w:pageBreakBefore w:val="0"/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20 Кампания монтажа АПС: готовая к настройке спецификация</w:t>
      </w:r>
    </w:p>
    <w:p>
      <w:pPr>
        <w:pageBreakBefore w:val="0"/>
        <w:widowControl/>
      </w:pPr>
      <w:r>
        <w:t>Этот раздел устраняет разночтения между медиапланом, лендингом и аналитикой. Для страницы /montazh/ применяются только приведённые ниже канонические значения.</w:t>
      </w:r>
    </w:p>
    <w:p>
      <w:pPr>
        <w:pStyle w:val="Heading2"/>
        <w:keepNext/>
        <w:pageBreakBefore w:val="0"/>
        <w:widowControl/>
      </w:pPr>
      <w:r>
        <w:rPr>
          <w:color w:val="000000"/>
        </w:rPr>
        <w:t>20.1 Канонические параметры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  <w:tblHeader/>
          <w:tblHeader/>
        </w:trPr>
        <w:tc>
          <w:tcPr>
            <w:tcW w:type="dxa" w:w="1814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835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Значение</w:t>
            </w:r>
          </w:p>
        </w:tc>
        <w:tc>
          <w:tcPr>
            <w:tcW w:type="dxa" w:w="4535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Страница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https://pozharnik.kz/montazh/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Все объявления кампании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installation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dataLayer, форма, webhook, Bitrix24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new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Новый клиент; primary conversion разрешена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Целевое действие формы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Контекст аналитики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source_page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montazh_aps / /montazh/</w:t>
            </w:r>
          </w:p>
        </w:tc>
        <w:tc>
          <w:tcPr>
            <w:tcW w:type="dxa" w:w="4535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Передаётся в CRM и Telegram</w:t>
            </w:r>
          </w:p>
        </w:tc>
      </w:tr>
    </w:tbl>
    <w:p>
      <w:pPr>
        <w:pageBreakBefore w:val="0"/>
        <w:widowControl/>
      </w:pPr>
    </w:p>
    <w:p>
      <w:pPr>
        <w:pStyle w:val="Heading2"/>
        <w:keepNext/>
        <w:pageBreakBefore w:val="0"/>
        <w:widowControl/>
      </w:pPr>
      <w:r>
        <w:rPr>
          <w:color w:val="000000"/>
        </w:rPr>
        <w:t>20.2 Расписание и география</w:t>
      </w:r>
    </w:p>
    <w:p>
      <w:pPr>
        <w:pStyle w:val="ListBullet"/>
        <w:pageBreakBefore w:val="0"/>
        <w:widowControl/>
        <w:spacing w:after="60"/>
      </w:pPr>
      <w:r>
        <w:t>Понедельник–пятница, 09:00–18:00, часовой пояс аккаунта GMT+05:00.</w:t>
      </w:r>
    </w:p>
    <w:p>
      <w:pPr>
        <w:pStyle w:val="ListBullet"/>
        <w:pageBreakBefore w:val="0"/>
        <w:widowControl/>
        <w:spacing w:after="60"/>
      </w:pPr>
      <w:r>
        <w:t>География: Алматы и согласованная зона выезда; опция присутствия: «люди, находящиеся в целевых местоположениях».</w:t>
      </w:r>
    </w:p>
    <w:p>
      <w:pPr>
        <w:pStyle w:val="ListBullet"/>
        <w:pageBreakBefore w:val="0"/>
        <w:widowControl/>
        <w:spacing w:after="60"/>
      </w:pPr>
      <w:r>
        <w:t>Расширение за пределы рабочего времени допустимо только после подтверждения SLA обработки заявок.</w:t>
      </w:r>
    </w:p>
    <w:p>
      <w:pPr>
        <w:pStyle w:val="Heading2"/>
        <w:keepNext/>
        <w:pageBreakBefore w:val="0"/>
        <w:widowControl/>
      </w:pPr>
      <w:r>
        <w:rPr>
          <w:color w:val="000000"/>
        </w:rPr>
        <w:t>20.3 Стартовая семантика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  <w:tblHeader/>
          <w:tblHeader/>
        </w:trPr>
        <w:tc>
          <w:tcPr>
            <w:tcW w:type="dxa" w:w="2268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type="dxa" w:w="6803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Ключевая фраза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[монтаж пожарной сигнализации]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"монтаж пожарной сигнализации алматы"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[установка пожарной сигнализации]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"установка апс алматы"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"монтаж апс"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"пожарная сигнализация для склада"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"пожарная сигнализация для производства"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"пожарная сигнализация для офиса"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"стоимость монтажа пожарной сигнализации"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Точное/фразовое</w:t>
            </w:r>
          </w:p>
        </w:tc>
        <w:tc>
          <w:tcPr>
            <w:tcW w:type="dxa" w:w="6803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"проект и монтаж пожарной сигнализации"</w:t>
            </w:r>
          </w:p>
        </w:tc>
      </w:tr>
    </w:tbl>
    <w:p>
      <w:pPr>
        <w:pageBreakBefore w:val="0"/>
        <w:widowControl/>
      </w:pPr>
    </w:p>
    <w:p>
      <w:pPr>
        <w:pageBreakBefore w:val="0"/>
        <w:widowControl/>
      </w:pPr>
      <w:r>
        <w:t>Начало обучения — после 10 уникальных подтверждённых contract_won, успешно переданных Google Ads. Broad и PMax остаются отдельными экспериментами после проверки стабильности импорта, поисковых запросов и экономики; накопление десяти договоров не запускает их автоматически.</w:t>
      </w:r>
    </w:p>
    <w:p>
      <w:pPr>
        <w:pStyle w:val="Heading2"/>
        <w:keepNext/>
        <w:pageBreakBefore w:val="0"/>
        <w:widowControl/>
      </w:pPr>
      <w:r>
        <w:rPr>
          <w:color w:val="000000"/>
        </w:rPr>
        <w:t>20.4 Минус-слова</w:t>
      </w:r>
    </w:p>
    <w:p>
      <w:pPr>
        <w:pageBreakBefore w:val="0"/>
        <w:widowControl/>
      </w:pPr>
      <w:r>
        <w:t>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pPr>
        <w:pageBreakBefore w:val="0"/>
        <w:widowControl/>
      </w:pPr>
      <w:r>
        <w:t>Минус-слова применяются с учётом типа соответствия. Отчёт «Поисковые запросы» проверять не реже двух раз в неделю в первый месяц.</w:t>
      </w:r>
    </w:p>
    <w:p>
      <w:pPr>
        <w:pStyle w:val="Heading2"/>
        <w:keepNext/>
        <w:pageBreakBefore w:val="0"/>
        <w:widowControl/>
      </w:pPr>
      <w:r>
        <w:rPr>
          <w:color w:val="000000"/>
        </w:rPr>
        <w:t>20.5 Адаптивные поисковые объявления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  <w:tblHeader/>
          <w:tblHeader/>
        </w:trPr>
        <w:tc>
          <w:tcPr>
            <w:tcW w:type="dxa" w:w="1134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Объявление</w:t>
            </w:r>
          </w:p>
        </w:tc>
        <w:tc>
          <w:tcPr>
            <w:tcW w:type="dxa" w:w="3969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Заголовки (до 30 зн.)</w:t>
            </w:r>
          </w:p>
        </w:tc>
        <w:tc>
          <w:tcPr>
            <w:tcW w:type="dxa" w:w="3969"/>
          </w:tcPr>
          <w:p>
            <w:pPr>
              <w:keepNext/>
              <w:pageBreakBefore w:val="0"/>
              <w:spacing w:after="40"/>
            </w:pPr>
            <w:r>
              <w:rPr>
                <w:b/>
                <w:sz w:val="17"/>
              </w:rPr>
              <w:t>Описания (до 90 зн.)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RSA 1</w:t>
            </w:r>
          </w:p>
        </w:tc>
        <w:tc>
          <w:tcPr>
            <w:tcW w:type="dxa" w:w="3969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Монтаж пожарной сигнализации | Монтаж АПС в Алматы | Под ключ для бизнеса | Расчёт по проекту | Выезд инженера | Монтаж для складов | Система для офиса | Для производства | Проект и монтаж АПС | Пусконаладка АПС | Документы по работам | Алматы и область</w:t>
            </w:r>
          </w:p>
        </w:tc>
        <w:tc>
          <w:tcPr>
            <w:tcW w:type="dxa" w:w="3969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Обследуем объект, подберём систему и рассчитаем монтаж АПС. | Проект, оборудование, монтаж и пусконаладка для бизнес-объектов. | Согласуем состав работ, сроки и документы. Расчёт в рабочее время. | Выезд по Алматы и области. Решения для офисов, складов и производств.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RSA 2</w:t>
            </w:r>
          </w:p>
        </w:tc>
        <w:tc>
          <w:tcPr>
            <w:tcW w:type="dxa" w:w="3969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Установка пожарной АПС | Аудит перед монтажом | Смета без скрытых работ | Монтаж по нормам | Инженерное решение | Запуск и проверка | Для коммерческих объектов | Понятный состав работ | Сроки по договору | Расчёт по вашему объекту | Монтаж и обслуживание | Pozharnik.kz</w:t>
            </w:r>
          </w:p>
        </w:tc>
        <w:tc>
          <w:tcPr>
            <w:tcW w:type="dxa" w:w="3969"/>
          </w:tcPr>
          <w:p>
            <w:pPr>
              <w:keepNext w:val="0"/>
              <w:pageBreakBefore w:val="0"/>
              <w:spacing w:after="40"/>
            </w:pPr>
            <w:r>
              <w:rPr>
                <w:sz w:val="17"/>
              </w:rPr>
              <w:t>Обследуем объект, подберём систему и рассчитаем монтаж АПС. | Проект, оборудование, монтаж и пусконаладка для бизнес-объектов. | Согласуем состав работ, сроки и документы. Расчёт в рабочее время. | Выезд по Алматы и области. Решения для офисов, складов и производств.</w:t>
            </w:r>
          </w:p>
        </w:tc>
      </w:tr>
    </w:tbl>
    <w:p>
      <w:pPr>
        <w:pageBreakBefore w:val="0"/>
        <w:widowControl/>
      </w:pPr>
    </w:p>
    <w:p>
      <w:pPr>
        <w:pStyle w:val="ListBullet"/>
        <w:pageBreakBefore w:val="0"/>
        <w:widowControl/>
        <w:spacing w:after="60"/>
      </w:pPr>
      <w:r>
        <w:t>В каждом RSA использовать не менее 10 заголовков и 4 описаний; не закреплять без данных о эффективности.</w:t>
      </w:r>
    </w:p>
    <w:p>
      <w:pPr>
        <w:pStyle w:val="ListBullet"/>
        <w:pageBreakBefore w:val="0"/>
        <w:widowControl/>
        <w:spacing w:after="60"/>
      </w:pPr>
      <w:r>
        <w:t>Отображаемый путь: montazh / almaty. Конечный URL должен содержать ValueTrack-шаблон и канонические service_type/customer_type.</w:t>
      </w:r>
    </w:p>
    <w:p>
      <w:pPr>
        <w:pStyle w:val="Heading2"/>
        <w:keepNext/>
        <w:pageBreakBefore w:val="0"/>
        <w:widowControl/>
      </w:pPr>
      <w:r>
        <w:rPr>
          <w:color w:val="000000"/>
        </w:rPr>
        <w:t>20.6 Критерий приёмки сквозной атрибуции</w:t>
      </w:r>
    </w:p>
    <w:p>
      <w:pPr>
        <w:pStyle w:val="ListBullet"/>
        <w:pageBreakBefore w:val="0"/>
        <w:widowControl/>
        <w:spacing w:after="60"/>
      </w:pPr>
      <w:r>
        <w:t>Google Ads получает pz_form_success как Secondary после принятия формы. Primary contract_won отправляется только после заключения договора в CRM.</w:t>
      </w:r>
    </w:p>
    <w:p>
      <w:pPr>
        <w:pStyle w:val="ListBullet"/>
        <w:pageBreakBefore w:val="0"/>
        <w:widowControl/>
        <w:spacing w:after="60"/>
      </w:pPr>
      <w:r>
        <w:t>В Bitrix24 создаётся сделка с service_type=installation, customer_type=new и источником /montazh/.</w:t>
      </w:r>
    </w:p>
    <w:p>
      <w:pPr>
        <w:pStyle w:val="ListBullet"/>
        <w:pageBreakBefore w:val="0"/>
        <w:widowControl/>
        <w:spacing w:after="60"/>
      </w:pPr>
      <w:r>
        <w:t>UTM, gclid/dclid, gad_source, page_url, page_path, page_title, source_page и referrer сохраняются в согласованных полях.</w:t>
      </w:r>
    </w:p>
    <w:p>
      <w:pPr>
        <w:pStyle w:val="ListBullet"/>
        <w:pageBreakBefore w:val="0"/>
        <w:widowControl/>
        <w:spacing w:after="60"/>
      </w:pPr>
      <w:r>
        <w:t>Telegram присылает читаемое уведомление с названием формы, страницей, каналом и кампанией.</w:t>
      </w:r>
    </w:p>
    <w:p>
      <w:pPr>
        <w:pStyle w:val="ListBullet"/>
        <w:pageBreakBefore w:val="0"/>
        <w:widowControl/>
        <w:spacing w:after="60"/>
      </w:pPr>
      <w:r>
        <w:t>Тестовые заявки имеют признак test_data=true/«TEST — НЕ ЗВОНИТЬ» и не искажают ставки, воронку и отчётность.</w:t>
      </w:r>
    </w:p>
    <w:p>
      <w:pPr>
        <w:pageBreakBefore w:val="0"/>
        <w:widowControl/>
      </w:pPr>
      <w:r>
        <w:t>История редакции: v1.4 от 30.09.2026 — актуализированы ссылки на контракт 1.6 и медиаплан 4.3; закреплены канонические поля, семантика, минус-слова, RSA, расписание и приёмка кампании монтажа.</w:t>
      </w:r>
    </w:p>
    <w:p>
      <w:pPr>
        <w:pStyle w:val="Heading1"/>
        <w:pageBreakBefore w:val="0"/>
        <w:widowControl/>
      </w:pPr>
      <w:r>
        <w:rPr>
          <w:color w:val="000000"/>
        </w:rPr>
        <w:t>Согласованные требования редакции 1.5 от 8 октября 2026 года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Карта категорий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  <w:tblHeader/>
        </w:trPr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Технический service_type</w:t>
            </w:r>
          </w:p>
        </w:tc>
        <w:tc>
          <w:tcPr>
            <w:tcW w:type="dxa" w:w="4986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Категория UF_CRM_SERVICE_TYPE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aps_maintenance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inspection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aps_installation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aps_modernization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Модернизация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emergency_visit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emergency_service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lead_srabotka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aps_repair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fire_audit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Пожарный аудит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fire_alarm_design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extinguisher_recharge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evacuation_plans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fire_hydrant_testing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ispytaniya_pk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stress_test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kuzet_retail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fire_suppression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antiterror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insulation_resistance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fire_ladder_test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fire_safety_training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fire_protection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soue</w:t>
            </w:r>
          </w:p>
        </w:tc>
        <w:tc>
          <w:tcPr>
            <w:tcW w:type="dxa" w:w="4986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</w:tbl>
    <w:p>
      <w:pPr>
        <w:pageBreakBefore w:val="0"/>
        <w:widowControl/>
      </w:pPr>
      <w:r>
        <w:t>Карта является требованием новой редакции. Для новых значений kuzet_retail и расширенного списка отдельных услуг зарегистрировать соответствия в рабочем Cloud Run и резервном адаптере, затем проверить на тесте. Строковый код страницы или тип материала не подменяет услугу; на общих страницах service_type берётся из выбранного предмета обращения. Восемь существующих категорий CRM сохраняются; новые категории и воронки автоматически не создаются.</w:t>
      </w:r>
    </w:p>
    <w:p>
      <w:pPr>
        <w:pStyle w:val="Heading2"/>
        <w:pageBreakBefore w:val="0"/>
        <w:widowControl/>
      </w:pPr>
      <w:r>
        <w:rPr>
          <w:color w:val="000000"/>
        </w:rPr>
        <w:t>Исключения обследования и работа координатора</w:t>
      </w:r>
    </w:p>
    <w:p>
      <w:pPr>
        <w:pageBreakBefore w:val="0"/>
        <w:widowControl/>
      </w:pPr>
      <w:r>
        <w:t>Все коммерческие заявки начинают в Общей воронке. Обследование проводится по необходимости. Для Кузет без планового ТО допускается заключение договора без обязательного выезда. Координатор фиксирует обоснование «обследование не требуется»; применимые поля обязательности на стадиях договора не должны блокировать этот путь. Исполнитель подтверждает механизм в текущем виде карточки CRM и отдельным контрольным сценарием, не подставляя фиктивного инженера, даты выезда или акта.</w:t>
      </w:r>
    </w:p>
    <w:p>
      <w:pPr>
        <w:pStyle w:val="Heading2"/>
        <w:pageBreakBefore w:val="0"/>
        <w:widowControl/>
      </w:pPr>
      <w:r>
        <w:rPr>
          <w:color w:val="000000"/>
        </w:rPr>
        <w:t>Четыре направления экономики и пакетный ряд</w:t>
      </w:r>
    </w:p>
    <w:p>
      <w:pPr>
        <w:pageBreakBefore w:val="0"/>
        <w:widowControl/>
      </w:pPr>
      <w:r>
        <w:t>Раздельная аналитика: Кузет, обычное ТО, аутсорсинг документации и монтаж с перспективой обслуживания. Направление определяется сервером по исходной странице, выбранному продукту и фактическому договору; исходная и итоговая услуги сохраняются отдельно. Малая площадь сама по себе не означает низкий приоритет. Весам ICP и ставкам себестоимости требуется утверждение по фактической экономике; браузер не рассчитывает ICP.</w:t>
      </w:r>
    </w:p>
    <w:p>
      <w:pPr>
        <w:pageBreakBefore w:val="0"/>
        <w:widowControl/>
      </w:pPr>
      <w: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Ритейл Кузет до 500 м²: услуги Базового Кузет 44 000 ₸/месяц (без планового ТО), Расширенного ТО 90 000 ₸/месяц (без Кузет), PRO 134 000 ₸/месяц (оба компонента). Пример аренды +20 000 ₸ даёт 64 000 / 110 000 / 154 000 ₸, не универсальный тариф. Покупка и аренда — разные договорные модели; аренда не означает автоматический выкуп. Основной ряд /pakety/ не заменять ритейл предложением; URL control/service/full-safe сохранять до решения по карте URL.</w:t>
      </w:r>
    </w:p>
    <w:p>
      <w:pPr>
        <w:pStyle w:val="Heading2"/>
        <w:pageBreakBefore w:val="0"/>
        <w:widowControl/>
      </w:pPr>
      <w:r>
        <w:rPr>
          <w:color w:val="000000"/>
        </w:rPr>
        <w:t>Обязательные контрольные сценарии</w:t>
      </w:r>
    </w:p>
    <w:p>
      <w:pPr>
        <w:pageBreakBefore w:val="0"/>
        <w:widowControl/>
      </w:pPr>
      <w:r>
        <w:t>☐ Одна заявка при granted и denied; полный контекст страницы и одна сделка в Общей воронке; отсутствие второго моста Tilda.</w:t>
      </w:r>
    </w:p>
    <w:p>
      <w:pPr>
        <w:pageBreakBefore w:val="0"/>
        <w:widowControl/>
      </w:pPr>
      <w:r>
        <w:t>☐ Повтор event_id и конкурентная доставка не создают вторую сделку, контакт, задачу или конверсию. Проверка по названию и окну 3 минуты не заменяет идемпотентный ключ.</w:t>
      </w:r>
    </w:p>
    <w:p>
      <w:pPr>
        <w:pageBreakBefore w:val="0"/>
        <w:widowControl/>
      </w:pPr>
      <w:r>
        <w:t>☐ Два объекта одного договора дают один contract_won; перевод той же сделки не повторяет результат; два отдельные договора монтажа и ТО дают два результата.</w:t>
      </w:r>
    </w:p>
    <w:p>
      <w:pPr>
        <w:pageBreakBefore w:val="0"/>
        <w:widowControl/>
      </w:pPr>
      <w:r>
        <w:t>☐ Кузет проходит до подписанного договора без обязательного выезда; обследовательские гейты не обходятся фиктивными значениями.</w:t>
      </w:r>
    </w:p>
    <w:p>
      <w:pPr>
        <w:pageBreakBefore w:val="0"/>
        <w:widowControl/>
      </w:pPr>
      <w:r>
        <w:t>☐ Скачивание другого региона выдаёт файл, фиксируется в CRM/аналитике и не создаёт задачи или уведомления продажам.</w:t>
      </w:r>
    </w:p>
    <w:p>
      <w:pPr>
        <w:pageBreakBefore w:val="0"/>
        <w:widowControl/>
      </w:pPr>
      <w:r>
        <w:t>☐ 10 уникальных договорных конверсий приняты Google Ads; только contract_won находится в наборе целей ставок, включая custom goals.</w:t>
      </w:r>
    </w:p>
    <w:p>
      <w:pPr>
        <w:pageBreakBefore w:val="0"/>
        <w:widowControl/>
      </w:pPr>
      <w:r>
        <w:t>☐ Тестовые данные исключены из ставок, финансовых и маркетинговых отчётов; неизвестная экономика отмечена как недоступная.</w:t>
      </w:r>
    </w:p>
    <w:p>
      <w:pPr>
        <w:pageBreakBefore w:val="0"/>
        <w:widowControl/>
      </w:pPr>
      <w:r>
        <w:t>Редакция фиксирует требования документов и решения владельца на 08.10.2026. Изменения живых GTM, Cloud Run, сайта, CRM и Ads выполняются и принимаются отдельно. Исторические результаты тестов не означают приёмку новых правил.</w:t>
      </w:r>
    </w:p>
    <w:p>
      <w:pPr>
        <w:pStyle w:val="Heading2"/>
        <w:pageBreakBefore w:val="0"/>
        <w:widowControl/>
      </w:pPr>
      <w:r>
        <w:rPr>
          <w:color w:val="000000"/>
        </w:rPr>
        <w:t>Тест Кузет внутри существующего бюджета</w:t>
      </w:r>
    </w:p>
    <w:p>
      <w:pPr>
        <w:pageBreakBefore w:val="0"/>
        <w:widowControl/>
      </w:pPr>
      <w:r>
        <w:t>Шесть основных Search-направлений и общий тестовый бюджет 230–355 тыс. ₸/месяц сохраняются. /kuzet/ тестируется внутри выделенного бюджета обслуживания, без двойного начисления бюджета; до публикации и сквозной приёмки страницы рекламу не направлять. service_type=kuzet_retail, requested_action=calculate, customer_type=new; новые значения реестра и карты адаптера принять до запуска. Основная цель всех направлений contract_won; экономику четырёх продуктовых направлений не смешивать.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