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</w:pPr>
      <w:r>
        <w:rPr>
          <w:color w:val="000000"/>
          <w:u w:val="none"/>
        </w:rPr>
        <w:t>Приложение 2 Настройка Google Ads для страницы обслуживания АПС</w:t>
      </w:r>
    </w:p>
    <w:p>
      <w:pPr>
        <w:pageBreakBefore w:val="0"/>
        <w:widowControl/>
      </w:pPr>
      <w:r>
        <w:t>Действующая редакция 1.1 от 08.10.2026. Основание — медиаплан 4.5 и решение владельца о начале обучения после 10 договоров. Изменения требований не означают изменения живых настроек. 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Subtitle"/>
        <w:pageBreakBefore w:val="0"/>
        <w:widowControl/>
      </w:pPr>
      <w:r>
        <w:t>Pozharnik.kz   Алматы и Алматинская область</w:t>
      </w:r>
    </w:p>
    <w:p>
      <w:pPr>
        <w:pageBreakBefore w:val="0"/>
        <w:widowControl/>
      </w:pPr>
      <w:r>
        <w:rPr>
          <w:i/>
        </w:rPr>
        <w:t>Версия 1.1 · 8 октября 2026 года · Статус к настройке</w:t>
      </w:r>
    </w:p>
    <w:p>
      <w:pPr>
        <w:pageBreakBefore w:val="0"/>
        <w:widowControl/>
      </w:pPr>
      <w:r>
        <w:t>Приложение дополняет мастер ТЗ Google Ads версии 1.5 и задаёт конфигурацию поисковой рекламы для технического обслуживания автоматической пожарной сигнализации. Цель — получать квалифицированные B2B заявки, связывать расходы Google Ads со сделками и офлайн результатами в Bitrix24 и не оптимизировать кампанию по ложным или тестовым конверсиям.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 Исходные документы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Документ</w:t>
            </w:r>
          </w:p>
        </w:tc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Медиаплан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4.5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Бюджеты, ICP, распределение кампаний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ТЗ Google Ads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1.5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Общие правила аккаунта, конверсий и импорта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Единый контракт данных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Имена полей, UTM, click ID, consent и атрибуция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ТЗ аналитики страниц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1.7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dataLayer, GTM, GA4, события форм и consent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ТЗ Bitrix24 и аналитика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1.28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Сделки, квалификация, офлайн конверсии</w:t>
            </w:r>
          </w:p>
        </w:tc>
      </w:tr>
    </w:tbl>
    <w:p>
      <w:pPr>
        <w:pageBreakBefore w:val="0"/>
        <w:widowControl/>
        <w:spacing w:after="40"/>
      </w:pPr>
    </w:p>
    <w:p>
      <w:pPr>
        <w:pageBreakBefore w:val="0"/>
        <w:widowControl/>
      </w:pPr>
      <w:r>
        <w:t>При противоречии приоритет имеет более новая версия канонического документа.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2 Цель и границы кампании</w:t>
      </w:r>
    </w:p>
    <w:p>
      <w:pPr>
        <w:pStyle w:val="ListBullet"/>
        <w:keepNext w:val="0"/>
        <w:pageBreakBefore w:val="0"/>
        <w:widowControl/>
        <w:spacing w:after="60"/>
      </w:pPr>
      <w:r>
        <w:t>Тип: Google Search. Performance Max, КМС и широкое соответствие на старте не использовать.</w:t>
      </w:r>
    </w:p>
    <w:p>
      <w:pPr>
        <w:pStyle w:val="ListBullet"/>
        <w:keepNext w:val="0"/>
        <w:pageBreakBefore w:val="0"/>
        <w:widowControl/>
        <w:spacing w:after="60"/>
      </w:pPr>
      <w:r>
        <w:t>Продукт: регламентное обслуживание, диагностика, очистка, проверка и восстановление работоспособности АПС для коммерческих объектов.</w:t>
      </w:r>
    </w:p>
    <w:p>
      <w:pPr>
        <w:pStyle w:val="ListBullet"/>
        <w:keepNext w:val="0"/>
        <w:pageBreakBefore w:val="0"/>
        <w:widowControl/>
        <w:spacing w:after="60"/>
      </w:pPr>
      <w:r>
        <w:t>Целевая аудитория: владельцы и управляющие офисами, складами, производствами, торговыми и общественными объектами.</w:t>
      </w:r>
    </w:p>
    <w:p>
      <w:pPr>
        <w:pStyle w:val="ListBullet"/>
        <w:keepNext w:val="0"/>
        <w:pageBreakBefore w:val="0"/>
        <w:widowControl/>
        <w:spacing w:after="60"/>
      </w:pPr>
      <w:r>
        <w:t>Основной бизнес результат: заключённый договор contract_won и подтверждённая экономика. Квалификация, выезды и КП диагностические.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3 Кампания и посадочная страница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Кампания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SEARCH OBSLUZHIVANIE APS B2B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Целевая страница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https://pozharnik.kz/obsluzhivanie/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ICP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ICP 1 — обычное обслуживание действующей АПС; ICP 2 — отдельная кампания смены подрядчика.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aps_maintenance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customer_type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new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calculate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page_type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service_type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source_page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obsluzhivanie_aps / /obsluzhivanie/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Основной CTA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Получить расчёт</w:t>
            </w:r>
          </w:p>
        </w:tc>
      </w:tr>
      <w:tr>
        <w:tc>
          <w:tcPr>
            <w:tcW w:type="dxa" w:w="294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Дополнительные CTA</w:t>
            </w:r>
          </w:p>
        </w:tc>
        <w:tc>
          <w:tcPr>
            <w:tcW w:type="dxa" w:w="635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Позвонить, WhatsApp   secondary</w:t>
            </w:r>
          </w:p>
        </w:tc>
      </w:tr>
    </w:tbl>
    <w:p>
      <w:pPr>
        <w:pageBreakBefore w:val="0"/>
        <w:widowControl/>
        <w:spacing w:after="40"/>
      </w:pPr>
    </w:p>
    <w:p>
      <w:pPr>
        <w:pageBreakBefore w:val="0"/>
        <w:widowControl/>
      </w:pPr>
      <w:r>
        <w:t>Главную страницу не использовать как замену /obsluzhivanie/. Страницу текущих клиентов и служебные формы не использовать как рекламную посадочную. Объявление, ключевой запрос и первый экран должны описывать одну и ту же услугу.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4 География расписание бюджет и стратегия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География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Алматы и согласованная зона выезда в Алматинской области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Опция местоположения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Присутствие   люди, находящиеся в целевых местоположениях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Язык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Русский; казахский добавлять после проверки релевантного объёма и локализованных объявлений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Расписание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Понедельник–пятница 09:00–18:00, GMT+05:00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Тестовый месячный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60 000–90 000 тенге; лимит утверждает владелец аккаунта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Дневной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Рассчитать из утверждённого месячного лимита; не дублировать сумму в соседних кампаниях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Стратегия старта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На старте контролируемый Search с лимитом бюджета и CPC. После 10 уникальных подтверждённых contract_won, принятых Google Ads, начать обучение Maximize Conversions по единственной основной цели contract_won.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Target CPA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Включать только после накопления стабильных данных и после проверки офлайн импорта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5 Структура групп объявлений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28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6"/>
              </w:rPr>
              <w:t>Намерение</w:t>
            </w:r>
          </w:p>
        </w:tc>
        <w:tc>
          <w:tcPr>
            <w:tcW w:type="dxa" w:w="4082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6"/>
              </w:rPr>
              <w:t>Примеры запросов</w:t>
            </w:r>
          </w:p>
        </w:tc>
      </w:tr>
      <w:tr>
        <w:tc>
          <w:tcPr>
            <w:tcW w:type="dxa" w:w="2381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Обслуживание АПС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Регламентное техническое обслуживание</w:t>
            </w:r>
          </w:p>
        </w:tc>
        <w:tc>
          <w:tcPr>
            <w:tcW w:type="dxa" w:w="4082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обслуживание пожарной сигнализации; техническое обслуживание АПС</w:t>
            </w:r>
          </w:p>
        </w:tc>
      </w:tr>
      <w:tr>
        <w:tc>
          <w:tcPr>
            <w:tcW w:type="dxa" w:w="2381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Договор обслуживания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Заключение или смена договора</w:t>
            </w:r>
          </w:p>
        </w:tc>
        <w:tc>
          <w:tcPr>
            <w:tcW w:type="dxa" w:w="4082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договор обслуживания АПС; обслуживание пожарной сигнализации по договору</w:t>
            </w:r>
          </w:p>
        </w:tc>
      </w:tr>
      <w:tr>
        <w:tc>
          <w:tcPr>
            <w:tcW w:type="dxa" w:w="2381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Проверка и профилактика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Диагностика и предупреждение отказов</w:t>
            </w:r>
          </w:p>
        </w:tc>
        <w:tc>
          <w:tcPr>
            <w:tcW w:type="dxa" w:w="4082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проверка пожарной сигнализации; профилактика АПС</w:t>
            </w:r>
          </w:p>
        </w:tc>
      </w:tr>
      <w:tr>
        <w:tc>
          <w:tcPr>
            <w:tcW w:type="dxa" w:w="2381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Склады и производство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B2B объекты с высокой ответственностью</w:t>
            </w:r>
          </w:p>
        </w:tc>
        <w:tc>
          <w:tcPr>
            <w:tcW w:type="dxa" w:w="4082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обслуживание АПС склада; обслуживание пожарной сигнализации производства</w:t>
            </w:r>
          </w:p>
        </w:tc>
      </w:tr>
      <w:tr>
        <w:tc>
          <w:tcPr>
            <w:tcW w:type="dxa" w:w="2381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Офисы и коммерческие объекты</w:t>
            </w:r>
          </w:p>
        </w:tc>
        <w:tc>
          <w:tcPr>
            <w:tcW w:type="dxa" w:w="2835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Плановое обслуживание бизнеса</w:t>
            </w:r>
          </w:p>
        </w:tc>
        <w:tc>
          <w:tcPr>
            <w:tcW w:type="dxa" w:w="4082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обслуживание АПС офиса; обслуживание пожарной сигнализации магазина</w:t>
            </w:r>
          </w:p>
        </w:tc>
      </w:tr>
    </w:tbl>
    <w:p>
      <w:pPr>
        <w:pageBreakBefore w:val="0"/>
        <w:widowControl/>
        <w:spacing w:after="40"/>
      </w:pPr>
    </w:p>
    <w:p>
      <w:pPr>
        <w:pageBreakBefore w:val="0"/>
        <w:widowControl/>
      </w:pPr>
      <w:r>
        <w:t>На старте в каждой группе использовать точное и фразовое соответствие. Группы не должны дублировать семантику монтажа, аудита, ремонта и аварийной сработки.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6 Стартовые ключевые слова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703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7"/>
              </w:rPr>
              <w:t>Ключевая фраза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[обслуживание пожарной сигнализации]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"обслуживание пожарной сигнализации алматы"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[техническое обслуживание апс]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"обслуживание апс алматы"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"договор обслуживания апс"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"проверка пожарной сигнализации"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"обслуживание пожарной сигнализации склад"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"обслуживание апс производство"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"обслуживание пожарной сигнализации офис"</w:t>
            </w:r>
          </w:p>
        </w:tc>
      </w:tr>
      <w:tr>
        <w:tc>
          <w:tcPr>
            <w:tcW w:type="dxa" w:w="226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7"/>
              </w:rPr>
              <w:t>"стоимость обслуживания пожарной сигнализации"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7 Минус слова</w:t>
      </w:r>
    </w:p>
    <w:p>
      <w:pPr>
        <w:pageBreakBefore w:val="0"/>
        <w:widowControl/>
      </w:pPr>
      <w:r>
        <w:t>Общий список: автосигнализация; автомобиль; starline; pandora; своими руками; схема; скачать; реферат; курсовая; вакансии; работа; обучение; инструкция; для квартиры; для дома; бытовой датчик; купить датчик; ozon; wildberries; бесплатно; б/у; ремонт авто.</w:t>
      </w:r>
    </w:p>
    <w:p>
      <w:pPr>
        <w:pStyle w:val="ListBullet"/>
        <w:keepNext w:val="0"/>
        <w:pageBreakBefore w:val="0"/>
        <w:widowControl/>
        <w:spacing w:after="60"/>
      </w:pPr>
      <w:r>
        <w:t>Проверять отчёт поисковых запросов не реже двух раз в неделю в первый месяц.</w:t>
      </w:r>
    </w:p>
    <w:p>
      <w:pPr>
        <w:pStyle w:val="ListBullet"/>
        <w:keepNext w:val="0"/>
        <w:pageBreakBefore w:val="0"/>
        <w:widowControl/>
        <w:spacing w:after="60"/>
      </w:pPr>
      <w:r>
        <w:t>Не добавлять минус слово, если оно отсекает целевой B2B спрос; причину нового минус слова фиксировать в журнале оптимизации.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8 Объявления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136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6"/>
              </w:rPr>
              <w:t>Набор</w:t>
            </w:r>
          </w:p>
        </w:tc>
        <w:tc>
          <w:tcPr>
            <w:tcW w:type="dxa" w:w="793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6"/>
              </w:rPr>
              <w:t>Заголовки до 30 знаков</w:t>
            </w:r>
          </w:p>
        </w:tc>
      </w:tr>
      <w:tr>
        <w:tc>
          <w:tcPr>
            <w:tcW w:type="dxa" w:w="136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RSA 1</w:t>
            </w:r>
          </w:p>
        </w:tc>
        <w:tc>
          <w:tcPr>
            <w:tcW w:type="dxa" w:w="793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Обслуживание АПС Алматы | ТО пожарной сигнализации | Договор обслуживания АПС | Расчёт по вашему объекту | Регламентные работы | Проверка и диагностика АПС | Для офисов и складов | Для производств | Выезд инженера | Документы по работам | Алматы и область | Pozharnik.kz</w:t>
            </w:r>
          </w:p>
        </w:tc>
      </w:tr>
      <w:tr>
        <w:tc>
          <w:tcPr>
            <w:tcW w:type="dxa" w:w="136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RSA 2</w:t>
            </w:r>
          </w:p>
        </w:tc>
        <w:tc>
          <w:tcPr>
            <w:tcW w:type="dxa" w:w="793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Техническое обслуживание АПС | Проверка пожарной системы | Профилактика неисправностей | Обслуживание по графику | Прозрачный состав работ | Расчёт по вашему объекту | Очистка и тестирование | Отчёт по результатам | Согласованные сроки | Для коммерческих объектов | Новый договор обслуживания | Pozharnik.kz</w:t>
            </w:r>
          </w:p>
        </w:tc>
      </w:tr>
    </w:tbl>
    <w:p>
      <w:pPr>
        <w:pageBreakBefore w:val="0"/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136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6"/>
              </w:rPr>
              <w:t>Номер</w:t>
            </w:r>
          </w:p>
        </w:tc>
        <w:tc>
          <w:tcPr>
            <w:tcW w:type="dxa" w:w="793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  <w:spacing w:after="0" w:line="245" w:lineRule="auto"/>
            </w:pPr>
            <w:r>
              <w:rPr>
                <w:b/>
                <w:color w:val="FFFFFF"/>
                <w:sz w:val="16"/>
              </w:rPr>
              <w:t>Описание до 90 знаков</w:t>
            </w:r>
          </w:p>
        </w:tc>
      </w:tr>
      <w:tr>
        <w:tc>
          <w:tcPr>
            <w:tcW w:type="dxa" w:w="136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793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Проверим АПС, согласуем регламент и рассчитаем обслуживание вашего объекта.</w:t>
            </w:r>
          </w:p>
        </w:tc>
      </w:tr>
      <w:tr>
        <w:tc>
          <w:tcPr>
            <w:tcW w:type="dxa" w:w="136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793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Диагностика, очистка, тестирование и отчёт по выполненным работам.</w:t>
            </w:r>
          </w:p>
        </w:tc>
      </w:tr>
      <w:tr>
        <w:tc>
          <w:tcPr>
            <w:tcW w:type="dxa" w:w="136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793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Обслуживание офисов, складов и производств в Алматы и области.</w:t>
            </w:r>
          </w:p>
        </w:tc>
      </w:tr>
      <w:tr>
        <w:tc>
          <w:tcPr>
            <w:tcW w:type="dxa" w:w="1360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7938"/>
          </w:tcPr>
          <w:p>
            <w:pPr>
              <w:keepNext w:val="0"/>
              <w:pageBreakBefore w:val="0"/>
              <w:spacing w:after="0" w:line="245" w:lineRule="auto"/>
            </w:pPr>
            <w:r>
              <w:rPr>
                <w:sz w:val="16"/>
              </w:rPr>
              <w:t>Заключим новый договор обслуживания. Свяжемся в течение 30 минут в рабочее время.</w:t>
            </w:r>
          </w:p>
        </w:tc>
      </w:tr>
    </w:tbl>
    <w:p>
      <w:pPr>
        <w:pStyle w:val="ListBullet"/>
        <w:keepNext w:val="0"/>
        <w:pageBreakBefore w:val="0"/>
        <w:widowControl/>
        <w:spacing w:after="60"/>
      </w:pPr>
      <w:r>
        <w:t>В каждом RSA использовать не менее 10 заголовков и все 4 описания. Без данных не закреплять активы по позициям.</w:t>
      </w:r>
    </w:p>
    <w:p>
      <w:pPr>
        <w:pStyle w:val="ListBullet"/>
        <w:keepNext w:val="0"/>
        <w:pageBreakBefore w:val="0"/>
        <w:widowControl/>
        <w:spacing w:after="60"/>
      </w:pPr>
      <w:r>
        <w:t>Отображаемый путь: obsluzhivanie / almaty.</w:t>
      </w:r>
    </w:p>
    <w:p>
      <w:pPr>
        <w:pStyle w:val="ListBullet"/>
        <w:keepNext w:val="0"/>
        <w:pageBreakBefore w:val="0"/>
        <w:widowControl/>
        <w:spacing w:after="60"/>
      </w:pPr>
      <w:r>
        <w:t>Добавить быстрые ссылки: Рассчитать стоимость; Примеры работ; Документы; Как мы работаем. Добавить уточнения о географии, видах объектов и составе работ.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9 URL и маркировка трафика</w:t>
      </w:r>
    </w:p>
    <w:p>
      <w:pPr>
        <w:pageBreakBefore w:val="0"/>
        <w:widowControl/>
      </w:pPr>
      <w:r>
        <w:t>Final URL: https://pozharnik.kz/obsluzhivanie/?service_type=aps_maintenance&amp;customer_type=new&amp;requested_action=calculate</w:t>
      </w:r>
    </w:p>
    <w:p>
      <w:pPr>
        <w:pageBreakBefore w:val="0"/>
        <w:widowControl/>
      </w:pPr>
      <w:r>
        <w:t>Final URL suffix: utm_source=google&amp;utm_medium=cpc&amp;utm_campaign={campaignid}&amp;utm_id={campaignid}&amp;utm_content={creative}&amp;utm_term={keyword}&amp;device={device}&amp;network={network}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30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236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gclid, dclid, gbraid, wbraid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Сохранять без перезаписи и передавать в webhook, BigQuery и Bitrix24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utm_source, utm_medium, utm_campaign, utm_id, utm_content, utm_term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Отделять current visit от first touch и last touch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page_url, page_path, page_title, source_page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Показывать, что заявка пришла со страницы обслуживания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referrer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Хранить current, first_referrer и last_referrer по контракту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10 Конверсии и оптимизация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tblHeader/>
          <w:tblHeader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158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Ценность</w:t>
            </w:r>
          </w:p>
        </w:tc>
        <w:tc>
          <w:tcPr>
            <w:tcW w:type="dxa" w:w="317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Без value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Только после подтверждённой успешной отправки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qualified_lead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Тестовая или модельная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Сделка квалифицирована в Bitrix24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visit_scheduled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Фиксированная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Выезд согласован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quote_sent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Сумма КП или расчётная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КП фактически отправлено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contract_won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KZT по утверждённой методике; неподтверждённая прибыль не передаётся как фактическая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Договор фактически заключён; дата события — дата заключения, без ожидания оплаты или завершения.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work_completed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Фактическая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Работа завершена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keepNext w:val="0"/>
        <w:pageBreakBefore w:val="0"/>
        <w:widowControl/>
        <w:spacing w:after="60"/>
      </w:pPr>
      <w:r>
        <w:t>Форма и квалификация всегда Secondary. Primary — только contract_won по факту заключения договора; квалификация не меняет роль формы.</w:t>
      </w:r>
    </w:p>
    <w:p>
      <w:pPr>
        <w:pStyle w:val="ListBullet"/>
        <w:keepNext w:val="0"/>
        <w:pageBreakBefore w:val="0"/>
        <w:widowControl/>
        <w:spacing w:after="60"/>
      </w:pPr>
      <w:r>
        <w:t>Для всех primary офлайн событий передавать event_id и order_id; загрузка должна быть идемпотентной.</w:t>
      </w:r>
    </w:p>
    <w:p>
      <w:pPr>
        <w:pStyle w:val="ListBullet"/>
        <w:keepNext w:val="0"/>
        <w:pageBreakBefore w:val="0"/>
        <w:widowControl/>
        <w:spacing w:after="60"/>
      </w:pPr>
      <w:r>
        <w:t>Enhanced conversions for leads включить только после принятия Customer Data Terms и при consent_ads=granted.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11 Consent Mode и защита данных</w:t>
      </w:r>
    </w:p>
    <w:p>
      <w:pPr>
        <w:pStyle w:val="ListBullet"/>
        <w:keepNext w:val="0"/>
        <w:pageBreakBefore w:val="0"/>
        <w:widowControl/>
        <w:spacing w:after="60"/>
      </w:pPr>
      <w:r>
        <w:t>До согласия: analytics_storage, ad_storage, ad_user_data и ad_personalization равны denied.</w:t>
      </w:r>
    </w:p>
    <w:p>
      <w:pPr>
        <w:pStyle w:val="ListBullet"/>
        <w:keepNext w:val="0"/>
        <w:pageBreakBefore w:val="0"/>
        <w:widowControl/>
        <w:spacing w:after="60"/>
      </w:pPr>
      <w:r>
        <w:t>Кнопка «Принять все» обновляет consent на granted; «Только необходимые» сохраняет denied для аналитики и рекламы.</w:t>
      </w:r>
    </w:p>
    <w:p>
      <w:pPr>
        <w:pStyle w:val="ListBullet"/>
        <w:keepNext w:val="0"/>
        <w:pageBreakBefore w:val="0"/>
        <w:widowControl/>
        <w:spacing w:after="60"/>
      </w:pPr>
      <w:r>
        <w:t>Форма может быть отправлена без рекламного consent; значения consent_status, consent_ads и consent_timestamp передаются в заявке.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12 События на странице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362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Когда отправляется</w:t>
            </w:r>
          </w:p>
        </w:tc>
        <w:tc>
          <w:tcPr>
            <w:tcW w:type="dxa" w:w="328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Ключевые параметры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Клик по CTA, WhatsApp или телефону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cta_id, cta_text, cta_location, service_type, source_page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pz_calculator_start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Первое взаимодействие с калькулятором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calculator_id, service_type, source_page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pz_calculator_complete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Получен расчёт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calculator_id, answers, estimated_value, currency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Первый focus в форме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form_name, form_location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Нажата кнопка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event_id,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Сервер подтвердил успешную отправку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event_id, lead_id,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pz_form_error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Ошибка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form_id, event_id, error_code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Heading1"/>
        <w:keepNext/>
        <w:pageBreakBefore w:val="0"/>
        <w:widowControl/>
      </w:pPr>
      <w:r>
        <w:rPr>
          <w:color w:val="000000"/>
        </w:rPr>
        <w:t>13 Приёмочная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  <w:tblHeader/>
          <w:tblHeader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691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Посадочная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/obsluzhivanie/ открывается без 404, битых файлов и горизонтального переполнения на mobile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GTM GA4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GTM-WVGQ5BZ4 загружен; pz_form_success срабатывает только после успеха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Google Ads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Conversion Linker работает; click ID сохраняется; офлайн события импортируются без дублей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Bitrix24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Сделка с service_type=aps_maintenance, customer_type=new, requested_action=calculate и источником /obsluzhivanie/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Telegram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Уведомление содержит читаемые имя, контакт, направление, страницу, канал и кампанию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Consent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До согласия denied; после «Принять все» granted; оба режима не ломают форму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Тестовые данные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Имя «TEST — НЕ ЗВОНИТЬ» и test_data=true; тест не участвует в ставках и отчётности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keepNext w:val="0"/>
        <w:pageBreakBefore w:val="0"/>
        <w:widowControl/>
        <w:spacing w:after="60"/>
      </w:pPr>
      <w:r>
        <w:t>Выполнить по одной успешной технической отправке из каждого места формы на desktop и mobile без платного рекламного клика.</w:t>
      </w:r>
    </w:p>
    <w:p>
      <w:pPr>
        <w:pStyle w:val="ListBullet"/>
        <w:keepNext w:val="0"/>
        <w:pageBreakBefore w:val="0"/>
        <w:widowControl/>
        <w:spacing w:after="60"/>
      </w:pPr>
      <w:r>
        <w:t>Сквозную атрибуцию Google Ads окончательно подтвердить по первому реальному рекламному обращению. Лиды действующих клиентов с customer_type=existing не использовать для оптимизации этой кампании.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14 Порядок запуска</w:t>
      </w:r>
    </w:p>
    <w:p>
      <w:pPr>
        <w:pStyle w:val="ListNumber"/>
        <w:keepNext w:val="0"/>
        <w:pageBreakBefore w:val="0"/>
        <w:widowControl/>
        <w:spacing w:after="60"/>
      </w:pPr>
      <w:r>
        <w:t>Проверить страницу, формы, consent, webhook, Bitrix24 и Telegram.</w:t>
      </w:r>
    </w:p>
    <w:p>
      <w:pPr>
        <w:pStyle w:val="ListNumber"/>
        <w:keepNext w:val="0"/>
        <w:pageBreakBefore w:val="0"/>
        <w:widowControl/>
        <w:spacing w:after="60"/>
      </w:pPr>
      <w:r>
        <w:t>Создать кампанию и группы объявлений, загрузить семантику, минус слова и RSA.</w:t>
      </w:r>
    </w:p>
    <w:p>
      <w:pPr>
        <w:pStyle w:val="ListNumber"/>
        <w:keepNext w:val="0"/>
        <w:pageBreakBefore w:val="0"/>
        <w:widowControl/>
        <w:spacing w:after="60"/>
      </w:pPr>
      <w:r>
        <w:t>Включить auto tagging, Conversion Linker и нужные conversion actions; проверить ValueTrack.</w:t>
      </w:r>
    </w:p>
    <w:p>
      <w:pPr>
        <w:pStyle w:val="ListNumber"/>
        <w:keepNext w:val="0"/>
        <w:pageBreakBefore w:val="0"/>
        <w:widowControl/>
        <w:spacing w:after="60"/>
      </w:pPr>
      <w:r>
        <w:t>Запустить на утверждённом лимите и в рабочее время.</w:t>
      </w:r>
    </w:p>
    <w:p>
      <w:pPr>
        <w:pStyle w:val="ListNumber"/>
        <w:keepNext w:val="0"/>
        <w:pageBreakBefore w:val="0"/>
        <w:widowControl/>
        <w:spacing w:after="60"/>
      </w:pPr>
      <w:r>
        <w:t>Ежедневно в первые 14 дней проверять расход, поисковые запросы, 404, лиды, дубли и статусы импорта.</w:t>
      </w:r>
    </w:p>
    <w:p>
      <w:pPr>
        <w:pStyle w:val="ListNumber"/>
        <w:keepNext w:val="0"/>
        <w:pageBreakBefore w:val="0"/>
        <w:widowControl/>
        <w:spacing w:after="60"/>
      </w:pPr>
      <w:r>
        <w:t>Не менять бюджет, ставки и семантику одновременно; каждое значимое изменение фиксировать с датой и причиной.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15 Отчётность и условия масштабирования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  <w:tblHeader/>
          <w:tblHeader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45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Контроль</w:t>
            </w:r>
          </w:p>
        </w:tc>
        <w:tc>
          <w:tcPr>
            <w:tcW w:type="dxa" w:w="2494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pageBreakBefore w:val="0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Ежедневно, первые 14 дней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Расход, отклонения, 404, запросы, лиды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Журнал контроля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2 раза в неделю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Search terms, минус слова, ICP A/B, дубли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Список изменений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Еженедельно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Расход, CTR, CPC, CPL, qualified lead, выезды, КП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Отчёт по кампании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Ежемесячно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Договоры, выручка, валовая прибыль, ROAS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keepNext w:val="0"/>
              <w:pageBreakBefore w:val="0"/>
              <w:spacing w:after="0" w:line="252" w:lineRule="auto"/>
            </w:pPr>
            <w:r>
              <w:rPr>
                <w:sz w:val="17"/>
              </w:rPr>
              <w:t>Решение о бюджете</w:t>
            </w:r>
          </w:p>
        </w:tc>
      </w:tr>
    </w:tbl>
    <w:p>
      <w:pPr>
        <w:pageBreakBefore w:val="0"/>
        <w:widowControl/>
        <w:spacing w:after="40"/>
      </w:pPr>
    </w:p>
    <w:p>
      <w:pPr>
        <w:pStyle w:val="ListBullet"/>
        <w:keepNext w:val="0"/>
        <w:pageBreakBefore w:val="0"/>
        <w:widowControl/>
        <w:spacing w:after="60"/>
      </w:pPr>
      <w:r>
        <w:t>Масштабировать бюджет не более чем на 20 процентов за одно изменение и только при стабильной доле квалифицированных лидов и приемлемой экономике договоров.</w:t>
      </w:r>
    </w:p>
    <w:p>
      <w:pPr>
        <w:pStyle w:val="ListBullet"/>
        <w:keepNext w:val="0"/>
        <w:pageBreakBefore w:val="0"/>
        <w:widowControl/>
        <w:spacing w:after="60"/>
      </w:pPr>
      <w:r>
        <w:t>Если на выходных или вне рабочего времени SLA не выполняется, расписание не расширять.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16 Критерий приёмки приложения</w:t>
      </w:r>
    </w:p>
    <w:p>
      <w:pPr>
        <w:pStyle w:val="ListBullet"/>
        <w:keepNext w:val="0"/>
        <w:pageBreakBefore w:val="0"/>
        <w:widowControl/>
        <w:spacing w:after="60"/>
      </w:pPr>
      <w:r>
        <w:t>Кампания, группы, семантика, минус слова, RSA, активы, география, бюджет и расписание соответствуют этому ТЗ.</w:t>
      </w:r>
    </w:p>
    <w:p>
      <w:pPr>
        <w:pStyle w:val="ListBullet"/>
        <w:keepNext w:val="0"/>
        <w:pageBreakBefore w:val="0"/>
        <w:widowControl/>
        <w:spacing w:after="60"/>
      </w:pPr>
      <w:r>
        <w:t>Диагностика Google Ads не содержит критических ошибок; объявления допущены.</w:t>
      </w:r>
    </w:p>
    <w:p>
      <w:pPr>
        <w:pStyle w:val="ListBullet"/>
        <w:keepNext w:val="0"/>
        <w:pageBreakBefore w:val="0"/>
        <w:widowControl/>
        <w:spacing w:after="60"/>
      </w:pPr>
      <w:r>
        <w:t>Технический путь форма — webhook — BigQuery — Bitrix24 — Telegram проверен на desktop и mobile.</w:t>
      </w:r>
    </w:p>
    <w:p>
      <w:pPr>
        <w:pStyle w:val="ListBullet"/>
        <w:keepNext w:val="0"/>
        <w:pageBreakBefore w:val="0"/>
        <w:widowControl/>
        <w:spacing w:after="60"/>
      </w:pPr>
      <w:r>
        <w:t>Первая реальная заявка из Google Ads сохраняет UTM, click ID, /obsluzhivanie/, service_type=aps_maintenance и customer_type=new.</w:t>
      </w:r>
    </w:p>
    <w:p>
      <w:pPr>
        <w:pStyle w:val="ListBullet"/>
        <w:keepNext w:val="0"/>
        <w:pageBreakBefore w:val="0"/>
        <w:widowControl/>
        <w:spacing w:after="60"/>
      </w:pPr>
      <w:r>
        <w:t>Офлайн конверсии импортируются идемпотентно и не дублируются.</w:t>
      </w:r>
    </w:p>
    <w:p>
      <w:pPr>
        <w:pStyle w:val="ListBullet"/>
        <w:keepNext w:val="0"/>
        <w:pageBreakBefore w:val="0"/>
        <w:widowControl/>
        <w:spacing w:after="60"/>
      </w:pPr>
      <w:r>
        <w:t>Тестовые лиды исключены из оптимизации, отчётов и обратной загрузки как primary conversions.</w:t>
      </w:r>
    </w:p>
    <w:p>
      <w:pPr>
        <w:pStyle w:val="Heading1"/>
        <w:keepNext/>
        <w:pageBreakBefore w:val="0"/>
        <w:widowControl/>
      </w:pPr>
      <w:r>
        <w:rPr>
          <w:color w:val="000000"/>
        </w:rPr>
        <w:t>История редакции</w:t>
      </w:r>
    </w:p>
    <w:p>
      <w:pPr>
        <w:pageBreakBefore w:val="0"/>
        <w:widowControl/>
      </w:pPr>
      <w:r>
        <w:t>Исторические сведения сохранены для сверки. Они не являются инструкцией повторного внедрения и не отменяют актуальных требований редакции от 08.10.2026.</w:t>
      </w:r>
    </w:p>
    <w:p>
      <w:pPr>
        <w:pageBreakBefore w:val="0"/>
        <w:widowControl/>
      </w:pPr>
      <w:r>
        <w:t>v1.0 от 30.09.2026   Первая согласованная редакция для страницы /obsluzhivanie/.</w:t>
      </w:r>
    </w:p>
    <w:p>
      <w:pPr>
        <w:pStyle w:val="Heading1"/>
        <w:pageBreakBefore w:val="0"/>
        <w:widowControl/>
      </w:pPr>
      <w:r>
        <w:rPr>
          <w:color w:val="000000"/>
        </w:rPr>
        <w:t>Согласованные требования редакции 1.1 от 8 октября 2026 года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ageBreakBefore w:val="0"/>
        <w:widowControl/>
      </w:pPr>
      <w:r>
        <w:t>Во всех формах лид-магнитов обязательно поле «Город / Регион объекта» без предвыбранного значения: Алматы, Алматинская область, Другой регион; для последнего — название региона. Регион относится к объекту, IP его не заменяет. Документ выдаётся автоматически всем. Other_region хранится отдельно в аналитике и CRM без передачи в продажи, задач менеджеру и продажных уведомлений. Для учёта использовать доступную модель CRM и канонические поля, без обязательного смарт-процесса или бизнес-процесса. Сервер проверяет геосегмент и sales_eligible; скрытому полю браузера не доверять.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Heading2"/>
        <w:pageBreakBefore w:val="0"/>
        <w:widowControl/>
      </w:pPr>
      <w:r>
        <w:rPr>
          <w:color w:val="000000"/>
        </w:rPr>
        <w:t>Карта категорий обращения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  <w:tblHeader/>
        </w:trPr>
        <w:tc>
          <w:tcPr>
            <w:tcW w:type="dxa" w:w="5100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Технический service_type</w:t>
            </w:r>
          </w:p>
        </w:tc>
        <w:tc>
          <w:tcPr>
            <w:tcW w:type="dxa" w:w="5100"/>
            <w:shd w:fill="EAEAEA"/>
          </w:tcPr>
          <w:p>
            <w:pPr>
              <w:keepNext/>
              <w:pageBreakBefore w:val="0"/>
              <w:spacing w:after="80"/>
            </w:pPr>
            <w:r>
              <w:rPr>
                <w:b/>
                <w:sz w:val="20"/>
              </w:rPr>
              <w:t>Категория UF_CRM_SERVICE_TYPE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aps_maintenance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Обслуживание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inspection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Проверка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installation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aps_installation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Монтаж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aps_modernization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Модернизация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emergency_visit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emergency_service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lead_srabotka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aps_repair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Авария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fire_audit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Пожарный аудит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fire_alarm_design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aps_design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design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Проектирование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extinguisher_recharge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evacuation_plans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fire_hydrant_testing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ispytaniya_pk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stress_test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kuzet_retail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fire_suppression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antiterror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insulation_resistance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fire_ladder_test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fire_safety_training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fire_protection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  <w:tr>
        <w:trPr>
          <w:cantSplit/>
        </w:trPr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soue</w:t>
            </w:r>
          </w:p>
        </w:tc>
        <w:tc>
          <w:tcPr>
            <w:tcW w:type="dxa" w:w="5100"/>
          </w:tcPr>
          <w:p>
            <w:pPr>
              <w:keepNext w:val="0"/>
              <w:pageBreakBefore w:val="0"/>
              <w:spacing w:after="80"/>
            </w:pPr>
            <w:r>
              <w:rPr>
                <w:b w:val="0"/>
                <w:sz w:val="20"/>
              </w:rPr>
              <w:t>Отдельная услуга</w:t>
            </w:r>
          </w:p>
        </w:tc>
      </w:tr>
    </w:tbl>
    <w:p>
      <w:pPr>
        <w:pageBreakBefore w:val="0"/>
        <w:widowControl/>
      </w:pPr>
      <w:r>
        <w:t>Карта является требованием новой редакции. Для новых значений kuzet_retail и расширенного списка отдельных услуг зарегистрировать соответствия в рабочем Cloud Run и резервном адаптере, затем проверить на тесте. Строковый код страницы или тип материала не подменяет услугу; на общих страницах service_type берётся из выбранного предмета обращения. Восемь существующих категорий CRM сохраняются; новые категории и воронки автоматически не создаются.</w:t>
      </w:r>
    </w:p>
    <w:p>
      <w:pPr>
        <w:pStyle w:val="Heading2"/>
        <w:pageBreakBefore w:val="0"/>
        <w:widowControl/>
      </w:pPr>
      <w:r>
        <w:rPr>
          <w:color w:val="000000"/>
        </w:rPr>
        <w:t>Исключения обследования и работа координатора</w:t>
      </w:r>
    </w:p>
    <w:p>
      <w:pPr>
        <w:pageBreakBefore w:val="0"/>
        <w:widowControl/>
      </w:pPr>
      <w:r>
        <w:t>Все коммерческие заявки начинают в Общей воронке. Обследование проводится по необходимости. Для Кузет без планового ТО допускается заключение договора без обязательного выезда. Координатор фиксирует обоснование «обследование не требуется»; применимые поля обязательности на стадиях договора не должны блокировать этот путь. Исполнитель подтверждает механизм в текущем виде карточки CRM и отдельным контрольным сценарием, не подставляя фиктивного инженера, даты выезда или акта.</w:t>
      </w:r>
    </w:p>
    <w:p>
      <w:pPr>
        <w:pStyle w:val="Heading2"/>
        <w:pageBreakBefore w:val="0"/>
        <w:widowControl/>
      </w:pPr>
      <w:r>
        <w:rPr>
          <w:color w:val="000000"/>
        </w:rPr>
        <w:t>Четыре направления экономики и пакетный ряд</w:t>
      </w:r>
    </w:p>
    <w:p>
      <w:pPr>
        <w:pageBreakBefore w:val="0"/>
        <w:widowControl/>
      </w:pPr>
      <w:r>
        <w:t>Раздельная аналитика: Кузет, обычное ТО, аутсорсинг документации и монтаж с перспективой обслуживания. Направление определяется сервером по исходной странице, выбранному продукту и фактическому договору; исходная и итоговая услуги сохраняются отдельно. Малая площадь сама по себе не означает низкий приоритет. Весам ICP и ставкам себестоимости требуется утверждение по фактической экономике; браузер не рассчитывает ICP.</w:t>
      </w:r>
    </w:p>
    <w:p>
      <w:pPr>
        <w:pageBreakBefore w:val="0"/>
        <w:widowControl/>
      </w:pPr>
      <w:r>
        <w:t>Контроль — техническое обслуживание, эксплуатационный журнал и ежегодное обследование. Защита — дополнительно согласованная документация, обучение и бесплатные консультации; тренировки и сопровождение являются платными опциями. Премиум — пожарный аутсорсинг, документация и журналы, тренировки и сопровождение проверок, один предварительный аудит в год вместо базового ежегодного обследования. Стоимость рассчитывается индивидуально; при численности более 50 сотрудников учитывать дополнительного инженера. Кузет — отдельное предложение, не нижний пакет обычного ТО.</w:t>
      </w:r>
    </w:p>
    <w:p>
      <w:pPr>
        <w:pageBreakBefore w:val="0"/>
        <w:widowControl/>
      </w:pPr>
      <w:r>
        <w:t>Коммерческий состав обычного ТО: проверка помещений по чек-листу, два капитальных ТО с тестированием и два отдельных тестирования в год; отчёт на следующий рабочий день с приоритетами и динамикой устранения замечаний. Применимость и технические операции определяются по назначению объекта, системе, эксплуатационной документации, действующим нормам и договору. Этот цикл не включён в Базовый Кузет.</w:t>
      </w:r>
    </w:p>
    <w:p>
      <w:pPr>
        <w:pageBreakBefore w:val="0"/>
        <w:widowControl/>
      </w:pPr>
      <w:r>
        <w:t>Ритейл Кузет до 500 м²: услуги Базового Кузет 44 000 ₸/месяц (без планового ТО), Расширенного ТО 90 000 ₸/месяц (без Кузет), PRO 134 000 ₸/месяц (оба компонента). Пример аренды +20 000 ₸ даёт 64 000 / 110 000 / 154 000 ₸, не универсальный тариф. Покупка и аренда — разные договорные модели; аренда не означает автоматический выкуп. Основной ряд /pakety/ не заменять ритейл предложением; URL control/service/full-safe сохранять до решения по карте URL.</w:t>
      </w:r>
    </w:p>
    <w:p>
      <w:pPr>
        <w:pStyle w:val="Heading2"/>
        <w:pageBreakBefore w:val="0"/>
        <w:widowControl/>
      </w:pPr>
      <w:r>
        <w:rPr>
          <w:color w:val="000000"/>
        </w:rPr>
        <w:t>Обязательные контрольные сценарии</w:t>
      </w:r>
    </w:p>
    <w:p>
      <w:pPr>
        <w:pageBreakBefore w:val="0"/>
        <w:widowControl/>
      </w:pPr>
      <w:r>
        <w:t>☐ Одна заявка при granted и denied; полный контекст страницы и одна сделка в Общей воронке; отсутствие второго моста Tilda.</w:t>
      </w:r>
    </w:p>
    <w:p>
      <w:pPr>
        <w:pageBreakBefore w:val="0"/>
        <w:widowControl/>
      </w:pPr>
      <w:r>
        <w:t>☐ Повтор event_id и конкурентная доставка не создают вторую сделку, контакт, задачу или конверсию. Проверка по названию и окну 3 минуты не заменяет идемпотентный ключ.</w:t>
      </w:r>
    </w:p>
    <w:p>
      <w:pPr>
        <w:pageBreakBefore w:val="0"/>
        <w:widowControl/>
      </w:pPr>
      <w:r>
        <w:t>☐ Два объекта одного договора дают один contract_won; перевод той же сделки не повторяет результат; два отдельные договора монтажа и ТО дают два результата.</w:t>
      </w:r>
    </w:p>
    <w:p>
      <w:pPr>
        <w:pageBreakBefore w:val="0"/>
        <w:widowControl/>
      </w:pPr>
      <w:r>
        <w:t>☐ Кузет проходит до подписанного договора без обязательного выезда; обследовательские гейты не обходятся фиктивными значениями.</w:t>
      </w:r>
    </w:p>
    <w:p>
      <w:pPr>
        <w:pageBreakBefore w:val="0"/>
        <w:widowControl/>
      </w:pPr>
      <w:r>
        <w:t>☐ Скачивание другого региона выдаёт файл, фиксируется в CRM/аналитике и не создаёт задачи или уведомления продажам.</w:t>
      </w:r>
    </w:p>
    <w:p>
      <w:pPr>
        <w:pageBreakBefore w:val="0"/>
        <w:widowControl/>
      </w:pPr>
      <w:r>
        <w:t>☐ 10 уникальных договорных конверсий приняты Google Ads; только contract_won находится в наборе целей ставок, включая custom goals.</w:t>
      </w:r>
    </w:p>
    <w:p>
      <w:pPr>
        <w:pageBreakBefore w:val="0"/>
        <w:widowControl/>
      </w:pPr>
      <w:r>
        <w:t>☐ Тестовые данные исключены из ставок, финансовых и маркетинговых отчётов; неизвестная экономика отмечена как недоступная.</w:t>
      </w:r>
    </w:p>
    <w:p>
      <w:pPr>
        <w:pageBreakBefore w:val="0"/>
        <w:widowControl/>
      </w:pPr>
      <w:r>
        <w:t>Редакция фиксирует требования документов и решения владельца на 08.10.2026. Изменения живых GTM, Cloud Run, сайта, CRM и Ads выполняются и принимаются отдельно. Исторические результаты тестов не означают приёмку новых правил.</w:t>
      </w:r>
    </w:p>
    <w:p>
      <w:pPr>
        <w:pStyle w:val="Heading2"/>
        <w:pageBreakBefore w:val="0"/>
        <w:widowControl/>
      </w:pPr>
      <w:r>
        <w:rPr>
          <w:color w:val="000000"/>
        </w:rPr>
        <w:t>Тест Кузет внутри существующего бюджета</w:t>
      </w:r>
    </w:p>
    <w:p>
      <w:pPr>
        <w:pageBreakBefore w:val="0"/>
        <w:widowControl/>
      </w:pPr>
      <w:r>
        <w:t>Шесть основных Search-направлений и общий тестовый бюджет 230–355 тыс. ₸/месяц сохраняются. /kuzet/ тестируется внутри выделенного бюджета обслуживания, без двойного начисления бюджета; до публикации и сквозной приёмки страницы рекламу не направлять. service_type=kuzet_retail, requested_action=calculate, customer_type=new; новые значения реестра и карты адаптера принять до запуска. Основная цель всех направлений contract_won; экономику четырёх продуктовых направлений не смешивать.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6C"/>
        <w:sz w:val="16"/>
      </w:rPr>
      <w:t>Pozharnik.kz   Приложение 2   Обслуживание АПС  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