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ТЗ Pozharnik.kz по медиаплану 4.5</w:t>
      </w:r>
    </w:p>
    <w:p>
      <w:r>
        <w:t>Отчёт для владельца проекта и исполнителей сайта, аналитики, CRM и рекламы. Дата проверки — 8 октября 2026 года.</w:t>
      </w:r>
    </w:p>
    <w:p>
      <w:r>
        <w:t>Очередность файлов скорректирована по медиаплану 4.5. Содержание прежних ТЗ требует актуализации: технические документы также расходятся между собой и с новой стратегией. Распределение по папкам не означает приёмку ТЗ или готовность внедрения.</w:t>
      </w:r>
    </w:p>
    <w:p>
      <w:pPr>
        <w:pStyle w:val="Heading1"/>
      </w:pPr>
      <w:r>
        <w:t>Что проверено</w:t>
      </w:r>
    </w:p>
    <w:p>
      <w:r>
        <w:t>В папке «ТЗ страниц» прочитаны 58 файлов DOCX, из них 57 уникальных. Один точный дубликат общего ТЗ этапа 5 сохранён в папке «99 Дубликаты». Добавлено отдельное ТЗ Кузет v1.0 из рабочей папки. Исходные тексты страниц сохранены без переписывания.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2324"/>
        <w:gridCol w:w="2494"/>
        <w:gridCol w:w="5046"/>
      </w:tblGrid>
      <w:tr>
        <w:trPr>
          <w:tblHeader/>
          <w:cantSplit/>
        </w:trPr>
        <w:tc>
          <w:tcPr>
            <w:tcW w:type="dxa" w:w="2324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494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Последняя найденная редакция</w:t>
            </w:r>
          </w:p>
        </w:tc>
        <w:tc>
          <w:tcPr>
            <w:tcW w:type="dxa" w:w="5046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Медиаплан</w:t>
            </w:r>
          </w:p>
        </w:tc>
        <w:tc>
          <w:tcPr>
            <w:tcW w:type="dxa" w:w="249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4.5 от 08.10.2026</w:t>
            </w:r>
          </w:p>
        </w:tc>
        <w:tc>
          <w:tcPr>
            <w:tcW w:type="dxa" w:w="5046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Разделы 36–37 имеют приоритет над старой стратегией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Аналитика страниц</w:t>
            </w:r>
          </w:p>
        </w:tc>
        <w:tc>
          <w:tcPr>
            <w:tcW w:type="dxa" w:w="249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Файл v1.6</w:t>
            </w:r>
          </w:p>
        </w:tc>
        <w:tc>
          <w:tcPr>
            <w:tcW w:type="dxa" w:w="5046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Последние разделы уточняют реестр GTM и необязательность PZ_PAGE_CONFIG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Bitrix24 и аналитика</w:t>
            </w:r>
          </w:p>
        </w:tc>
        <w:tc>
          <w:tcPr>
            <w:tcW w:type="dxa" w:w="249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Файл v1.27</w:t>
            </w:r>
          </w:p>
        </w:tc>
        <w:tc>
          <w:tcPr>
            <w:tcW w:type="dxa" w:w="5046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Раздел 28 и запись истории v1.27; титул ошибочно оставлен v1.26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249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v1.4 от 30.09.2026</w:t>
            </w:r>
          </w:p>
        </w:tc>
        <w:tc>
          <w:tcPr>
            <w:tcW w:type="dxa" w:w="5046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Приложения монтажа и обслуживания v1.0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Единый контракт данных</w:t>
            </w:r>
          </w:p>
        </w:tc>
        <w:tc>
          <w:tcPr>
            <w:tcW w:type="dxa" w:w="2494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v1.6</w:t>
            </w:r>
          </w:p>
        </w:tc>
        <w:tc>
          <w:tcPr>
            <w:tcW w:type="dxa" w:w="5046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Использован для сопоставления полей и событий</w:t>
            </w:r>
          </w:p>
        </w:tc>
      </w:tr>
    </w:tbl>
    <w:p>
      <w:r>
        <w:t>Технические источники — локальная копия репозитория в outputs/github-doc-review/latest, полученная 07.10.2026. Это последние найденные редакции в доступных материалах, а не подтверждение отсутствия более новых документов в удалённом репозитории. В указанной папке G: находятся более ранние документы от 17.09.2026.</w:t>
      </w:r>
    </w:p>
    <w:p>
      <w:pPr>
        <w:pStyle w:val="Heading1"/>
      </w:pPr>
      <w:r>
        <w:t>Главное расхождение рекламной стратегии</w:t>
      </w:r>
    </w:p>
    <w:p>
      <w:r>
        <w:t>Медиаплан 4.5, раздел 36: для ставок используется только contract_won по факту заключения договора. Выезд, квалификация, КП, оплата и завершение работ остаются наблюдаемыми Secondary-событиями. Их нельзя включать в цели кампании для ставок, включая custom goals.</w:t>
      </w:r>
    </w:p>
    <w:p>
      <w:r>
        <w:t>В ТЗ Google Ads v1.4, обоих приложениях и таблицах Bitrix24 по-прежнему предусмотрены несколько Primary-конверсий. Эти положения нужно исправить до настройки рекламы по новой стратегии.</w:t>
      </w:r>
    </w:p>
    <w:p>
      <w:r>
        <w:br w:type="page"/>
      </w:r>
    </w:p>
    <w:p>
      <w:pPr>
        <w:pStyle w:val="Heading1"/>
      </w:pPr>
      <w:r>
        <w:t>Расхождения аналитики и интеграции</w:t>
      </w:r>
    </w:p>
    <w:p>
      <w:pPr>
        <w:pStyle w:val="Heading2"/>
      </w:pPr>
      <w:r>
        <w:t>А01 Два несовместимых пути отправки</w:t>
      </w:r>
    </w:p>
    <w:p>
      <w:r>
        <w:t>Где: Аналитика v1.6, разделы 12, 15 и заключительные требования; Bitrix24 v1.27, 28.10</w:t>
      </w:r>
    </w:p>
    <w:p>
      <w:r>
        <w:t>Расхождение: Аналитика требует подключения штатного приёмщика Tilda к каждой форме и описывает aftersuccess. Последнее решение CRM закрепляет прямую отправку страницы в Cloud Run и удаление моста Tilda на /obsluzhivanie/. Одновременное выполнение обоих путей уже создавало две сделки.</w:t>
      </w:r>
    </w:p>
    <w:p>
      <w:r>
        <w:t>Правка: Разделить формы прямого Cloud Run и штатные формы Tilda. У каждой формы один путь доставки. pz_form_success возникает после подтверждения фактического приёмщика, затем GTM формирует generate_lead с тем же event_id. Второй мост не добавлять.</w:t>
      </w:r>
    </w:p>
    <w:p>
      <w:pPr>
        <w:pStyle w:val="Heading2"/>
      </w:pPr>
      <w:r>
        <w:t>А02 Устаревший пример кода</w:t>
      </w:r>
    </w:p>
    <w:p>
      <w:r>
        <w:t>Где: Аналитика v1.6, раздел 11 и заключительные разделы</w:t>
      </w:r>
    </w:p>
    <w:p>
      <w:r>
        <w:t>Расхождение: Пример безусловно читает и записывает localStorage, enrich вызывается до выбора согласия; асинхронная обработка submit не ожидается. Поля согласия, service_type и requested_action не заполняются этим примером полностью. Поздние разделы требуют глобального модуля и реестра маршрутов.</w:t>
      </w:r>
    </w:p>
    <w:p>
      <w:r>
        <w:t>Правка: Пометить старый код как исторический, исключить из инструкций копирования. Принимать опубликованный глобальный модуль: хранение в соответствии с выбором, подготовка payload до отправки, стабильный event_id и полный контракт. Это риск примера в документе; текущий сайт этой проверкой не диагностирован.</w:t>
      </w:r>
    </w:p>
    <w:p>
      <w:pPr>
        <w:pStyle w:val="Heading2"/>
      </w:pPr>
      <w:r>
        <w:t>А03 Конфигурация страницы</w:t>
      </w:r>
    </w:p>
    <w:p>
      <w:r>
        <w:t>Где: Аналитика v1.6, «Единый шаблон» и «Конфигурация страницы и резервный маршрут GTM»</w:t>
      </w:r>
    </w:p>
    <w:p>
      <w:r>
        <w:t>Расхождение: Ранний текст делает PZ_PAGE_CONFIG обязательным; поздний — необязательным переопределением реестра GTM. Google Ads и приложения используют page_source, а заключительная матрица аналитики — source_page.</w:t>
      </w:r>
    </w:p>
    <w:p>
      <w:r>
        <w:t>Правка: Закрепить реестр GTM как основной источник. Использовать page_type, page_name, source_page, customer_type и контекст формы; legacy page_source допустим только по явной карте преобразования. Не создавать вторую систему полей. Добавить новый маршрут /kuzet/ в реестр перед выпуском.</w:t>
      </w:r>
    </w:p>
    <w:p>
      <w:pPr>
        <w:pStyle w:val="Heading2"/>
      </w:pPr>
      <w:r>
        <w:t>А04 Версии и действующий контейнер</w:t>
      </w:r>
    </w:p>
    <w:p>
      <w:r>
        <w:t>Где: Аналитика v1.6, титул и раздел 3; Bitrix24 v1.27, титул</w:t>
      </w:r>
    </w:p>
    <w:p>
      <w:r>
        <w:t>Расхождение: В аналитике титул содержит 1.2 и создание нового GTM-XXXXXXX; поздние разделы фиксируют существующий GTM-WVGQ5BZ4. В CRM файл v1.27 открывается заголовком v1.26.</w:t>
      </w:r>
    </w:p>
    <w:p>
      <w:r>
        <w:t>Правка: Синхронизировать титулы, историю и таблицу источников. Существующий рабочий контейнер обновлять по согласованной карте; не создавать второй контейнер только из-за старого абзаца.</w:t>
      </w:r>
    </w:p>
    <w:p>
      <w:r>
        <w:br w:type="page"/>
      </w:r>
    </w:p>
    <w:p>
      <w:pPr>
        <w:pStyle w:val="Heading1"/>
      </w:pPr>
      <w:r>
        <w:t>Расхождения ТЗ Битрикс24</w:t>
      </w:r>
    </w:p>
    <w:p>
      <w:pPr>
        <w:pStyle w:val="Heading2"/>
      </w:pPr>
      <w:r>
        <w:t>Б01 Маршрут и первый контакт</w:t>
      </w:r>
    </w:p>
    <w:p>
      <w:r>
        <w:t>Где: Bitrix24 v1.27, 20, 23.4–23.6, 28.3–28.4</w:t>
      </w:r>
    </w:p>
    <w:p>
      <w:r>
        <w:t>Расхождение: Старые разделы описывают маршрутизацию по услуге, SLA 15 минут для аварии и 2 часа для отдельной услуги. Раздел 28 закрепляет Общую воронку, «Новая заявка», и общий SLA 30 минут в рабочее время.</w:t>
      </w:r>
    </w:p>
    <w:p>
      <w:r>
        <w:t>Правка: Во всех действующих инструкциях использовать раздел 28. Категория обращения не определяет воронку; после обследования координатор переводит ту же сделку. Не обещать посетителю меньший срок без утверждения отдельного процесса.</w:t>
      </w:r>
    </w:p>
    <w:p>
      <w:pPr>
        <w:pStyle w:val="Heading2"/>
      </w:pPr>
      <w:r>
        <w:t>Б02 Обследование для Кузет</w:t>
      </w:r>
    </w:p>
    <w:p>
      <w:r>
        <w:t>Где: Bitrix24 v1.27, 28.3 и обязательность полей обследования; медиаплан 4.5, 36–37</w:t>
      </w:r>
    </w:p>
    <w:p>
      <w:r>
        <w:t>Расхождение: CRM требует обследование для всех заявок сайта, тогда как медиаплан допускает договор Кузет без обязательного выезда. Обязательность обследовательских полей на стадиях договора может заблокировать этот сценарий.</w:t>
      </w:r>
    </w:p>
    <w:p>
      <w:r>
        <w:t>Правка: Сохранить вход в Общую воронку, но предусмотреть подтверждённое исключение «обследование не требуется» для Кузет. Проверить обязательность на стадиях в каждом виде карточки; технический способ принять отдельным тестом. Новую воронку автоматически не создавать.</w:t>
      </w:r>
    </w:p>
    <w:p>
      <w:pPr>
        <w:pStyle w:val="Heading2"/>
      </w:pPr>
      <w:r>
        <w:t>Б03 Конверсии и ключ договора</w:t>
      </w:r>
    </w:p>
    <w:p>
      <w:r>
        <w:t>Где: Bitrix24 v1.27, 18.3, 18.5, 23.4; медиаплан 4.5, 36</w:t>
      </w:r>
    </w:p>
    <w:p>
      <w:r>
        <w:t>Расхождение: qualified_lead, visit_scheduled, visit_done, quote_sent и payment_received указаны Primary. Общий ключ ENTITY_ID + EVENT_NAME + VERSION недостаточен для одного договора, представленного несколькими объектными сделками.</w:t>
      </w:r>
    </w:p>
    <w:p>
      <w:r>
        <w:t>Правка: Оставить Primary только contract_won. Ключ договорного результата — подтверждённый ID договора и тип события; объектные сделки не повторяют договор. Изменение версии адаптера не создаёт новую продажу. Новый отдельный договор монтажа и ТО учитывается отдельно с исходной атрибуцией.</w:t>
      </w:r>
    </w:p>
    <w:p>
      <w:pPr>
        <w:pStyle w:val="Heading2"/>
      </w:pPr>
      <w:r>
        <w:t>Б04 Лид магниты и география</w:t>
      </w:r>
    </w:p>
    <w:p>
      <w:r>
        <w:t>Где: Bitrix24 v1.27, 23.6 и 28.3–28.4; медиаплан, этап 5</w:t>
      </w:r>
    </w:p>
    <w:p>
      <w:r>
        <w:t>Расхождение: Общий маршрут «все заявки в продажи» не описывает обязательное исключение для скачиваний из других регионов. Исторический SLA прогрева 1 рабочий день также расходится с единым контактом раздела 28.</w:t>
      </w:r>
    </w:p>
    <w:p>
      <w:r>
        <w:t>Правка: Документ выдаётся автоматически всем. Для объектов вне Алматы и Алматинской области запретить назначение продажам, задачи менеджеру и рекламную конверсию привлечения; учитывать отдельно. Фиксировать документ, источник, организацию, должность и объект. Место учёта согласовать в доступной модели, без обязательного смарт-процесса.</w:t>
      </w:r>
    </w:p>
    <w:p>
      <w:pPr>
        <w:pStyle w:val="Heading2"/>
      </w:pPr>
      <w:r>
        <w:t>Б05 Готовность автоматики</w:t>
      </w:r>
    </w:p>
    <w:p>
      <w:r>
        <w:t>Где: Bitrix24 v1.27, 6.5, 27.4, 28.8</w:t>
      </w:r>
    </w:p>
    <w:p>
      <w:r>
        <w:t>Расхождение: Наличие полей времени не подтверждает автоматический расчёт; вебхуки учёта времени не созданы и работы приостановлены. Следующие даты ТО пусты у 34 сделок, у 11 отсутствует ID договора — по документу.</w:t>
      </w:r>
    </w:p>
    <w:p>
      <w:r>
        <w:t>Правка: Сохранить эти пункты как незавершённые по историческому статусу. Не принимать плановое ТО, время или финансовый KPI без пилота и данных. Живой портал повторно не проверялся.</w:t>
      </w:r>
    </w:p>
    <w:p>
      <w:r>
        <w:br w:type="page"/>
      </w:r>
    </w:p>
    <w:p>
      <w:pPr>
        <w:pStyle w:val="Heading1"/>
      </w:pPr>
      <w:r>
        <w:t>Расхождения ТЗ Google Ads</w:t>
      </w:r>
    </w:p>
    <w:p>
      <w:pPr>
        <w:pStyle w:val="Heading2"/>
      </w:pPr>
      <w:r>
        <w:t>Р01 Роли конверсий</w:t>
      </w:r>
    </w:p>
    <w:p>
      <w:r>
        <w:t>Где: Google Ads v1.4, разделы 7, 19.1, 19.4, 16; приложения v1.0, раздел 10</w:t>
      </w:r>
    </w:p>
    <w:p>
      <w:r>
        <w:t>Расхождение: Primary назначены промежуточным этапам, а переход к contract_won отложен до накопления данных. Это противоречит медиаплану 4.5.</w:t>
      </w:r>
    </w:p>
    <w:p>
      <w:r>
        <w:t>Правка: Переписать все таблицы ролей и критерии приёмки одновременно. Primary — только заключённый договор. При нехватке договоров сохранять контролируемый запуск и диагностику; подменять основную цель формой или выездом нельзя.</w:t>
      </w:r>
    </w:p>
    <w:p>
      <w:pPr>
        <w:pStyle w:val="Heading2"/>
      </w:pPr>
      <w:r>
        <w:t>Р02 Форма ошибочно названа основной целью</w:t>
      </w:r>
    </w:p>
    <w:p>
      <w:r>
        <w:t>Где: Google Ads v1.4, 20.6</w:t>
      </w:r>
    </w:p>
    <w:p>
      <w:r>
        <w:t>Расхождение: Текст: «Google Ads получает primary conversion только после подтверждённой успешной отправки формы». Он позволяет считать форму Primary и противоречит даже таблице раздела 7.</w:t>
      </w:r>
    </w:p>
    <w:p>
      <w:r>
        <w:t>Правка: Успешная форма — Secondary и основание создания обращения. Primary отправляется позднее из CRM по факту договора, с датой заключения и защитой от дублей.</w:t>
      </w:r>
    </w:p>
    <w:p>
      <w:pPr>
        <w:pStyle w:val="Heading2"/>
      </w:pPr>
      <w:r>
        <w:t>Р03 Неверный ICP обслуживания</w:t>
      </w:r>
    </w:p>
    <w:p>
      <w:r>
        <w:t>Где: Приложение обслуживания v1.0, раздел 3</w:t>
      </w:r>
    </w:p>
    <w:p>
      <w:r>
        <w:t>Расхождение: Указан ICP 2 для обычного обслуживания. Мастер ТЗ назначает обслуживанию ICP 1, смене подрядчика ICP 2.</w:t>
      </w:r>
    </w:p>
    <w:p>
      <w:r>
        <w:t>Правка: Исправить обычное обслуживание на ICP 1. Смену подрядчика выделить в ICP 2; не объединять кампании и их расходы. Название кампании согласовать с единой картой, без повторного создания существующей кампании.</w:t>
      </w:r>
    </w:p>
    <w:p>
      <w:pPr>
        <w:pStyle w:val="Heading2"/>
      </w:pPr>
      <w:r>
        <w:t>Р04 Обещание ответа за десять минут</w:t>
      </w:r>
    </w:p>
    <w:p>
      <w:r>
        <w:t>Где: Приложение обслуживания v1.0, RSA 2, описание 4; оба приложения, «Расчёт за 10 минут»</w:t>
      </w:r>
    </w:p>
    <w:p>
      <w:r>
        <w:t>Расхождение: Обещан ответ за 10 минут, а последняя CRM предусматривает первый контакт за 30 минут. Обещание расчёта за 10 минут также не подтверждается этим SLA.</w:t>
      </w:r>
    </w:p>
    <w:p>
      <w:r>
        <w:t>Правка: Убрать обещание либо подтвердить отдельным измеренным процессом. Согласовать текст объявления, посадочной и реальную работу координатора до публикации.</w:t>
      </w:r>
    </w:p>
    <w:p>
      <w:pPr>
        <w:pStyle w:val="Heading2"/>
      </w:pPr>
      <w:r>
        <w:t>Р05 Новое предложение и отчётность</w:t>
      </w:r>
    </w:p>
    <w:p>
      <w:r>
        <w:t>Где: Google Ads v1.4 и приложения — ссылки на медиаплан 4.3; медиаплан 4.5, 36–37</w:t>
      </w:r>
    </w:p>
    <w:p>
      <w:r>
        <w:t>Расхождение: Нет актуальной привязки к четырём экономикам, пакетам Контроль / Защита / Премиум и ритейл Кузет. Кузет нельзя автоматически отбрасывать по малой площади старым ICP-скорингом.</w:t>
      </w:r>
    </w:p>
    <w:p>
      <w:r>
        <w:t>Правка: Обновить основание на 4.5. Тест /kuzet/ вести внутри бюджета обслуживания, без увеличения общего 230–355 тыс. ₸. Раздельно считать обычное ТО, Кузет, аутсорсинг документов и монтаж с будущим ТО. Не подменять основной пакетный ряд ритейл пакетами.</w:t>
      </w:r>
    </w:p>
    <w:p>
      <w:pPr>
        <w:pStyle w:val="Heading2"/>
      </w:pPr>
      <w:r>
        <w:t>Р06 Порог начала обучения</w:t>
      </w:r>
    </w:p>
    <w:p>
      <w:r>
        <w:t>Где: Решение владельца в этой проверке от 08.10.2026; приложения v1.0, раздел 4</w:t>
      </w:r>
    </w:p>
    <w:p>
      <w:r>
        <w:t>Расхождение: Приложения задают переход после 20–40 Primary-конверсий; в других разделах есть пороги 30–50. Эти цифры не отражают последнее решение владельца.</w:t>
      </w:r>
    </w:p>
    <w:p>
      <w:r>
        <w:t>Правка: Для начала обучения рекламы принять порог 10 уникальных подтверждённых contract_won, успешно переданных в Google Ads. Квалификация, выезды, КП и оплаты в эти десять не входят. Это согласованный порог проекта; приёмка дополнительно проверяет отсутствие дублей, правильные цели и корректность импорта.</w:t>
      </w:r>
    </w:p>
    <w:p>
      <w:r>
        <w:t>Проверка custom goals обязательна: Google использует включённое в custom goal действие для ставок даже при статусе Secondary. Официальный источник: https://support.google.com/google-ads/answer/11461796?hl=en</w:t>
      </w:r>
    </w:p>
    <w:p>
      <w:r>
        <w:br w:type="page"/>
      </w:r>
    </w:p>
    <w:p>
      <w:pPr>
        <w:pStyle w:val="Heading1"/>
      </w:pPr>
      <w:r>
        <w:t>Согласованная основа для правок страниц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7597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Требование для новой редакции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Вход обращения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Одна коммерческая заявка → Cloud Run → одна сделка Общей воронки; SLA 30 минут. Другие регионы лид магнитов исключены из продаж.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Квалификация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Первоначальная услуга и атрибуция сохраняются. Координатор уточняет потребность и меняет воронку той же сделки. Для Кузет обследование по необходимости.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Веб аналитика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Единый модуль и реестр GTM; service_type, requested_action, CTA, форма, контекст страницы, event_id и consent. generate_lead после подтверждённого успеха.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Договор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contract_won в день заключения; один договор — один результат. Оплата, выезд, КП и завершение — отдельные Secondary.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Регулярное ТО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Контроль / Защита / Премиум; два капитальных ТО и два отдельных тестирования в год, отчёт на следующий рабочий день. Применимость и состав — по объекту и договору.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Ритейл Кузет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/kuzet/, до 500 м². Услуги 44 / 90 / 134 тыс. ₸; пример аренды +20 тыс. ₸. Базовый Кузет без планового ТО; расширенный ТО без Кузет.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Цена и аренда</w:t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Покупка и аренда оборудования описаны отдельно. Пример аренды не универсальная цена; аренда не означает автоматический выкуп.</w:t>
            </w:r>
          </w:p>
        </w:tc>
      </w:tr>
    </w:tbl>
    <w:p>
      <w:pPr>
        <w:pStyle w:val="Heading1"/>
      </w:pPr>
      <w:r>
        <w:t>Что нужно проверить перед внедрением</w:t>
      </w:r>
    </w:p>
    <w:p>
      <w:r>
        <w:t>На каждой готовой странице: заявка при granted и denied; desktop и mobile; повтор одного event_id; сбой аналитики; один путь отправки и одна сделка; полный контекст страницы в CRM. Перенос сделки не создаёт новой заявки. Отдельно проверить два объекта одного договора, отдельные договоры монтажа и ТО, Кузет без обследования и документы другого региона без продаж.</w:t>
      </w:r>
    </w:p>
    <w:p>
      <w:r>
        <w:t>В Ads проверить conversion actions, цели аккаунта и каждой кампании, custom goals и журнал импорта. Тестовые заявки не участвуют в ставках. Неподтверждённая прибыль не заменяется нулём и не выдаётся за фактическую; условия value принимаются отдельно.</w:t>
      </w:r>
    </w:p>
    <w:p>
      <w:pPr>
        <w:pStyle w:val="Heading1"/>
      </w:pPr>
      <w:r>
        <w:t>Правильная очередность страниц</w:t>
      </w:r>
    </w:p>
    <w:p>
      <w:r>
        <w:t>Смена подрядчика переносится из этапа 7 в этап 1. /pakety/ переносится из этапа 8 в раннее ядро этапа 1 по разделу 36. /kuzet/ добавляется в этап 1, после утверждения ТЗ. Этап 8 сохраняется для развития пакетов по спросу. Доверие, компания и контакты остаются в этапе 3. Служебные страницы находятся в этапе 9, но политика, согласия и подтверждение формы нужны до запуска ранних форм.</w:t>
      </w:r>
    </w:p>
    <w:p>
      <w:r>
        <w:t>Единого последовательного номера файла недостаточно для зависимости публикации. В каждой папке добавлена отдельная очередь с условиями запуска. Исходные названия файлов сохранены.</w:t>
      </w:r>
    </w:p>
    <w:p>
      <w:r>
        <w:br w:type="page"/>
      </w:r>
    </w:p>
    <w:p>
      <w:pPr>
        <w:pStyle w:val="Heading1"/>
      </w:pPr>
      <w:r>
        <w:t>Коды замечаний к ТЗ страниц</w:t>
      </w:r>
    </w:p>
    <w:p>
      <w:pPr>
        <w:pStyle w:val="Heading2"/>
      </w:pPr>
      <w:r>
        <w:t>G01 Единый контракт данных</w:t>
      </w:r>
    </w:p>
    <w:p>
      <w:r>
        <w:t>Поле service удалить; использовать service_type из общего справочника, requested_action, cta_location и cta_text. ga_client_id связан с UF_CRM_GA_CLIENT_ID, а не UF_GOOGLE_CID. Payload и CRM сопоставлять по фактической карте полей; технический код услуги может преобразовываться в утверждённую категорию CRM, а os — в UF_CRM_DEVICE_OS. Не создавать дубли. Основание: Медиаплан 4.5 раздел 33; Bitrix24 v1.27 разделы 18.2, 28.1–28.2.</w:t>
      </w:r>
    </w:p>
    <w:p>
      <w:pPr>
        <w:pStyle w:val="Heading2"/>
      </w:pPr>
      <w:r>
        <w:t>G02 Единые события и согласие</w:t>
      </w:r>
    </w:p>
    <w:p>
      <w:r>
        <w:t>Веб-события pz_* из глобального модуля; pz_form_success только по подтверждённому приёму, generate_lead с тем же event_id. Неперсональные данные в GA4; consent_analytics/consent_ads granted или denied, по умолчанию denied; заявка работает при отказе. Согласие на коммуникации отдельно. Основание: Разделы 33–35.</w:t>
      </w:r>
    </w:p>
    <w:p>
      <w:pPr>
        <w:pStyle w:val="Heading2"/>
      </w:pPr>
      <w:r>
        <w:t>G03 Бизнес результат</w:t>
      </w:r>
    </w:p>
    <w:p>
      <w:r>
        <w:t>Для рекламной оптимизации Primary только contract_won из CRM по факту заключения договора. Форма, звонки, расчёт, выезд и КП — Secondary. Общая воронка, сохранение исходной потребности и атрибуции; перенос сделки не создаёт новую конверсию. Основание: Разделы 21, 29, 33, 36–37.</w:t>
      </w:r>
    </w:p>
    <w:p>
      <w:pPr>
        <w:pStyle w:val="Heading2"/>
      </w:pPr>
      <w:r>
        <w:t>G04 Структура и CTA</w:t>
      </w:r>
    </w:p>
    <w:p>
      <w:r>
        <w:t>Один доминирующий CTA по типу страницы. Калькулятор или короткая форма до 3–4 мобильного экрана; объединить пересекающиеся блоки, убрать повторяющиеся галереи. Для новых страниц не задавать сокращение высоты от несуществующей базы. Основание: Раздел 34.</w:t>
      </w:r>
    </w:p>
    <w:p>
      <w:pPr>
        <w:pStyle w:val="Heading2"/>
      </w:pPr>
      <w:r>
        <w:t>G05 Новые пакеты регулярного ТО</w:t>
      </w:r>
    </w:p>
    <w:p>
      <w:r>
        <w:t>Контроль: ТО, эксплуатационный журнал, ежегодное обследование. Защита: дополнительно согласованная документация, обучение, бесплатные консультации; тренировки и сопровождение — платные опции. Премиум: аутсорсинг, документация и журналы, тренировки, сопровождение проверок, один предварительный аудит в год вместо базового обследования. Кузет — отдельное предложение; URL control/service/full-safe не переименовывать автоматически. Основание: Медиаплан 4.5 разделы 36–37.</w:t>
      </w:r>
    </w:p>
    <w:p>
      <w:pPr>
        <w:pStyle w:val="Heading2"/>
      </w:pPr>
      <w:r>
        <w:t>G06 Связь с Кузет</w:t>
      </w:r>
    </w:p>
    <w:p>
      <w:r>
        <w:t>Ссылка на /kuzet/ с монтажа, обслуживания и /pakety/; главная и хаб показывают отдельный сценарий ритейла. Не заменять регулярную линейку Базовым / Расширенным / PRO. Малую площадь не считать автоматически низким приоритетом. Основание: Разделы 19, 36–37.</w:t>
      </w:r>
    </w:p>
    <w:p>
      <w:pPr>
        <w:pStyle w:val="Heading2"/>
      </w:pPr>
      <w:r>
        <w:t>U01 URL огнетушителей</w:t>
      </w:r>
    </w:p>
    <w:p>
      <w:r>
        <w:t>Целевой адрес услуги /perezaryadka-ognetushiteley/ вместо /ognetushiteli/. Исправить canonical и внутренние ссылки. URL калькулятора /kalkulyatory/ognetushiteli/ сохраняется. Перенос опубликованного адреса — по карте URL, не автоматическим редиректом. Основание: Разделы 7, 7а, 8, 11.</w:t>
      </w:r>
    </w:p>
    <w:p>
      <w:pPr>
        <w:pStyle w:val="Heading2"/>
      </w:pPr>
      <w:r>
        <w:t>U02 URL пожарных кранов</w:t>
      </w:r>
    </w:p>
    <w:p>
      <w:r>
        <w:t>Целевой адрес услуги /ispytaniya-pozharnyh-kranov/ вместо /ispytaniya-pk/. Исправить canonical и ссылку из акта. Документ /dokumenty/akt-ispytaniya-kranov/ сохраняется. Основание: Разделы 7, 7а.</w:t>
      </w:r>
    </w:p>
    <w:p>
      <w:pPr>
        <w:pStyle w:val="Heading2"/>
      </w:pPr>
      <w:r>
        <w:t>S01 Смена подрядчика раньше</w:t>
      </w:r>
    </w:p>
    <w:p>
      <w:r>
        <w:t>Первичный выпуск — этап 1 совместно с обслуживанием и калькулятором, ориентир неделя 3. Удалить из будущей редакции фразу «на основе этапа 7». В этапе 7 — оптимизация уже готовой страницы. Основание: Разделы 7а, 11, 36.</w:t>
      </w:r>
    </w:p>
    <w:p>
      <w:pPr>
        <w:pStyle w:val="Heading2"/>
      </w:pPr>
      <w:r>
        <w:t>S02 Сравнение пакетов раньше</w:t>
      </w:r>
    </w:p>
    <w:p>
      <w:r>
        <w:t>Сравнительная /pakety/ входит в раннее ядро этапа 1. Этап 8 — развитие после проверки спроса; дочерние URL создавать только по подтверждённым данным. Основание: Раздел 36 имеет приоритет над старым графиком этапа 8.</w:t>
      </w:r>
    </w:p>
    <w:p>
      <w:pPr>
        <w:pStyle w:val="Heading2"/>
      </w:pPr>
      <w:r>
        <w:t>D01 Лид магниты</w:t>
      </w:r>
    </w:p>
    <w:p>
      <w:r>
        <w:t>Сохранить обязательный регион объекта, автоматическую выдачу другим регионам без продаж и отдельную аналитику. Технический учёт реализовать с учётом Bitrix24 Стандартный, без обязательного отдельного смарт-процесса/бизнес-процесса. Коммерческий мост «Рассчитать работы» requested_action=calculate; выдачу файла учитывать отдельным действием. Основание: Разделы 7а этап 5, 34–35.</w:t>
      </w:r>
    </w:p>
    <w:p>
      <w:pPr>
        <w:pStyle w:val="Heading2"/>
      </w:pPr>
      <w:r>
        <w:t>D02 Программа вводного инструктажа</w:t>
      </w:r>
    </w:p>
    <w:p>
      <w:r>
        <w:t>Дерево сайта называет материал «Программа вводного инструктажа». В ТЗ задана общая программа с выбором вида. Закрепить вводный вариант как основной комплект либо явно согласовать расширение; URL не менять. Основание: Раздел 7, дерево документов.</w:t>
      </w:r>
    </w:p>
    <w:p>
      <w:pPr>
        <w:pStyle w:val="Heading2"/>
      </w:pPr>
      <w:r>
        <w:t>C01 Результат и конверсия</w:t>
      </w:r>
    </w:p>
    <w:p>
      <w:r>
        <w:t>Удалить назначение status_visit_done основной конверсией Ads. visit_done сохраняется диагностическим; только подтверждённый contract_won — Primary. Основание: Разделы 21, 29, 33, 36.</w:t>
      </w:r>
    </w:p>
    <w:p>
      <w:pPr>
        <w:pStyle w:val="Heading2"/>
      </w:pPr>
      <w:r>
        <w:t>T01 Технический цикл обслуживания</w:t>
      </w:r>
    </w:p>
    <w:p>
      <w:r>
        <w:t>На обычном ТО показать проверку помещений по чек-листу, два капитальных ТО с тестированием и два отдельных тестирования в год, отчёт на следующий рабочий день и динамику замечаний. Это состав предложения компании; применимость к объекту и договор проверяются отдельно. Базовый Кузет планового ТО не содержит. Основание: Разделы 36–37.</w:t>
      </w:r>
    </w:p>
    <w:p>
      <w:pPr>
        <w:pStyle w:val="Heading2"/>
      </w:pPr>
      <w:r>
        <w:t>G07 Рабочий маршрут и SLA</w:t>
      </w:r>
    </w:p>
    <w:p>
      <w:r>
        <w:t>По Bitrix24 v1.27 разделу 28 коммерческая заявка сайта создаёт одну сделку в Общей воронке, Новая заявка; первый контакт 30 минут в рабочее время. Профильную воронку назначает координатор сменой воронки той же сделки. Один путь доставки в Cloud Run, без второго моста Tilda. Для документов других регионов действует исключение медиаплана: выдача без передачи в продажи; для Кузет обследование не обязательно. Основание: Bitrix24 v1.27 разделы 28.3–28.10; медиаплан 4.5 разделы 7а, 36–37.</w:t>
      </w:r>
    </w:p>
    <w:p>
      <w:pPr>
        <w:pStyle w:val="Heading2"/>
      </w:pPr>
      <w:r>
        <w:t>G08 Реестр маршрутов и согласия</w:t>
      </w:r>
    </w:p>
    <w:p>
      <w:r>
        <w:t>Глобальная аналитика подключается один раз. Конфигурация берётся из реестра GTM; PZ_PAGE_CONFIG — необязательное переопределение. Формы передают page_type, page_name, source_page, customer_type, service_type, form_name и form_location вместе с каноническим контекстом. consent_marketing учитывается отдельно; Принять все допустимо с явным перечислением трёх целей. Основание: Аналитика страниц v1.6, заключительные разделы.</w:t>
      </w:r>
    </w:p>
    <w:p>
      <w:r>
        <w:t>G02 и G08 обозначают необходимость привести старое ТЗ к общему стандарту, а не доказанный дефект каждого блока страницы. G07 применяется к формам коммерческих обращений; статические страницы не обязаны создавать сделки. Новое ТЗ Кузет рассматривается вместе с общими уточнениями интеграции выше.</w:t>
      </w:r>
    </w:p>
    <w:p>
      <w:r>
        <w:br w:type="page"/>
      </w:r>
    </w:p>
    <w:p>
      <w:pPr>
        <w:pStyle w:val="Heading1"/>
      </w:pPr>
      <w:r>
        <w:t>Реестр страниц по этапам</w:t>
      </w:r>
    </w:p>
    <w:p>
      <w:r>
        <w:t>В таблицах указан целевой URL по медиаплану 4.5 и коды требуемых правок. Подробный реестр с исходным и новым размещением находится в CSV рядом с отчётом. Содержание прежних ТЗ ещё не актуализировано.</w:t>
      </w:r>
    </w:p>
    <w:p>
      <w:pPr>
        <w:pStyle w:val="Heading2"/>
      </w:pPr>
      <w:r>
        <w:t>Этап 0 Подготовка</w:t>
      </w:r>
    </w:p>
    <w:p>
      <w:r>
        <w:t>Подготовка CRM, аналитики, офферов и карты URL.</w:t>
      </w:r>
    </w:p>
    <w:p>
      <w:pPr>
        <w:pStyle w:val="Heading2"/>
      </w:pPr>
      <w:r>
        <w:t>Этап 1 Основные конверсионные страницы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Главная страница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G05, G06, U01, D01, C01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обслуживание пожарной сигнализации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/obsluzhivanie/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G05, G06, T01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Смена подрядчика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/smena-podryadchika/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S01, T01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Пакеты обслуживания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/pakety/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G05, G06, S02, T01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Кузет для ритейла v1.0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/kuzet/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См. общие уточнения интеграции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ТЗ_страницы_Монтаж_пожарной_сигнализации_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G06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Срочная помощь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/srabotka/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Пожарный аудит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/audit/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Хаб калькуляторов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G06, U01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Калькулятор обслуживания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/kalkulyatory/obsluzhivanie/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G05, G06, T01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Калькулятор монтажа итоговое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/kalkulyatory/montazh/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Калькулятор аудита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/kalkulyatory/audit/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</w:tbl>
    <w:p/>
    <w:p>
      <w:pPr>
        <w:pStyle w:val="Heading2"/>
      </w:pPr>
      <w:r>
        <w:t>Этап 2 Входные продукты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Перезарядка огнетушителей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/perezaryadka-ognetushiteley/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Планы эвакуации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/plany-evakuacii/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Испытание пожарных кранов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/ispytaniya-pozharnyh-kranov/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U02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Стресс-тест пожарной системы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/stress-test/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Калькулятор огнетушителей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/kalkulyatory/ognetushiteli/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U01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Калькулятор планов эвакуации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/kalkulyatory/plany-evakuacii/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</w:tbl>
    <w:p/>
    <w:p>
      <w:pPr>
        <w:pStyle w:val="Heading2"/>
      </w:pPr>
      <w:r>
        <w:t>Этап 3 Доверие и доказательства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Кейсы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/keysy/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 компании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/o-kompanii/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Команда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/o-kompanii/komanda/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Лицензии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/o-kompanii/licenzii/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Отзывы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/o-kompanii/otzyvy/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Контакты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/kontakty/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</w:tbl>
    <w:p/>
    <w:p>
      <w:pPr>
        <w:pStyle w:val="Heading2"/>
      </w:pPr>
      <w:r>
        <w:t>Этап 4 SEO страницы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Правила пожарной безопасности РК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/pravila-pb-rk/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D01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Приказ МЧС РК №55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/pravila-pb-rk/prikaz-55/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D01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Проверка ДЧС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/pravila-pb-rk/proverka-dchs/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Противопожарные инструктажи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/instruktazhi/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D01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Как отключить или сбросить сигнализацию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/srabotka/kak-otklyuchit/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Ложные срабатывания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/srabotka/lozhnye/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Прибор показывает неисправность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/srabotka/neispravnost/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Адресная и пороговая АПС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/adresnaya-vs-porogovaya/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Периодичность обслуживания АПС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/periodichnost-obsluzhivaniya-aps/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Стоимость пожарной сигнализации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/stoimost-pozharnoy-signalizacii/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</w:tbl>
    <w:p/>
    <w:p>
      <w:pPr>
        <w:pStyle w:val="Heading2"/>
      </w:pPr>
      <w:r>
        <w:t>Этап 5 Документы для привлечения ЛПР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Этап 5 Документы для привлечения ЛПР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/dokumenty/ — 9 страниц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G04, U02, D01, D02</w:t>
            </w:r>
          </w:p>
        </w:tc>
      </w:tr>
    </w:tbl>
    <w:p/>
    <w:p>
      <w:pPr>
        <w:pStyle w:val="Heading2"/>
      </w:pPr>
      <w:r>
        <w:t>Этап 6 Отраслевые страницы монтажа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Монтаж АПС для склада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/montazh/sklad/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Монтаж АПС для производства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/montazh/proizvodstvo/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Монтаж АПС для офиса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/montazh/ofis/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Монтаж АПС для кафе и ресторана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/montazh/kafe/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Монтаж АПС для магазина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/montazh/magazin/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Монтаж АПС для медицинского центра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/montazh/medcentr/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</w:tbl>
    <w:p/>
    <w:p>
      <w:pPr>
        <w:pStyle w:val="Heading2"/>
      </w:pPr>
      <w:r>
        <w:t>Этап 7 Дополнительные услуги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Модернизация АПС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/modernizaciya/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Проектирование АПС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/proektirovanie/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Ремонт АПС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/remont/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Система оповещения СОУЭ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/soue/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Автоматическое пожаротушение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/pozharotushenie/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Огнезащитная обработка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/ognezashita/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Испытание пожарных лестниц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/ispytaniya-lestnic/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Замер сопротивления изоляции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/zsi/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Обучение пожарной безопасности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/obuchenie/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Антитеррористическая защищенность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/antiterror/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G03, G04</w:t>
            </w:r>
          </w:p>
        </w:tc>
      </w:tr>
    </w:tbl>
    <w:p/>
    <w:p>
      <w:pPr>
        <w:pStyle w:val="Heading2"/>
      </w:pPr>
      <w:r>
        <w:t>Этап 8 Развитие пакетов обслуживания</w:t>
      </w:r>
    </w:p>
    <w:p>
      <w:r>
        <w:t>Развитие пакетов после проверки спроса. Первую /pakety/ выпускают в этапе 1; дублирующее ТЗ не создаётся.</w:t>
      </w:r>
    </w:p>
    <w:p>
      <w:pPr>
        <w:pStyle w:val="Heading2"/>
      </w:pPr>
      <w:r>
        <w:t>Этап 9 Корпоративные и служебные страницы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3402"/>
        <w:gridCol w:w="3458"/>
        <w:gridCol w:w="3005"/>
      </w:tblGrid>
      <w:tr>
        <w:trPr>
          <w:tblHeader/>
          <w:cantSplit/>
        </w:trPr>
        <w:tc>
          <w:tcPr>
            <w:tcW w:type="dxa" w:w="3402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ТЗ</w:t>
            </w:r>
          </w:p>
        </w:tc>
        <w:tc>
          <w:tcPr>
            <w:tcW w:type="dxa" w:w="3458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Целевой URL</w:t>
            </w:r>
          </w:p>
        </w:tc>
        <w:tc>
          <w:tcPr>
            <w:tcW w:type="dxa" w:w="3005"/>
            <w:shd w:fill="EAEAEA"/>
          </w:tcPr>
          <w:p>
            <w:pPr>
              <w:keepNext/>
              <w:spacing w:after="80" w:before="60"/>
            </w:pPr>
            <w:r>
              <w:rPr>
                <w:b/>
                <w:sz w:val="18"/>
              </w:rPr>
              <w:t>Правки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Миссия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/o-kompanii/missiya/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Партнерам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/o-kompanii/partneram/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Политика конфиденциальности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/privacy/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Пользовательское соглашение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/terms/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/404/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Успешная отправка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/success/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Результаты калькуляторов</w:t>
            </w:r>
          </w:p>
        </w:tc>
        <w:tc>
          <w:tcPr>
            <w:tcW w:type="dxa" w:w="3458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/kalkulyatory/result/</w:t>
            </w:r>
          </w:p>
        </w:tc>
        <w:tc>
          <w:tcPr>
            <w:tcW w:type="dxa" w:w="3005"/>
          </w:tcPr>
          <w:p>
            <w:pPr>
              <w:spacing w:after="80" w:before="60"/>
            </w:pPr>
            <w:r>
              <w:rPr>
                <w:b w:val="0"/>
                <w:sz w:val="18"/>
              </w:rPr>
              <w:t>G02, G08, G07, G01, G03</w:t>
            </w:r>
          </w:p>
        </w:tc>
      </w:tr>
    </w:tbl>
    <w:p/>
    <w:p>
      <w:pPr>
        <w:pStyle w:val="Heading1"/>
      </w:pPr>
      <w:r>
        <w:t>Полнота комплекта</w:t>
      </w:r>
    </w:p>
    <w:p>
      <w:r>
        <w:t>Этап 5 представлен одним документом с девятью страницами, в партиях 4 / 3 / 2. Это не девять отсутствующих ТЗ. В переданном комплекте нет отдельных ТЗ хабов /uslugi/, /baza-znaniy/, /dokumenty/ и /obsluzhivanie/tarify/, указанных в архитектуре медиаплана. Перед разработкой проверить, покрыты ли они другим заданием или действующим шаблоном; не назначать им произвольный этап.</w:t>
      </w:r>
    </w:p>
    <w:p>
      <w:r>
        <w:t>Проверка выполнена по текстам документов. Живой сайт, кабинет рекламы и портал Bitrix24 не перенастраивались и не проходили повторную приёмку. Проверка действующих редакций нормативных актов не входила в эту междокументную сверку.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Pozharnik.kz  |  Проверка 08.10.2026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