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Единый контракт данных Pozharnik</w:t>
      </w:r>
    </w:p>
    <w:p>
      <w:pPr>
        <w:jc w:val="center"/>
      </w:pPr>
      <w:r>
        <w:rPr>
          <w:b/>
        </w:rPr>
        <w:t>Версия 1.3   Схема 2.1   17 сентября 2026</w:t>
      </w:r>
    </w:p>
    <w:p>
      <w:r>
        <w:t>Назначение документа: единый источник технических наименований для сайта, GTM, Tilda или CMS, Cloud Run, BigQuery, Bitrix24, GA4 и Google Ads. При расхождении с основными ТЗ приоритет имеет этот контракт.</w:t>
      </w:r>
    </w:p>
    <w:p>
      <w:pPr>
        <w:pStyle w:val="Heading1"/>
      </w:pPr>
      <w:r>
        <w:t>1 Источники истины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3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226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Источник истины</w:t>
            </w:r>
          </w:p>
        </w:tc>
        <w:tc>
          <w:tcPr>
            <w:tcW w:type="dxa" w:w="4592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Веб-взаимодействие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GTM и dataLayer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Без персональных данных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Прием и обработка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Cloud Run</w:t>
            </w:r>
          </w:p>
        </w:tc>
        <w:tc>
          <w:tcPr>
            <w:tcW w:type="dxa" w:w="45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Валидация, серверное время, GeoIP, повторы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Аналитический журнал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BigQuery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Сырые и нормализованные события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Клиент, сделка, стадия, счет, оплата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Bitrix24</w:t>
            </w:r>
          </w:p>
        </w:tc>
        <w:tc>
          <w:tcPr>
            <w:tcW w:type="dxa" w:w="45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Коммерческий и операционный статус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Поведение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GA4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Только разрешенные обезличенные данные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Рекламная оптимизация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Google Ads</w:t>
            </w:r>
          </w:p>
        </w:tc>
        <w:tc>
          <w:tcPr>
            <w:tcW w:type="dxa" w:w="45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Подтвержденные CRM-конверсии</w:t>
            </w:r>
          </w:p>
        </w:tc>
      </w:tr>
    </w:tbl>
    <w:p/>
    <w:p>
      <w:pPr>
        <w:pStyle w:val="Heading1"/>
      </w:pPr>
      <w:r>
        <w:t>2 Обязательный конверт события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3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1984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876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event_id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string UUID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Обязателен; уникален в пределах source_system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event_name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Код из справочника событий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schema_version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Для новых страниц 2.1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source_system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tilda, cms, bitrix24, calltracking, telegram, email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sent_at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ISO 8601 UTC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Время формирования источником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received_at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ISO 8601 UTC</w:t>
            </w:r>
          </w:p>
        </w:tc>
        <w:tc>
          <w:tcPr>
            <w:tcW w:type="dxa" w:w="48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Формируется Cloud Run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processing_status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received, processed, retry, error</w:t>
            </w:r>
          </w:p>
        </w:tc>
      </w:tr>
      <w:tr>
        <w:tc>
          <w:tcPr>
            <w:tcW w:type="dxa" w:w="243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error_message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Только при ошибке; без PII</w:t>
            </w:r>
          </w:p>
        </w:tc>
      </w:tr>
    </w:tbl>
    <w:p/>
    <w:p>
      <w:pPr>
        <w:pStyle w:val="Heading1"/>
      </w:pPr>
      <w:r>
        <w:t>3 Правило event_id и дедупликации</w:t>
      </w:r>
    </w:p>
    <w:p>
      <w:pPr>
        <w:pStyle w:val="ListNumber"/>
      </w:pPr>
      <w:r>
        <w:t>Страница создает event_id перед отправкой формы и использует его в dataLayer, payload и GA4.</w:t>
      </w:r>
    </w:p>
    <w:p>
      <w:pPr>
        <w:pStyle w:val="ListNumber"/>
      </w:pPr>
      <w:r>
        <w:t>Cloud Run валидирует и сохраняет полученный event_id. Если ID отсутствует, Cloud Run создает его один раз.</w:t>
      </w:r>
    </w:p>
    <w:p>
      <w:pPr>
        <w:pStyle w:val="ListNumber"/>
      </w:pPr>
      <w:r>
        <w:t>Уникальный ключ входящего события в BigQuery: source_system + event_id.</w:t>
      </w:r>
    </w:p>
    <w:p>
      <w:pPr>
        <w:pStyle w:val="ListNumber"/>
      </w:pPr>
      <w:r>
        <w:t>Резервный ключ старых Tilda-форм: tilda_tranid + form_id.</w:t>
      </w:r>
    </w:p>
    <w:p>
      <w:pPr>
        <w:pStyle w:val="ListNumber"/>
      </w:pPr>
      <w:r>
        <w:t>Повторная доставка не создает вторую строку события, сделку, задачу или офлайн-конверсию.</w:t>
      </w:r>
    </w:p>
    <w:p>
      <w:pPr>
        <w:pStyle w:val="ListNumber"/>
      </w:pPr>
      <w:r>
        <w:t>CRM-события дедуплицируются по ENTITY_ID + EVENT_NAME + VERSION.</w:t>
      </w:r>
    </w:p>
    <w:p>
      <w:pPr>
        <w:pStyle w:val="Heading1"/>
      </w:pPr>
      <w:r>
        <w:t>4 Канонические маркетинговые поля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030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Поля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Текущий визит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utm_source, utm_medium, utm_campaign, utm_id, utm_content, utm_term, referrer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First touch</w:t>
            </w:r>
          </w:p>
        </w:tc>
        <w:tc>
          <w:tcPr>
            <w:tcW w:type="dxa" w:w="703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first_utm_source, first_utm_medium, first_utm_campaign, first_utm_content, first_utm_term, first_gclid, first_referrer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Last touch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last_utm_source, last_utm_medium, last_utm_campaign, last_utm_content, last_utm_term, last_gclid, last_referrer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Click ID</w:t>
            </w:r>
          </w:p>
        </w:tc>
        <w:tc>
          <w:tcPr>
            <w:tcW w:type="dxa" w:w="703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gclid, gbraid, wbraid, yclid, dclid, fbclid, gad_source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Страницы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first_landing_page, last_landing_page, page_url, page_path, page_title</w:t>
            </w:r>
          </w:p>
        </w:tc>
      </w:tr>
    </w:tbl>
    <w:p/>
    <w:p>
      <w:pPr>
        <w:pStyle w:val="Heading1"/>
      </w:pPr>
      <w:r>
        <w:t>5 Идентификаторы и технические поля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783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visitor_id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Отдельный анонимный ID посетителя сайта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ga_client_id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GA4 Client ID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ga_session_id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GA4 Session ID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ga_session_number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Номер GA4-сессии, если доступен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device_type, os, platform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Технический контекст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screen_resolution, browser_language, timezone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Параметры устройства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time_on_page_seconds, max_scroll_percent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Поведение до отправки формы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ip_hash, geo_city, geo_region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Формируются только сервером</w:t>
            </w:r>
          </w:p>
        </w:tc>
      </w:tr>
    </w:tbl>
    <w:p/>
    <w:p>
      <w:pPr>
        <w:pStyle w:val="Heading1"/>
      </w:pPr>
      <w:r>
        <w:t>6 Формы и предмет обращения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783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form_id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Стабильный технический ID формы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form_name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Понятное название формы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form_location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hero, footer, popup, calculator или иной утвержденный код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cta_location, cta_text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Расположение и текст CTA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Единый код услуги; поле service не создавать</w:t>
            </w:r>
          </w:p>
        </w:tc>
      </w:tr>
      <w:tr>
        <w:tc>
          <w:tcPr>
            <w:tcW w:type="dxa" w:w="351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object_type, object_area</w:t>
            </w:r>
          </w:p>
        </w:tc>
        <w:tc>
          <w:tcPr>
            <w:tcW w:type="dxa" w:w="578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Тип и площадь объекта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project_exists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Наличие проектной документации</w:t>
            </w:r>
          </w:p>
        </w:tc>
      </w:tr>
    </w:tbl>
    <w:p/>
    <w:p>
      <w:pPr>
        <w:pStyle w:val="Heading1"/>
      </w:pPr>
      <w:r>
        <w:t>7 События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1701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984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458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Обязательные параметры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pz_cta_click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GTM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event_id, CTA, page_url, service_type</w:t>
            </w:r>
          </w:p>
        </w:tc>
      </w:tr>
      <w:tr>
        <w:tc>
          <w:tcPr>
            <w:tcW w:type="dxa" w:w="215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pz_form_start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GTM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345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event_id, form_id, page_url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pz_form_submit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GTM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Диагностика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event_id, form_id, ga_session_id</w:t>
            </w:r>
          </w:p>
        </w:tc>
      </w:tr>
      <w:tr>
        <w:tc>
          <w:tcPr>
            <w:tcW w:type="dxa" w:w="215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Tilda/GTM</w:t>
            </w:r>
          </w:p>
        </w:tc>
        <w:tc>
          <w:tcPr>
            <w:tcW w:type="dxa" w:w="19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345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event_id, form_id, UTM, click ID, ga_client_id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generate_lead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GA4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Стандартное событие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Тот же event_id, что pz_form_success</w:t>
            </w:r>
          </w:p>
        </w:tc>
      </w:tr>
    </w:tbl>
    <w:p/>
    <w:p>
      <w:pPr>
        <w:pStyle w:val="Heading1"/>
      </w:pPr>
      <w:r>
        <w:t>8 События CRM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6463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Условие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lead_created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В Bitrix24 создано валидное обращение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qualified_lead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Присвоен ICP A или 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visit_scheduled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Назначены дата и исполнитель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visit_done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Зафиксированы выезд и 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quote_sent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КП фактически отправлено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invoice_issued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Сделка переведена в «Счет отправлен»; допускается счет Bitrix24 или файл 1С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payment_received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Оплата подтверждена в Bitrix24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contract_won</w:t>
            </w:r>
          </w:p>
        </w:tc>
        <w:tc>
          <w:tcPr>
            <w:tcW w:type="dxa" w:w="6463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Выполнены критерии успешной сделки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work_completed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Отчет отправлен, работа принята по правилам воронки</w:t>
            </w:r>
          </w:p>
        </w:tc>
      </w:tr>
    </w:tbl>
    <w:p/>
    <w:p>
      <w:pPr>
        <w:pStyle w:val="Heading1"/>
      </w:pPr>
      <w:r>
        <w:t>9 Канонические поля Bitrix24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082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5216"/>
            <w:shd w:fill="2457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Поле Bitrix24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event_id / event_name / schema_version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UF_CRM_EVENT_ID / UF_CRM_EVENT_NAME / UF_CRM_SCHEMA_VERSION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visitor_id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UF_CRM_VISITOR_ID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ga_client_id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UF_CRM_GA_CLIENT_ID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ga_session_id / ga_session_number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UF_CRM_GA_SESSION_ID / UF_CRM_GA_SESSION_NUMBER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First и Last UTM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UF_CRM_FIRST_UTM_* / UF_CRM_LAST_UTM_*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Click IDs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UF_CRM_GCLID / UF_CRM_GBRAID / UF_CRM_WBRAID / UF_CRM_YCLID / UF_CRM_DCLID / UF_CRM_FBCLID / UF_CRM_GAD_SOURCE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Страницы и источник перехода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UF_CRM_FIRST_LANDING / UF_CRM_LAST_LANDING / UF_CRM_PAGE_URL / UF_CRM_PAGE_PATH / UF_CRM_PAGE_TITLE / UF_CRM_FIRST_REFERRER / UF_CRM_LAST_REFERRER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Форма и CTA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UF_CRM_FORM_ID / UF_CRM_FORM_NAME / UF_CRM_FORM_LOCATION / UF_CRM_CTA_LOCATION / UF_CRM_CTA_TEXT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Услуга и объект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UF_CRM_SERVICE_TYPE / UF_CRM_OBJECT_TYPE / UF_CRM_OBJECT_AREA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first_visit_at / last_visit_at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UF_CRM_FIRST_VISIT_AT / UF_CRM_LAST_VISIT_AT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consent_analytics / consent_ads / consent_timestamp / consent_version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UF_CRM_CONSENT_ANALYTICS / UF_CRM_CONSENT_ADS / UF_CRM_CONSENT_TIMESTAMP / UF_CRM_CONSENT_VERSION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lead_source_block / search_term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UF_CRM_ENTRY_POINT / UF_CRM_SEARCH_TERM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ICP: тип персоны, скоринг, роль в закупке, класс приоритета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UF_CRM_ICP_TYPE / UF_CRM_ICP_SCORE / UF_CRM_BUYING_ROLE / UF_CRM_ICP_SEGMENT (класс A/B/C, производный от SCORE; ярлык «ICP: класс»; заполняется только роботами)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ICP: число объектов, действующая АПС, подрядчик, окончание договора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UF_CRM_OBJECT_COUNT / UF_CRM_APS_EXISTS / UF_CRM_CURRENT_CONTRACTOR / UF_CRM_CONTRACT_END</w:t>
            </w:r>
          </w:p>
        </w:tc>
      </w:tr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ICP: триггер, боли, следующий шаг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UF_CRM_TRIGGER / UF_CRM_PAIN / UF_CRM_NEXT_STEP / UF_CRM_NEXT_STEP_DATE</w:t>
            </w:r>
          </w:p>
        </w:tc>
      </w:tr>
      <w:tr>
        <w:tc>
          <w:tcPr>
            <w:tcW w:type="dxa" w:w="408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ICP: экономика сделки</w:t>
            </w:r>
          </w:p>
        </w:tc>
        <w:tc>
          <w:tcPr>
            <w:tcW w:type="dxa" w:w="52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sz w:val="17"/>
              </w:rPr>
              <w:t>UF_CRM_MRR / UF_CRM_GROSS_PROFIT</w:t>
            </w:r>
          </w:p>
        </w:tc>
      </w:tr>
      <w:tr>
        <w:tc>
          <w:tcPr>
            <w:tcW w:type="dxa" w:w="4986"/>
          </w:tcPr>
          <w:p>
            <w:r>
              <w:t>customer_type</w:t>
            </w:r>
          </w:p>
        </w:tc>
        <w:tc>
          <w:tcPr>
            <w:tcW w:type="dxa" w:w="4986"/>
          </w:tcPr>
          <w:p>
            <w:r>
              <w:t>UF_CRM_CUSTOMER_TYPE — new для новых продаж и обращений; existing только для действующих клиентов воронки «Обслуживание текущих клиентов». Значение передается без переименования.</w:t>
            </w:r>
          </w:p>
        </w:tc>
      </w:tr>
      <w:tr>
        <w:tc>
          <w:tcPr>
            <w:tcW w:type="dxa" w:w="4986"/>
          </w:tcPr>
          <w:p>
            <w:r>
              <w:t>next_service_date</w:t>
            </w:r>
          </w:p>
        </w:tc>
        <w:tc>
          <w:tcPr>
            <w:tcW w:type="dxa" w:w="4986"/>
          </w:tcPr>
          <w:p>
            <w:r>
              <w:t>UF_CRM_NEXT_SERVICE_DATE — следующая плановая дата обслуживания; источник для Cloud Scheduler/Cloud Run.</w:t>
            </w:r>
          </w:p>
        </w:tc>
      </w:tr>
      <w:tr>
        <w:tc>
          <w:tcPr>
            <w:tcW w:type="dxa" w:w="4986"/>
          </w:tcPr>
          <w:p>
            <w:r>
              <w:t>consent_marketing</w:t>
            </w:r>
          </w:p>
        </w:tc>
        <w:tc>
          <w:tcPr>
            <w:tcW w:type="dxa" w:w="4986"/>
          </w:tcPr>
          <w:p>
            <w:r>
              <w:t>UF_CRM_CONSENT_MARKETING — отдельное согласие на рекламные коммуникации: granted или denied. Не заменяет consent_analytics и consent_ads.</w:t>
            </w:r>
          </w:p>
        </w:tc>
      </w:tr>
    </w:tbl>
    <w:p/>
    <w:p>
      <w:pPr>
        <w:pStyle w:val="Heading1"/>
      </w:pPr>
      <w:r>
        <w:t>10 Персональные данные и согласие</w:t>
      </w:r>
    </w:p>
    <w:p>
      <w:pPr>
        <w:pStyle w:val="ListBullet"/>
      </w:pPr>
      <w:r>
        <w:t>В GA4, GTM и Google Ads не передаются имя, телефон, email, БИН, точный адрес, запись звонка и свободный комментарий.</w:t>
      </w:r>
    </w:p>
    <w:p>
      <w:pPr>
        <w:pStyle w:val="ListBullet"/>
      </w:pPr>
      <w:r>
        <w:t>Consent Mode v2 выполняется до загрузки основного GA4-тега; выбор и версия согласия сохраняются.</w:t>
      </w:r>
    </w:p>
    <w:p>
      <w:pPr>
        <w:pStyle w:val="ListBullet"/>
      </w:pPr>
      <w:r>
        <w:t>IP, GeoIP и ip_hash обрабатываются только Cloud Run. Полный IP не передается в рекламные системы.</w:t>
      </w:r>
    </w:p>
    <w:p>
      <w:pPr>
        <w:pStyle w:val="ListBullet"/>
      </w:pPr>
      <w:r>
        <w:t>Секреты API хранятся в Secret Manager или переменных окружения и отсутствуют в коде страниц и GTM.</w:t>
      </w:r>
    </w:p>
    <w:p>
      <w:pPr>
        <w:pStyle w:val="Heading1"/>
      </w:pPr>
      <w:r>
        <w:t>11 Критерии приемки</w:t>
      </w:r>
    </w:p>
    <w:p>
      <w:pPr>
        <w:pStyle w:val="ListBullet"/>
      </w:pPr>
      <w:r>
        <w:t>Одна тестовая заявка имеет одинаковые event_id и schema_version на странице, в BigQuery и Bitrix24.</w:t>
      </w:r>
    </w:p>
    <w:p>
      <w:pPr>
        <w:pStyle w:val="ListBullet"/>
      </w:pPr>
      <w:r>
        <w:t>Повторная отправка того же event_id не создает дублей.</w:t>
      </w:r>
    </w:p>
    <w:p>
      <w:pPr>
        <w:pStyle w:val="ListBullet"/>
      </w:pPr>
      <w:r>
        <w:t>First touch не меняется, last touch обновляется.</w:t>
      </w:r>
    </w:p>
    <w:p>
      <w:pPr>
        <w:pStyle w:val="ListBullet"/>
      </w:pPr>
      <w:r>
        <w:t>pz_form_success и generate_lead появляются только после успешной формы и используют один event_id.</w:t>
      </w:r>
    </w:p>
    <w:p>
      <w:pPr>
        <w:pStyle w:val="ListBullet"/>
      </w:pPr>
      <w:r>
        <w:t>lead_created появляется только после успешного создания записи Bitrix24.</w:t>
      </w:r>
    </w:p>
    <w:p>
      <w:pPr>
        <w:pStyle w:val="ListBullet"/>
      </w:pPr>
      <w:r>
        <w:t>GA4 и Google Ads не получают персональные данные.</w:t>
      </w:r>
    </w:p>
    <w:p>
      <w:pPr>
        <w:pStyle w:val="ListBullet"/>
      </w:pPr>
      <w:r>
        <w:t>Статус оплаты и результат работы проверяются по Bitrix24.</w:t>
      </w:r>
    </w:p>
    <w:p>
      <w:pPr>
        <w:pStyle w:val="Heading1"/>
      </w:pPr>
      <w:r>
        <w:t>12 История изменений</w:t>
      </w:r>
    </w:p>
    <w:p>
      <w:pPr>
        <w:pStyle w:val="ListBullet"/>
      </w:pPr>
      <w:r>
        <w:rPr>
          <w:b/>
        </w:rPr>
        <w:t>Версия 1.1 (17 сентября 2026).</w:t>
      </w:r>
      <w:r>
        <w:t xml:space="preserve"> По итогам сквозной проверки с ТЗ Bitrix24, ТЗ аналитики страниц и медиапланом: referrer перенесен из группы «Страницы» в «Текущий визит», добавлена пара first_referrer/last_referrer в First/Last touch; в раздел 9 добавлены UF_CRM_DCLID, UF_CRM_FBCLID, UF_CRM_GAD_SOURCE, UF_CRM_PAGE_PATH, UF_CRM_PAGE_TITLE, UF_CRM_FIRST_REFERRER, UF_CRM_LAST_REFERRER, UF_CRM_FORM_NAME, UF_CRM_FIRST_VISIT_AT/UF_CRM_LAST_VISIT_AT, UF_CRM_CONSENT_*, UF_CRM_ENTRY_POINT, UF_CRM_SEARCH_TERM и 15 канонических полей ICP-квалификации (UF_CRM_ICP_TYPE, UF_CRM_ICP_SCORE, UF_CRM_BUYING_ROLE и другие, раздел 9) — ранее эти поля существовали только в ТЗ Bitrix24 и медиаплане без регистрации в контракте.</w:t>
      </w:r>
    </w:p>
    <w:p>
      <w:pPr>
        <w:pStyle w:val="ListBullet"/>
      </w:pPr>
      <w:r>
        <w:rPr>
          <w:b/>
        </w:rPr>
        <w:t>Версия 1.0 (15 сентября 2026).</w:t>
      </w:r>
      <w:r>
        <w:t xml:space="preserve"> Первая редакция контракта.</w:t>
      </w:r>
    </w:p>
    <w:p>
      <w:pPr>
        <w:pStyle w:val="Heading1"/>
        <w:pageBreakBefore/>
        <w:spacing w:before="120" w:after="160"/>
      </w:pPr>
      <w:r>
        <w:t>Согласованная редакция 1.3</w:t>
      </w:r>
    </w:p>
    <w:p>
      <w:r>
        <w:rPr>
          <w:b/>
        </w:rPr>
        <w:t xml:space="preserve">Дата согласования: </w:t>
      </w:r>
      <w:r>
        <w:t xml:space="preserve">22 сентября 2026 года. </w:t>
      </w:r>
      <w:r>
        <w:rPr>
          <w:b/>
        </w:rPr>
        <w:t xml:space="preserve">Статус: </w:t>
      </w:r>
      <w:r>
        <w:t>внедрено и опубликовано.</w:t>
      </w:r>
    </w:p>
    <w:p>
      <w:pPr>
        <w:spacing w:after="200"/>
      </w:pPr>
      <w:r>
        <w:t>Эта редакция устраняет расхождения между сайтом, GTM, GA4, Cloud Run, BigQuery и Bitrix24. При конфликте с предыдущими формулировками применяется приведенная ниже матрица. Новые поля и интеграции должны использовать только канонические технические имена.</w:t>
      </w:r>
    </w:p>
    <w:p>
      <w:pPr>
        <w:pStyle w:val="Heading2"/>
      </w:pPr>
      <w:r>
        <w:t>Согласованная матрица полей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757"/>
            <w:shd w:fill="173B4D"/>
            <w:vAlign w:val="center"/>
          </w:tcPr>
          <w:p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458"/>
            <w:shd w:fill="173B4D"/>
            <w:vAlign w:val="center"/>
          </w:tcPr>
          <w:p>
            <w:r>
              <w:rPr>
                <w:b/>
                <w:color w:val="FFFFFF"/>
                <w:sz w:val="18"/>
              </w:rPr>
              <w:t>Сайт GTM GA4 вебхук</w:t>
            </w:r>
          </w:p>
        </w:tc>
        <w:tc>
          <w:tcPr>
            <w:tcW w:type="dxa" w:w="2948"/>
            <w:shd w:fill="173B4D"/>
            <w:vAlign w:val="center"/>
          </w:tcPr>
          <w:p>
            <w:r>
              <w:rPr>
                <w:b/>
                <w:color w:val="FFFFFF"/>
                <w:sz w:val="18"/>
              </w:rPr>
              <w:t>Bitrix24</w:t>
            </w:r>
          </w:p>
        </w:tc>
        <w:tc>
          <w:tcPr>
            <w:tcW w:type="dxa" w:w="2268"/>
            <w:shd w:fill="173B4D"/>
            <w:vAlign w:val="center"/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Предмет обращения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service_type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UF_CRM_SERVICE_TYPE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Поле service запрещено и не создается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Поисковая фраза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search_term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UF_CRM_SEARCH_TERM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Передается из URL или рекламного контекста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Текущий визит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utm_source, utm_medium, utm_campaign, utm_id, utm_content, utm_term, referrer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смешивать с first и last touch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Первое касание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first_utm_*, first_gclid, first_landing_page, first_referrer, first_visit_at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После записи не перезаписывать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Последнее касание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last_utm_*, last_gclid, last_landing_page, last_referrer, last_visit_at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Обновлять при новом визите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Рекламные идентификаторы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gclid, gbraid, wbraid, yclid, dclid, fbclid, gad_source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Без переименований и склейки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Страница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page_url, page_path, page_title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UF_CRM_PAGE_URL, UF_CRM_PAGE_PATH, UF_CRM_PAGE_TITLE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entry_page и entry_path не создавать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Устройство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device_type, os, platform, screen_resolution, browser_language, timezone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user_agent допускается как техническое поле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Согласие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consent_analytics, consent_ads, consent_timestamp, consent_version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Одноименные UF_CRM поля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Значения granted или denied; unknown не используется</w:t>
            </w:r>
          </w:p>
        </w:tc>
      </w:tr>
      <w:tr>
        <w:tc>
          <w:tcPr>
            <w:tcW w:type="dxa" w:w="1757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</w:t>
            </w:r>
          </w:p>
        </w:tc>
        <w:tc>
          <w:tcPr>
            <w:tcW w:type="dxa" w:w="345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icp_type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UF_CRM_ICP_TYPE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Сценарий клиента (см. ТЗ Bitrix24, раздел 5); не путать с классом приоритета A/B/C — тот хранится в отдельном поле UF_CRM_ICP_SEGMENT под ярлыком «ICP: класс»</w:t>
            </w:r>
          </w:p>
        </w:tc>
      </w:tr>
    </w:tbl>
    <w:p>
      <w:pPr>
        <w:pStyle w:val="Heading2"/>
      </w:pPr>
      <w:r>
        <w:t>Правила Consent Mode v2</w:t>
      </w:r>
    </w:p>
    <w:p>
      <w:pPr>
        <w:pStyle w:val="ListBullet"/>
      </w:pPr>
      <w:r>
        <w:t>До выбора пользователя все четыре сигнала Google Consent Mode имеют значение denied.</w:t>
      </w:r>
    </w:p>
    <w:p>
      <w:pPr>
        <w:pStyle w:val="ListBullet"/>
      </w:pPr>
      <w:r>
        <w:t>Кнопка «Принять» устанавливает consent_analytics=granted и consent_ads=granted. Кнопка «Только необходимые» устанавливает оба значения denied.</w:t>
      </w:r>
    </w:p>
    <w:p>
      <w:pPr>
        <w:pStyle w:val="ListBullet"/>
      </w:pPr>
      <w:r>
        <w:t>Выбор хранится локально вместе с consent_timestamp и consent_version=1.0 и применяется при последующих визитах.</w:t>
      </w:r>
    </w:p>
    <w:p>
      <w:pPr>
        <w:pStyle w:val="ListBullet"/>
      </w:pPr>
      <w:r>
        <w:t>Согласие на обработку персональных данных в форме не заменяет выбор аналитических и рекламных технологий.</w:t>
      </w:r>
    </w:p>
    <w:p>
      <w:pPr>
        <w:pStyle w:val="Heading2"/>
      </w:pPr>
      <w:r>
        <w:t>Фактическое состояние внедрения</w:t>
      </w:r>
    </w:p>
    <w:p>
      <w:pPr>
        <w:pStyle w:val="ListBullet"/>
      </w:pPr>
      <w:r>
        <w:t>GTM-контейнер GTM-WVGQ5BZ4: опубликована версия 7 с каноническим контрактом данных и Consent Mode v2.</w:t>
      </w:r>
    </w:p>
    <w:p>
      <w:pPr>
        <w:pStyle w:val="ListBullet"/>
      </w:pPr>
      <w:r>
        <w:t>GA4: Google tag G-K3055R6Y7X и мост событий pz_*; очередь сохраняет события до загрузки Google tag.</w:t>
      </w:r>
    </w:p>
    <w:p>
      <w:pPr>
        <w:pStyle w:val="ListBullet"/>
      </w:pPr>
      <w:r>
        <w:t>Cloud Run: сервис tilda-webhook-to-bigquery, ревизия tilda-webhook-to-bigquery-00061-zb7; маппинг канонических полей в Bitrix24 обновлен.</w:t>
      </w:r>
    </w:p>
    <w:p>
      <w:pPr>
        <w:pStyle w:val="ListBullet"/>
      </w:pPr>
      <w:r>
        <w:t>Consent Mode v2: до выбора пользователя analytics_storage, ad_storage, ad_user_data и ad_personalization имеют значение denied. После выбора передаются granted или denied.</w:t>
      </w:r>
    </w:p>
    <w:p>
      <w:pPr>
        <w:pStyle w:val="ListBullet"/>
      </w:pPr>
      <w:r>
        <w:t>Тестовый payload contract_test принят вебхуком без создания тестовой сделки в Bitrix24.</w:t>
      </w:r>
    </w:p>
    <w:p>
      <w:pPr>
        <w:pStyle w:val="Heading2"/>
      </w:pPr>
      <w:r>
        <w:t>Легаси и запреты</w:t>
      </w:r>
    </w:p>
    <w:p>
      <w:pPr>
        <w:pStyle w:val="ListBullet"/>
      </w:pPr>
      <w:r>
        <w:t>Поле service не создавать, не заполнять и не использовать в правилах или отчетах. Единственное поле предмета обращения — service_type.</w:t>
      </w:r>
    </w:p>
    <w:p>
      <w:pPr>
        <w:pStyle w:val="ListBullet"/>
      </w:pPr>
      <w:r>
        <w:t>entry_page и entry_path не использовать. Канонические поля — first_landing_page, last_landing_page, page_url и page_path.</w:t>
      </w:r>
    </w:p>
    <w:p>
      <w:pPr>
        <w:pStyle w:val="ListBullet"/>
      </w:pPr>
      <w:r>
        <w:t>Дубли без префикса UF_CRM_ в Bitrix24 не создавать. Существующие дубли сначала выгрузить, сопоставить по техническому коду и только затем архивировать.</w:t>
      </w:r>
    </w:p>
    <w:p>
      <w:pPr>
        <w:pStyle w:val="ListBullet"/>
      </w:pPr>
      <w:r>
        <w:t>Поля UF_CRM_ICP_TYPE, UF_CRM_ICP_SCORE и UF_CRM_ICP_SEGMENT — три разные сущности с разным назначением (сценарий клиента, числовой балл и производный класс приоритета соответственно); создавать дубли любого из них запрещено. Интерфейсный ярлык «ICP: сегмент» переименован в «ICP: класс» и относится к полю UF_CRM_ICP_SEGMENT; UF_CRM_ICP_TYPE используется исключительно для сценариев ICP-1…ICP-5/ICP-C.</w:t>
      </w:r>
    </w:p>
    <w:p>
      <w:pPr>
        <w:pStyle w:val="ListBullet"/>
      </w:pPr>
      <w:r>
        <w:t>Текущие UTM и referrer хранятся отдельно от first и last touch.</w:t>
      </w:r>
    </w:p>
    <w:p>
      <w:pPr>
        <w:pStyle w:val="Heading2"/>
      </w:pPr>
      <w:r>
        <w:t>Критерии приемки согласованной редакции</w:t>
      </w:r>
    </w:p>
    <w:p>
      <w:pPr>
        <w:pStyle w:val="ListBullet"/>
      </w:pPr>
      <w:r>
        <w:t>На новой сессии до выбора пользователя в формах записаны denied, denied, пустой timestamp и consent_version=1.0.</w:t>
      </w:r>
    </w:p>
    <w:p>
      <w:pPr>
        <w:pStyle w:val="ListBullet"/>
      </w:pPr>
      <w:r>
        <w:t>После выбора пользователя timestamp заполнен в ISO 8601, а granted или denied одинаковы на странице, в payload и Bitrix24.</w:t>
      </w:r>
    </w:p>
    <w:p>
      <w:pPr>
        <w:pStyle w:val="ListBullet"/>
      </w:pPr>
      <w:r>
        <w:t>service_type, search_term, технический контекст, click ID, referrer, page_title и platform передаются без переименования.</w:t>
      </w:r>
    </w:p>
    <w:p>
      <w:pPr>
        <w:pStyle w:val="ListBullet"/>
      </w:pPr>
      <w:r>
        <w:t>Один event_id связывает событие страницы, payload, строку BigQuery и запись Bitrix24; повторная доставка не создает дубль.</w:t>
      </w:r>
    </w:p>
    <w:p>
      <w:pPr>
        <w:pStyle w:val="ListBullet"/>
      </w:pPr>
      <w:r>
        <w:t>GA4 и Google Ads не получают персональные данные из формы.</w:t>
      </w:r>
    </w:p>
    <w:p>
      <w:pPr>
        <w:pStyle w:val="Heading2"/>
      </w:pPr>
      <w:r>
        <w:t>История редакции</w:t>
      </w:r>
    </w:p>
    <w:p>
      <w:r>
        <w:t>1.2 от 22 сентября 2026 года. Согласованы канонические имена полей, разделение текущей, первой и последней атрибуции, UF_CRM_ICP_TYPE, Consent Mode v2, вебхук и фактически опубликованные версии интеграций.</w:t>
      </w:r>
    </w:p>
    <w:p>
      <w:r>
        <w:br w:type="page"/>
      </w:r>
    </w:p>
    <w:p>
      <w:pPr>
        <w:pStyle w:val="Heading1"/>
        <w:keepNext/>
      </w:pPr>
      <w:r>
        <w:t>13 Контракт конверсионных действий</w:t>
      </w:r>
    </w:p>
    <w:p>
      <w:r>
        <w:t>Редакция 1.3 от 22 сентября 2026 года. Поля этого раздела являются каноническими для сайта, GTM, GA4, webhook, Bitrix24, BigQuery и Google Ads.</w:t>
      </w:r>
    </w:p>
    <w:p>
      <w:pPr>
        <w:pStyle w:val="Heading2"/>
      </w:pPr>
      <w:r>
        <w:t>Канонические параметры CTA и заявки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Параметр</w:t>
            </w:r>
          </w:p>
        </w:tc>
        <w:tc>
          <w:tcPr>
            <w:tcW w:type="dxa" w:w="232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Назначение</w:t>
            </w:r>
          </w:p>
        </w:tc>
        <w:tc>
          <w:tcPr>
            <w:tcW w:type="dxa" w:w="3515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Допустимые значения / пример</w:t>
            </w:r>
          </w:p>
        </w:tc>
        <w:tc>
          <w:tcPr>
            <w:tcW w:type="dxa" w:w="2551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Куда передаётся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Предмет обращения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Код услуги из единого справочника; поле service запрещено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Ожидаемое действие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calculate; engineer_visit; audit_booking; contact_request; document_download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cta_location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Позиция CTA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hero; after_proof; calculator; emergency_block; final_form; sticky_mobile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cta_text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Фактический текст кнопки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Получить расчёт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form_id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Идентификатор формы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home_calculation_form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dataLayer → GA4 → webhook → Bitrix24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event_id</w:t>
            </w:r>
          </w:p>
        </w:tc>
        <w:tc>
          <w:tcPr>
            <w:tcW w:type="dxa" w:w="232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Дедупликация заявки</w:t>
            </w:r>
          </w:p>
        </w:tc>
        <w:tc>
          <w:tcPr>
            <w:tcW w:type="dxa" w:w="3515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UUID, неизменный по всей цепочке</w:t>
            </w:r>
          </w:p>
        </w:tc>
        <w:tc>
          <w:tcPr>
            <w:tcW w:type="dxa" w:w="255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Сайт → GA4 → webhook → CRM → Ads</w:t>
            </w:r>
          </w:p>
        </w:tc>
      </w:tr>
    </w:tbl>
    <w:p/>
    <w:p>
      <w:pPr>
        <w:pStyle w:val="Heading2"/>
      </w:pPr>
      <w:r>
        <w:t>Правила значений</w:t>
      </w:r>
    </w:p>
    <w:p>
      <w:pPr>
        <w:pStyle w:val="ListBullet"/>
        <w:keepLines/>
      </w:pPr>
      <w:r>
        <w:t>service_type обязателен для коммерческого CTA и заявки. Поле service и произвольные текстовые аналоги не создаются.</w:t>
      </w:r>
    </w:p>
    <w:p>
      <w:pPr>
        <w:pStyle w:val="ListBullet"/>
        <w:keepLines/>
      </w:pPr>
      <w:r>
        <w:t>requested_action отражает намерение пользователя, а не текст кнопки. Разные тексты «Получить расчёт» и «Рассчитать работы» передают calculate.</w:t>
      </w:r>
    </w:p>
    <w:p>
      <w:pPr>
        <w:pStyle w:val="ListBullet"/>
        <w:keepLines/>
      </w:pPr>
      <w:r>
        <w:t>cta_text хранит фактически показанный пользователю текст; cta_location — только значение из согласованного справочника.</w:t>
      </w:r>
    </w:p>
    <w:p>
      <w:pPr>
        <w:pStyle w:val="ListBullet"/>
        <w:keepLines/>
      </w:pPr>
      <w:r>
        <w:t>event_id создаётся в браузере при попытке отправки и сохраняется без изменения в GA4, webhook, Bitrix24 и импорте офлайн-конверсии.</w:t>
      </w:r>
    </w:p>
    <w:p>
      <w:pPr>
        <w:pStyle w:val="ListBullet"/>
        <w:keepLines/>
      </w:pPr>
      <w:r>
        <w:t>Пустые значения не подменяются строками undefined, null или not_set; неприменимые поля не передаются либо передаются пустыми по правилам целевой системы.</w:t>
      </w:r>
    </w:p>
    <w:p>
      <w:pPr>
        <w:pStyle w:val="Heading2"/>
      </w:pPr>
      <w:r>
        <w:t>Событийная последовательность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Событие</w:t>
            </w:r>
          </w:p>
        </w:tc>
        <w:tc>
          <w:tcPr>
            <w:tcW w:type="dxa" w:w="3458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Когда возникает</w:t>
            </w:r>
          </w:p>
        </w:tc>
        <w:tc>
          <w:tcPr>
            <w:tcW w:type="dxa" w:w="6236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r>
              <w:rPr>
                <w:b/>
                <w:color w:val="000000"/>
                <w:sz w:val="18"/>
              </w:rPr>
              <w:t>Обязательные параметры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pz_cta_click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Клик по CTA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service_type, requested_action, cta_location, cta_text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pz_calculator_start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Первое взаимодействие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service_type, calculator_id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pz_calculator_complete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Получен результат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service_type, calculator_id, result_band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pz_form_start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Первое взаимодействие с формой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form_id, service_type, requested_action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pz_form_submit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Попытка отправки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event_id, form_id, service_type, requested_action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Сервер подтвердил приём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spacing w:after="20"/>
            </w:pPr>
            <w:r>
              <w:rPr>
                <w:sz w:val="17"/>
              </w:rPr>
              <w:t>event_id, form_id, service_type, requested_action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generate_lead</w:t>
            </w:r>
          </w:p>
        </w:tc>
        <w:tc>
          <w:tcPr>
            <w:tcW w:type="dxa" w:w="345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Производное GA4 после успеха</w:t>
            </w:r>
          </w:p>
        </w:tc>
        <w:tc>
          <w:tcPr>
            <w:tcW w:type="dxa" w:w="6236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spacing w:after="20"/>
            </w:pPr>
            <w:r>
              <w:rPr>
                <w:sz w:val="17"/>
              </w:rPr>
              <w:t>тот же event_id; не вызывается напрямую формой</w:t>
            </w:r>
          </w:p>
        </w:tc>
      </w:tr>
    </w:tbl>
    <w:p/>
    <w:p>
      <w:pPr>
        <w:pStyle w:val="Heading2"/>
      </w:pPr>
      <w:r>
        <w:t>Критерии приёмки</w:t>
      </w:r>
    </w:p>
    <w:p>
      <w:pPr>
        <w:pStyle w:val="ListBullet"/>
        <w:keepLines/>
      </w:pPr>
      <w:r>
        <w:t>На странице визуально доминирует один основной CTA; альтернативные CTA не конкурируют с ним по цвету, размеру и частоте.</w:t>
      </w:r>
    </w:p>
    <w:p>
      <w:pPr>
        <w:pStyle w:val="ListBullet"/>
        <w:keepLines/>
      </w:pPr>
      <w:r>
        <w:t>На мобильном устройстве калькулятор или короткая форма доступны не позднее третьего–четвёртого экрана.</w:t>
      </w:r>
    </w:p>
    <w:p>
      <w:pPr>
        <w:pStyle w:val="ListBullet"/>
        <w:keepLines/>
      </w:pPr>
      <w:r>
        <w:t>Пересекающиеся блоки и дублирующие медиа отсутствуют; обязательные сведения, доверительные элементы и ключевые сценарии сохранены.</w:t>
      </w:r>
    </w:p>
    <w:p>
      <w:pPr>
        <w:pStyle w:val="ListBullet"/>
        <w:keepLines/>
      </w:pPr>
      <w:r>
        <w:t>Для переработанной существующей страницы мобильная высота сокращена на 20–25% по сравнению с сохранённым контрольным снимком, либо оформлено обоснование меньшего сокращения.</w:t>
      </w:r>
    </w:p>
    <w:p>
      <w:pPr>
        <w:pStyle w:val="ListBullet"/>
        <w:keepLines/>
      </w:pPr>
      <w:r>
        <w:t>Проверены ширины 360, 390, 768 и 1440 px: нет горизонтального переполнения, обрезанного текста и перекрывающихся кнопок.</w:t>
      </w:r>
    </w:p>
    <w:p>
      <w:pPr>
        <w:pStyle w:val="ListBullet"/>
        <w:keepLines/>
      </w:pPr>
      <w:r>
        <w:t>Каждый основной CTA передаёт одинаковые service_type, requested_action, cta_location и cta_text во все системы.</w:t>
      </w:r>
    </w:p>
    <w:p>
      <w:pPr>
        <w:pStyle w:val="ListBullet"/>
        <w:keepLines/>
      </w:pPr>
      <w:r>
        <w:t>События pz_cta_click, pz_calculator_start, pz_calculator_complete, pz_form_start, pz_form_submit и pz_form_success проходят тест без дублей; generate_lead создаётся только после pz_form_success с тем же event_id.</w:t>
      </w:r>
    </w:p>
    <w:p>
      <w:pPr>
        <w:pStyle w:val="ListBullet"/>
        <w:keepLines/>
      </w:pPr>
      <w:r>
        <w:t>Результат сравнивается с исходной версией после согласованного периода и достаточного объёма трафика; до этого изменение не признаётся победителем только по единичным заявкам.</w:t>
      </w:r>
    </w:p>
    <w:p>
      <w:pPr>
        <w:pStyle w:val="Heading2"/>
      </w:pPr>
      <w:r>
        <w:t>История редакции</w:t>
      </w:r>
    </w:p>
    <w:p>
      <w:r>
        <w:t>Версия 1.3 от 22 сентября 2026 года: добавлены requested_action, единый справочник cta_location, правила CTA и критерии проверки конверсионной цепочки.</w:t>
      </w:r>
    </w:p>
    <w:p>
      <w:r>
        <w:t>Версия 1.5 от 23 сентября 2026 года: устранена коллизия ярлыков ICP-полей. Интерфейсный ярлык «ICP: сегмент» переименован в «ICP: класс» и закреплён за UF_CRM_ICP_SEGMENT (производный класс приоритета A/B/C, заполняется только роботами); UF_CRM_ICP_TYPE оставлен исключительно для сценария клиента ICP-1…5/ICP-C. В канонический реестр полей (раздел 9) добавлено поле UF_CRM_ICP_SEGMENT.</w:t>
      </w:r>
    </w:p>
    <w:p>
      <w:pPr>
        <w:pStyle w:val="Heading1"/>
      </w:pPr>
      <w:r>
        <w:t>12 Совместимость с тарифом Стандартный</w:t>
      </w:r>
    </w:p>
    <w:p>
      <w:pPr/>
      <w:r>
        <w:t>Тариф Bitrix24 не изменяет маршрут сквозной аналитики: сайт и GTM → Cloud Run → BigQuery → Bitrix24 → GA4 и Google Ads. Источником коммерческого факта остается Bitrix24; Cloud Run выполняет транспорт, дедупликацию, расчет и плановую проверку.</w:t>
      </w:r>
    </w:p>
    <w:p>
      <w:pPr/>
      <w:r>
        <w:t>Бизнес-процессы, Списки, регулярные задачи и расширенные права проектов не являются обязательными компонентами контракта. Их функции реализуются роботами CRM, каноническими CRM-полями и Cloud Scheduler/Cloud Run.</w:t>
      </w:r>
    </w:p>
    <w:p>
      <w:pPr/>
      <w:r>
        <w:t>Для планового ТО используется идемпотентный ключ CONTRACT_ID + PLAN_DATE + WORK_TYPE. Для CRM-событий сохраняется ENTITY_ID + EVENT_NAME + VERSION. Повторная обработка не создает новую работу, задачу или конверсию.</w:t>
      </w:r>
    </w:p>
    <w:p>
      <w:pPr/>
      <w:r>
        <w:t>UF_CRM_ICP_TYPE, UF_CRM_ICP_SCORE и UF_CRM_ICP_SEGMENT остаются разными полями. Тарифная адаптация не меняет их технические коды, значения или использование в отчетах.</w:t>
      </w:r>
    </w:p>
    <w:p>
      <w:pPr>
        <w:pStyle w:val="Heading1"/>
      </w:pPr>
      <w:r>
        <w:t>История редакции</w:t>
      </w:r>
    </w:p>
    <w:p>
      <w:pPr/>
      <w:r>
        <w:t>Версия 1.5 от 24 сентября 2026 года. Добавлены customer_type, next_service_date и consent_marketing; зафиксирована совместимость с тарифом Bitrix24 «Стандартный» и неизменность сквозной аналитики.</w:t>
      </w:r>
    </w:p>
    <w:p>
      <w:pPr>
        <w:pStyle w:val="Heading1"/>
      </w:pPr>
      <w:r>
        <w:t>Единый интерфейс согласия</w:t>
      </w:r>
    </w:p>
    <w:p>
      <w:pPr/>
      <w:r>
        <w:t>На всех страницах используется один глобальный интерфейс управления согласием. Кнопка «Принять все» одновременно устанавливает consent_analytics=granted, consent_ads=granted и consent_marketing=granted. Рядом должна быть равнозначная кнопка «Только необходимые», устанавливающая эти три необязательных согласия в denied, а также ссылка «Настройки cookies» для последующего изменения выбора.</w:t>
      </w:r>
    </w:p>
    <w:p>
      <w:pPr>
        <w:pStyle w:val="ListBullet"/>
      </w:pPr>
      <w:r>
        <w:t>До выбора пользователя analytics_storage, ad_storage, ad_user_data и ad_personalization имеют значение denied. Метрика, Meta/Facebook и другие необязательные маркетинговые системы до согласия не загружаются.</w:t>
      </w:r>
    </w:p>
    <w:p>
      <w:pPr>
        <w:pStyle w:val="ListBullet"/>
      </w:pPr>
      <w:r>
        <w:t>Текст рядом с кнопкой «Принять все» прямо перечисляет цели: аналитика использования сайта, персонализация рекламы и рекламные коммуникации. Согласие не считается полученным при одном лишь продолжении просмотра страницы.</w:t>
      </w:r>
    </w:p>
    <w:p>
      <w:pPr>
        <w:pStyle w:val="ListBullet"/>
      </w:pPr>
      <w:r>
        <w:t>Выбор сохраняется в consent_analytics, consent_ads, consent_marketing, consent_timestamp и consent_version и одинаково передаётся в dataLayer, форму, webhook, BigQuery и Bitrix24.</w:t>
      </w:r>
    </w:p>
    <w:p>
      <w:pPr>
        <w:pStyle w:val="ListBullet"/>
      </w:pPr>
      <w:r>
        <w:t>Обязательное согласие на обработку данных, необходимых для ответа на конкретную заявку, остаётся частью формы заявки и не подменяется cookie-баннером. Отказ от аналитики и рекламы не блокирует отправку формы, телефон или WhatsApp.</w:t>
      </w:r>
    </w:p>
    <w:p>
      <w:pPr>
        <w:pStyle w:val="ListBullet"/>
      </w:pPr>
      <w:r>
        <w:t>Запрещены заранее отмеченные флажки, скрытое предоставление согласия и повторный запрос после явного отказа до изменения consent_version или самостоятельного открытия настроек пользователем.</w:t>
      </w:r>
    </w:p>
    <w:p>
      <w:pPr/>
      <w:r>
        <w:t>Версия 1.6 от 28 сентября 2026 года. Добавлены единый интерфейс согласия «Принять все», разделение необязательных согласий и обязательной обработки заявки, а также единый шаблон подключения аналитики страниц.</w:t>
      </w:r>
    </w:p>
    <w:p>
      <w:pPr>
        <w:pStyle w:val="Heading1"/>
      </w:pPr>
      <w:r>
        <w:t>Конфигурация страницы и резервный маршрут GTM</w:t>
      </w:r>
    </w:p>
    <w:p>
      <w:r>
        <w:t>Канонический источник параметров страницы — реестр маршрутов в опубликованном контейнере GTM. Для каждого pathname реестр обязан задавать page_type, page_name, service_type, customer_type, form_name и form_location. Это обеспечивает единое поведение форм, webhook, Telegram, BigQuery и Bitrix24 без копирования общего аналитического кода на каждую страницу.</w:t>
      </w:r>
    </w:p>
    <w:p>
      <w:r>
        <w:t>window.PZ_PAGE_CONFIG является разрешённым необязательным переопределением для страницы. Его используют, если значения конкретной страницы отличаются от реестра GTM или новый маршрут ещё не опубликован в контейнере. Отсутствие объекта не является ошибкой при условии, что GTM корректно определяет маршрут и заполняет все обязательные поля.</w:t>
      </w:r>
    </w:p>
    <w:p>
      <w:r>
        <w:t>Приёмка выполняется по фактически переданным данным. Во всех формах должны присутствовать page_url, page_path, page_title, page_type, page_name, source_page, service_type, customer_type, form_name и form_location. page_name и source_page должны однозначно указывать страницу, с которой поступила заявка. Поле service запрещено; используется только service_type.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