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Техническое задание</w:t>
      </w:r>
    </w:p>
    <w:p>
      <w:r>
        <w:rPr>
          <w:b/>
          <w:sz w:val="32"/>
        </w:rPr>
        <w:t>Добавление аналитики на страницы pozharnik.kz</w:t>
      </w:r>
    </w:p>
    <w:p>
      <w:r>
        <w:rPr>
          <w:b/>
        </w:rPr>
        <w:t xml:space="preserve">Назначение документа: </w:t>
      </w:r>
      <w:r>
        <w:t>передача разработчику требований по внедрению GA4, GTM, атрибуции, форм, Bitrix24 и BigQuery.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71"/>
        <w:gridCol w:w="5071"/>
      </w:tblGrid>
      <w:tr>
        <w:trPr>
          <w:tblHeader w:val="true"/>
        </w:trPr>
        <w:tc>
          <w:tcPr>
            <w:tcW w:type="dxa" w:w="2835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6236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Сайт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https://pozharnik.kz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GA4 Measurement ID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G-K3055R6Y7X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Cloud Run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https://tilda-webhook-to-bigquery-324633937237.europe-west3.run.app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Google Cloud Project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project-84dd3e16-3878-4eea-bb3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Регион данных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europe-west3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BigQuery CRM dataset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pozharnik_leads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Версия ТЗ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t>1.2 от 17.09.2026</w:t>
            </w:r>
          </w:p>
        </w:tc>
      </w:tr>
    </w:tbl>
    <w:p>
      <w:pPr>
        <w:spacing w:after="20"/>
      </w:pPr>
    </w:p>
    <w:p>
      <w:r>
        <w:rPr>
          <w:b/>
        </w:rPr>
        <w:t xml:space="preserve">Результат работ. </w:t>
      </w:r>
      <w:r>
        <w:t>Каждая заявка должна быть связана с источником трафика, сессией GA4, записью BigQuery и сделкой Bitrix24. Повторная доставка формы не должна создавать дубли.</w:t>
      </w:r>
    </w:p>
    <w:p>
      <w:r>
        <w:br w:type="page"/>
      </w:r>
    </w:p>
    <w:p>
      <w:pPr>
        <w:pStyle w:val="Heading1"/>
      </w:pPr>
      <w:r>
        <w:t>1 Цель и область работ</w:t>
      </w:r>
    </w:p>
    <w:p>
      <w:r>
        <w:t>На всех новых страницах pozharnik.kz необходимо реализовать единую систему аналитики. Решение должно работать на Tilda и сохранять возможность переноса на другую CMS.</w:t>
      </w:r>
    </w:p>
    <w:p>
      <w:pPr>
        <w:pStyle w:val="ListBullet"/>
      </w:pPr>
      <w:r>
        <w:t>Отправлять просмотры и целевые действия в GA4.</w:t>
      </w:r>
    </w:p>
    <w:p>
      <w:pPr>
        <w:pStyle w:val="ListBullet"/>
      </w:pPr>
      <w:r>
        <w:t>Сохранять источник первого и последнего визита.</w:t>
      </w:r>
    </w:p>
    <w:p>
      <w:pPr>
        <w:pStyle w:val="ListBullet"/>
      </w:pPr>
      <w:r>
        <w:t>Передавать рекламные и технические идентификаторы вместе с заявкой.</w:t>
      </w:r>
    </w:p>
    <w:p>
      <w:pPr>
        <w:pStyle w:val="ListBullet"/>
      </w:pPr>
      <w:r>
        <w:t>Связывать визит сайта, заявку, сделку Bitrix24 и CRM конверсии.</w:t>
      </w:r>
    </w:p>
    <w:p>
      <w:pPr>
        <w:pStyle w:val="ListBullet"/>
      </w:pPr>
      <w:r>
        <w:t>Исключать дубли лидов и событий.</w:t>
      </w:r>
    </w:p>
    <w:p>
      <w:pPr>
        <w:pStyle w:val="ListBullet"/>
      </w:pPr>
      <w:r>
        <w:t>Соблюдать выбор пользователя в Consent Mode v2.</w:t>
      </w:r>
    </w:p>
    <w:p>
      <w:pPr>
        <w:pStyle w:val="ListBullet"/>
      </w:pPr>
      <w:r>
        <w:t>Не блокировать отправку заявки при сбое аналитики.</w:t>
      </w:r>
    </w:p>
    <w:p>
      <w:pPr>
        <w:pStyle w:val="Heading1"/>
      </w:pPr>
      <w:r>
        <w:t>2 Архитектура</w:t>
      </w:r>
    </w:p>
    <w:p>
      <w:pPr>
        <w:pStyle w:val="Code"/>
      </w:pPr>
      <w:r>
        <w:t>Страница -&gt; GTM -&gt; GA4</w:t>
        <w:br/>
        <w:t xml:space="preserve">        -&gt; форма Tilda или CMS -&gt; Cloud Run -&gt; BigQuery -&gt; Bitrix24</w:t>
        <w:br/>
        <w:t>Bitrix24 -&gt; Cloud Run -&gt; GA4 Measurement Protocol -&gt; BigQuery</w:t>
      </w:r>
    </w:p>
    <w:p>
      <w:r>
        <w:t>API Secret Measurement Protocol хранится только в Google Secret Manager. Запрещено размещать его в HTML, JavaScript, GTM, Tilda, URL или документации для публичного доступа.</w:t>
      </w:r>
    </w:p>
    <w:p>
      <w:pPr>
        <w:pStyle w:val="Heading1"/>
      </w:pPr>
      <w:r>
        <w:t>3 Установка Google Tag Manager</w:t>
      </w:r>
    </w:p>
    <w:p>
      <w:pPr>
        <w:pStyle w:val="Heading2"/>
      </w:pPr>
      <w:r>
        <w:t>3.1 Контейнер</w:t>
      </w:r>
    </w:p>
    <w:p>
      <w:r>
        <w:t>Создать новый веб контейнер Google Tag Manager с названием «pozharnik.kz Production». После создания заменить GTM-XXXXXXX на фактический ID. Старые контейнеры и старые GA4 теги на новых страницах не использовать.</w:t>
      </w:r>
    </w:p>
    <w:p>
      <w:pPr>
        <w:pStyle w:val="Heading2"/>
      </w:pPr>
      <w:r>
        <w:t>3.2 Код в head</w:t>
      </w:r>
    </w:p>
    <w:p>
      <w:pPr>
        <w:pStyle w:val="Code"/>
      </w:pPr>
      <w:r>
        <w:t>&lt;!-- Google Tag Manager --&gt;</w:t>
        <w:br/>
        <w:t>&lt;script&gt;</w:t>
        <w:br/>
        <w:t>(function(w,d,s,l,i){w[l]=w[l]||[];w[l].push({'gtm.start':</w:t>
        <w:br/>
        <w:t>new Date().getTime(),event:'gtm.js'});var f=d.getElementsByTagName(s)[0],</w:t>
        <w:br/>
        <w:t>j=d.createElement(s),dl=l!='dataLayer'?'&amp;l='+l:'';j.async=true;j.src=</w:t>
        <w:br/>
        <w:t>'https://www.googletagmanager.com/gtm.js?id='+i+dl;f.parentNode.insertBefore(j,f);</w:t>
        <w:br/>
        <w:t>})(window,document,'script','dataLayer','GTM-XXXXXXX');</w:t>
        <w:br/>
        <w:t>&lt;/script&gt;</w:t>
        <w:br/>
        <w:t>&lt;!-- End Google Tag Manager --&gt;</w:t>
      </w:r>
    </w:p>
    <w:p>
      <w:pPr>
        <w:pStyle w:val="Heading2"/>
      </w:pPr>
      <w:r>
        <w:t>3.3 Код после открывающего body</w:t>
      </w:r>
    </w:p>
    <w:p>
      <w:pPr>
        <w:pStyle w:val="Code"/>
      </w:pPr>
      <w:r>
        <w:t>&lt;!-- Google Tag Manager (noscript) --&gt;</w:t>
        <w:br/>
        <w:t>&lt;noscript&gt;&lt;iframe src="https://www.googletagmanager.com/ns.html?id=GTM-XXXXXXX"</w:t>
        <w:br/>
        <w:t>height="0" width="0" style="display:none;visibility:hidden"&gt;&lt;/iframe&gt;&lt;/noscript&gt;</w:t>
        <w:br/>
        <w:t>&lt;!-- End Google Tag Manager (noscript) --&gt;</w:t>
      </w:r>
    </w:p>
    <w:p>
      <w:r>
        <w:t>Для Tilda код head добавляется глобально в настройки сайта. Noscript размещается максимально близко к началу body. После изменений необходимо перепубликовать все страницы.</w:t>
      </w:r>
    </w:p>
    <w:p>
      <w:pPr>
        <w:pStyle w:val="Heading1"/>
      </w:pPr>
      <w:r>
        <w:t>4 Настройка GA4 в GTM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71"/>
        <w:gridCol w:w="5071"/>
      </w:tblGrid>
      <w:tr>
        <w:trPr>
          <w:tblHeader w:val="true"/>
        </w:trPr>
        <w:tc>
          <w:tcPr>
            <w:tcW w:type="dxa" w:w="340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Настройка</w:t>
            </w:r>
          </w:p>
        </w:tc>
        <w:tc>
          <w:tcPr>
            <w:tcW w:type="dxa" w:w="5669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Тип тега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Google tag</w:t>
            </w:r>
          </w:p>
        </w:tc>
      </w:tr>
      <w:t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Tag ID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G-K3055R6Y7X</w:t>
            </w:r>
          </w:p>
        </w:tc>
      </w:tr>
      <w:t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Название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GA4 Google tag pozharnik.kz</w:t>
            </w:r>
          </w:p>
        </w:tc>
      </w:tr>
      <w:t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Триггер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Initialization All Pages</w:t>
            </w:r>
          </w:p>
        </w:tc>
      </w:tr>
      <w:t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Enhanced Measurement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Включено в GA4</w:t>
            </w:r>
          </w:p>
        </w:tc>
      </w:tr>
      <w:t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Debug mode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Только GTM Preview</w:t>
            </w:r>
          </w:p>
        </w:tc>
      </w:tr>
    </w:tbl>
    <w:p>
      <w:pPr>
        <w:spacing w:after="20"/>
      </w:pPr>
    </w:p>
    <w:p>
      <w:r>
        <w:t>Нельзя одновременно устанавливать отдельный gtag.js и GA4 через GTM. Должен работать один способ загрузки Google tag, иначе возможны двойные page_view.</w:t>
      </w:r>
    </w:p>
    <w:p>
      <w:pPr>
        <w:pStyle w:val="Heading1"/>
      </w:pPr>
      <w:r>
        <w:t>5 Consent Mode v2</w:t>
      </w:r>
    </w:p>
    <w:p>
      <w:r>
        <w:t>Consent Mode должен выполняться до основного GA4 тега. В GTM использовать Consent Initialization.</w:t>
      </w:r>
    </w:p>
    <w:p>
      <w:pPr>
        <w:pStyle w:val="Heading2"/>
      </w:pPr>
      <w:r>
        <w:t>5.1 Состояние по умолчанию</w:t>
      </w:r>
    </w:p>
    <w:p>
      <w:pPr>
        <w:pStyle w:val="Code"/>
      </w:pPr>
      <w:r>
        <w:t>window.dataLayer = window.dataLayer || [];</w:t>
        <w:br/>
        <w:t>function gtag(){dataLayer.push(arguments);}</w:t>
        <w:br/>
        <w:t>gtag('consent', 'default', {</w:t>
        <w:br/>
        <w:t xml:space="preserve">  analytics_storage: 'denied',</w:t>
        <w:br/>
        <w:t xml:space="preserve">  ad_storage: 'denied',</w:t>
        <w:br/>
        <w:t xml:space="preserve">  ad_user_data: 'denied',</w:t>
        <w:br/>
        <w:t xml:space="preserve">  ad_personalization: 'denied',</w:t>
        <w:br/>
        <w:t xml:space="preserve">  functionality_storage: 'granted',</w:t>
        <w:br/>
        <w:t xml:space="preserve">  security_storage: 'granted',</w:t>
        <w:br/>
        <w:t xml:space="preserve">  wait_for_update: 500</w:t>
        <w:br/>
        <w:t>});</w:t>
      </w:r>
    </w:p>
    <w:p>
      <w:pPr>
        <w:pStyle w:val="Heading2"/>
      </w:pPr>
      <w:r>
        <w:t>5.2 После согласия на аналитику и рекламу</w:t>
      </w:r>
    </w:p>
    <w:p>
      <w:pPr>
        <w:pStyle w:val="Code"/>
      </w:pPr>
      <w:r>
        <w:t>gtag('consent', 'update', {</w:t>
        <w:br/>
        <w:t xml:space="preserve">  analytics_storage: 'granted',</w:t>
        <w:br/>
        <w:t xml:space="preserve">  ad_storage: 'granted',</w:t>
        <w:br/>
        <w:t xml:space="preserve">  ad_user_data: 'granted',</w:t>
        <w:br/>
        <w:t xml:space="preserve">  ad_personalization: 'granted'</w:t>
        <w:br/>
        <w:t>});</w:t>
      </w:r>
    </w:p>
    <w:p>
      <w:pPr>
        <w:pStyle w:val="Heading2"/>
      </w:pPr>
      <w:r>
        <w:t>5.3 После отказа</w:t>
      </w:r>
    </w:p>
    <w:p>
      <w:pPr>
        <w:pStyle w:val="Code"/>
      </w:pPr>
      <w:r>
        <w:t>gtag('consent', 'update', {</w:t>
        <w:br/>
        <w:t xml:space="preserve">  analytics_storage: 'denied',</w:t>
        <w:br/>
        <w:t xml:space="preserve">  ad_storage: 'denied',</w:t>
        <w:br/>
        <w:t xml:space="preserve">  ad_user_data: 'denied',</w:t>
        <w:br/>
        <w:t xml:space="preserve">  ad_personalization: 'denied'</w:t>
        <w:br/>
        <w:t>});</w:t>
      </w:r>
    </w:p>
    <w:p>
      <w:r>
        <w:t>Сохранять дату, версию и значения согласия. Рекомендуемая структура: consent_analytics, consent_ads, consent_timestamp, consent_version.</w:t>
      </w:r>
    </w:p>
    <w:p>
      <w:pPr>
        <w:pStyle w:val="Heading1"/>
      </w:pPr>
      <w:r>
        <w:t>6 Собираемые параметры</w:t>
      </w:r>
    </w:p>
    <w:p>
      <w:pPr>
        <w:pStyle w:val="Heading2"/>
      </w:pPr>
      <w:r>
        <w:t>6.1 Маркетинговые параметры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71"/>
        <w:gridCol w:w="5071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Группа</w:t>
            </w:r>
          </w:p>
        </w:tc>
        <w:tc>
          <w:tcPr>
            <w:tcW w:type="dxa" w:w="6803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Поля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UTM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utm_source, utm_medium, utm_campaign, utm_id, utm_content, utm_term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Click ID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gclid, gbraid, wbraid, gad_source, dclid, yclid, fbclid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Страница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t>referrer, last_landing_page, page_url, page_path, page_title</w:t>
            </w:r>
          </w:p>
        </w:tc>
      </w:tr>
    </w:tbl>
    <w:p>
      <w:pPr>
        <w:spacing w:after="20"/>
      </w:pPr>
    </w:p>
    <w:p>
      <w:pPr>
        <w:pStyle w:val="Heading2"/>
      </w:pPr>
      <w:r>
        <w:t>6.2 Технические параметры</w:t>
      </w:r>
    </w:p>
    <w:p>
      <w:r>
        <w:t>ga_client_id, ga_session_id, ga_session_number, device_type, screen_resolution, browser_language, timezone, form_id, form_name, form_location, button_id, event_id, visit_type, first_visit_at, last_visit_at.</w:t>
      </w:r>
    </w:p>
    <w:p>
      <w:r>
        <w:t>IP адрес не получать JavaScript кодом. Определение IP, GeoIP и ip_hash выполняется на стороне Cloud Run.</w:t>
      </w:r>
    </w:p>
    <w:p>
      <w:pPr>
        <w:pStyle w:val="Heading1"/>
      </w:pPr>
      <w:r>
        <w:t>7 Атрибуция first touch и last touch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71"/>
        <w:gridCol w:w="5071"/>
      </w:tblGrid>
      <w:tr>
        <w:trPr>
          <w:tblHeader w:val="true"/>
        </w:trPr>
        <w:tc>
          <w:tcPr>
            <w:tcW w:type="dxa" w:w="4535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First touch</w:t>
            </w:r>
          </w:p>
        </w:tc>
        <w:tc>
          <w:tcPr>
            <w:tcW w:type="dxa" w:w="4535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Last touch</w:t>
            </w:r>
          </w:p>
        </w:tc>
      </w:tr>
      <w:t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first_utm_source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last_utm_source</w:t>
            </w:r>
          </w:p>
        </w:tc>
      </w:tr>
      <w:t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first_utm_medium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last_utm_medium</w:t>
            </w:r>
          </w:p>
        </w:tc>
      </w:tr>
      <w:t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first_utm_campaign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last_utm_campaign</w:t>
            </w:r>
          </w:p>
        </w:tc>
      </w:tr>
      <w:t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first_utm_content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last_utm_content</w:t>
            </w:r>
          </w:p>
        </w:tc>
      </w:tr>
      <w:t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first_utm_term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last_utm_term</w:t>
            </w:r>
          </w:p>
        </w:tc>
      </w:tr>
      <w:t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first_gclid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last_gclid</w:t>
            </w:r>
          </w:p>
        </w:tc>
      </w:tr>
      <w:t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first_landing_page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last_landing_page</w:t>
            </w:r>
          </w:p>
        </w:tc>
      </w:tr>
      <w:t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first_referrer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last_referrer</w:t>
            </w:r>
          </w:p>
        </w:tc>
      </w:tr>
      <w:t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first_visit_at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last_visit_at</w:t>
            </w:r>
          </w:p>
        </w:tc>
      </w:tr>
    </w:tbl>
    <w:p>
      <w:pPr>
        <w:spacing w:after="20"/>
      </w:pPr>
    </w:p>
    <w:p>
      <w:pPr>
        <w:pStyle w:val="ListBullet"/>
      </w:pPr>
      <w:r>
        <w:t>First touch записывается только один раз.</w:t>
      </w:r>
    </w:p>
    <w:p>
      <w:pPr>
        <w:pStyle w:val="ListBullet"/>
      </w:pPr>
      <w:r>
        <w:t>Last touch обновляется при каждом новом размеченном заходе.</w:t>
      </w:r>
    </w:p>
    <w:p>
      <w:pPr>
        <w:pStyle w:val="ListBullet"/>
      </w:pPr>
      <w:r>
        <w:t>Срок хранения 90 дней.</w:t>
      </w:r>
    </w:p>
    <w:p>
      <w:pPr>
        <w:pStyle w:val="ListBullet"/>
      </w:pPr>
      <w:r>
        <w:t>Внутренние переходы по pozharnik.kz не перезаписывают источник.</w:t>
      </w:r>
    </w:p>
    <w:p>
      <w:pPr>
        <w:pStyle w:val="ListBullet"/>
      </w:pPr>
      <w:r>
        <w:t>При отсутствии UTM используется внешний referrer.</w:t>
      </w:r>
    </w:p>
    <w:p>
      <w:pPr>
        <w:pStyle w:val="ListBullet"/>
      </w:pPr>
      <w:r>
        <w:t>При отсутствии UTM и referrer устанавливается direct / none.</w:t>
      </w:r>
    </w:p>
    <w:p>
      <w:pPr>
        <w:pStyle w:val="ListBullet"/>
      </w:pPr>
      <w:r>
        <w:t>Постоянное хранение выполняется только после требуемого согласия.</w:t>
      </w:r>
    </w:p>
    <w:p>
      <w:pPr>
        <w:pStyle w:val="Heading1"/>
      </w:pPr>
      <w:r>
        <w:t>8 Получение GA4 Client ID и Session ID</w:t>
      </w:r>
    </w:p>
    <w:p>
      <w:r>
        <w:t>Идентификаторы получать через официальный gtag get, не разбирать внутренний формат cookie вручную.</w:t>
      </w:r>
    </w:p>
    <w:p>
      <w:pPr>
        <w:pStyle w:val="Code"/>
      </w:pPr>
      <w:r>
        <w:t>const GA4_ID = 'G-K3055R6Y7X';</w:t>
        <w:br/>
        <w:t>function getGaValue(fieldName) {</w:t>
        <w:br/>
        <w:t xml:space="preserve">  return new Promise((resolve) =&gt; {</w:t>
        <w:br/>
        <w:t xml:space="preserve">    if (typeof window.gtag !== 'function') return resolve('');</w:t>
        <w:br/>
        <w:t xml:space="preserve">    let done = false;</w:t>
        <w:br/>
        <w:t xml:space="preserve">    const timer = setTimeout(() =&gt; { if (!done) { done = true; resolve(''); } }, 1500);</w:t>
        <w:br/>
        <w:t xml:space="preserve">    gtag('get', GA4_ID, fieldName, function(value) {</w:t>
        <w:br/>
        <w:t xml:space="preserve">      if (done) return;</w:t>
        <w:br/>
        <w:t xml:space="preserve">      done = true; clearTimeout(timer);</w:t>
        <w:br/>
        <w:t xml:space="preserve">      resolve(value == null ? '' : String(value));</w:t>
        <w:br/>
        <w:t xml:space="preserve">    });</w:t>
        <w:br/>
        <w:t xml:space="preserve">  });</w:t>
        <w:br/>
        <w:t>}</w:t>
        <w:br/>
        <w:t>async function getGaIdentifiers() {</w:t>
        <w:br/>
        <w:t xml:space="preserve">  const [clientId, sessionId, sessionNumber] = await Promise.all([</w:t>
        <w:br/>
        <w:t xml:space="preserve">    getGaValue('client_id'), getGaValue('session_id'), getGaValue('session_number')</w:t>
        <w:br/>
        <w:t xml:space="preserve">  ]);</w:t>
        <w:br/>
        <w:t xml:space="preserve">  return {ga_client_id: clientId, ga_session_id: sessionId,</w:t>
        <w:br/>
        <w:t xml:space="preserve">          ga_session_number: sessionNumber};</w:t>
        <w:br/>
        <w:t>}</w:t>
      </w:r>
    </w:p>
    <w:p>
      <w:r>
        <w:t>Если analytics_storage отклонён, отсутствие GA идентификаторов не должно блокировать отправку формы.</w:t>
      </w:r>
    </w:p>
    <w:p>
      <w:pPr>
        <w:pStyle w:val="Heading1"/>
      </w:pPr>
      <w:r>
        <w:t>9 Уникальный идентификатор заявки</w:t>
      </w:r>
    </w:p>
    <w:p>
      <w:pPr>
        <w:pStyle w:val="Code"/>
      </w:pPr>
      <w:r>
        <w:t>function createEventId() {</w:t>
        <w:br/>
        <w:t xml:space="preserve">  if (window.crypto &amp;&amp; typeof window.crypto.randomUUID === 'function') {</w:t>
        <w:br/>
        <w:t xml:space="preserve">    return window.crypto.randomUUID();</w:t>
        <w:br/>
        <w:t xml:space="preserve">  }</w:t>
        <w:br/>
        <w:t xml:space="preserve">  return [Date.now().toString(36), Math.random().toString(36).slice(2),</w:t>
        <w:br/>
        <w:t xml:space="preserve">          Math.random().toString(36).slice(2)].join('-');</w:t>
        <w:br/>
        <w:t>}</w:t>
      </w:r>
    </w:p>
    <w:p>
      <w:r>
        <w:t>Один event_id должен использоваться в dataLayer, форме, webhook, Cloud Run, BigQuery и Bitrix24. Повторная доставка с тем же ID не создаёт новый лид или событие.</w:t>
      </w:r>
    </w:p>
    <w:p>
      <w:pPr>
        <w:pStyle w:val="Heading1"/>
      </w:pPr>
      <w:r>
        <w:t>10 Скрытые поля всех форм</w:t>
      </w:r>
    </w:p>
    <w:p>
      <w:pPr>
        <w:pStyle w:val="ListBullet"/>
      </w:pPr>
      <w:r>
        <w:t>event_id, ga_client_id, ga_session_id, ga_session_number</w:t>
      </w:r>
    </w:p>
    <w:p>
      <w:pPr>
        <w:pStyle w:val="ListBullet"/>
      </w:pPr>
      <w:r>
        <w:t>utm_source, utm_medium, utm_campaign, utm_id, utm_content, utm_term</w:t>
      </w:r>
    </w:p>
    <w:p>
      <w:pPr>
        <w:pStyle w:val="ListBullet"/>
      </w:pPr>
      <w:r>
        <w:t>gclid, gbraid, wbraid, gad_source, dclid, yclid, fbclid</w:t>
      </w:r>
    </w:p>
    <w:p>
      <w:pPr>
        <w:pStyle w:val="ListBullet"/>
      </w:pPr>
      <w:r>
        <w:t>first_utm_source, first_utm_medium, first_utm_campaign, first_utm_content, first_utm_term, first_gclid, first_landing_page, first_referrer, first_visit_at</w:t>
      </w:r>
    </w:p>
    <w:p>
      <w:pPr>
        <w:pStyle w:val="ListBullet"/>
      </w:pPr>
      <w:r>
        <w:t>last_utm_source, last_utm_medium, last_utm_campaign, last_utm_content, last_utm_term, last_gclid, last_landing_page, last_referrer, last_visit_at</w:t>
      </w:r>
    </w:p>
    <w:p>
      <w:pPr>
        <w:pStyle w:val="ListBullet"/>
      </w:pPr>
      <w:r>
        <w:t>last_landing_page, page_url, page_path, page_title, referrer</w:t>
      </w:r>
    </w:p>
    <w:p>
      <w:pPr>
        <w:pStyle w:val="ListBullet"/>
      </w:pPr>
      <w:r>
        <w:t>form_id, form_name, form_location, button_id, device_type, screen_resolution, browser_language, timezone, visit_type</w:t>
      </w:r>
    </w:p>
    <w:p>
      <w:pPr>
        <w:pStyle w:val="ListBullet"/>
      </w:pPr>
      <w:r>
        <w:t>consent_analytics, consent_ads, consent_timestamp, consent_version</w:t>
      </w:r>
    </w:p>
    <w:p>
      <w:r>
        <w:t>В Tilda поля создаются как скрытые с пустым исходным значением и заполняются JavaScript перед отправкой формы.</w:t>
      </w:r>
    </w:p>
    <w:p>
      <w:pPr>
        <w:pStyle w:val="Heading1"/>
      </w:pPr>
      <w:r>
        <w:t>11 Базовый код атрибуции и заполнения форм</w:t>
      </w:r>
    </w:p>
    <w:p>
      <w:pPr>
        <w:pStyle w:val="Code"/>
      </w:pPr>
      <w:r>
        <w:t>(function(){</w:t>
        <w:br/>
        <w:t xml:space="preserve">  'use strict';</w:t>
        <w:br/>
        <w:t xml:space="preserve">  const KEY='pozharnik_attribution_v1';</w:t>
        <w:br/>
        <w:t xml:space="preserve">  const TTL=90*24*60*60*1000;</w:t>
        <w:br/>
        <w:t xml:space="preserve">  const PARAMS=['utm_source','utm_medium','utm_campaign','utm_id','utm_content',</w:t>
        <w:br/>
        <w:t xml:space="preserve">    'utm_term','gclid','gbraid','wbraid','gad_source','dclid','yclid','fbclid'];</w:t>
        <w:br/>
        <w:t xml:space="preserve">  const clean=(v,n=500)=&gt;v==null?'':String(v).replace(/[\u0000-\u001F\u007F]/g,'').trim().slice(0,n);</w:t>
        <w:br/>
        <w:t xml:space="preserve">  const now=()=&gt;new Date().toISOString();</w:t>
        <w:br/>
        <w:t xml:space="preserve">  function params(){const q=new URLSearchParams(location.search),o={};PARAMS.forEach(k=&gt;o[k]=clean(q.get(k)));return o;}</w:t>
        <w:br/>
        <w:t xml:space="preserve">  function internal(r){try{return !!r&amp;&amp;new URL(r).hostname===location.hostname}catch(e){return false}}</w:t>
        <w:br/>
        <w:t xml:space="preserve">  function load(){try{const x=JSON.parse(localStorage.getItem(KEY));if(!x||Date.now()-x.saved_at&gt;TTL)return null;return x}catch(e){return null}}</w:t>
        <w:br/>
        <w:t xml:space="preserve">  function save(x){try{localStorage.setItem(KEY,JSON.stringify(x))}catch(e){}}</w:t>
        <w:br/>
        <w:t xml:space="preserve">  function attribution(){</w:t>
        <w:br/>
        <w:t xml:space="preserve">    const u=params(), old=load()||{}, ref=internal(document.referrer)?'':clean(document.referrer,1000);</w:t>
        <w:br/>
        <w:t xml:space="preserve">    const tagged=PARAMS.some(k=&gt;u[k]);</w:t>
        <w:br/>
        <w:t xml:space="preserve">    const cur={...u,last_landing_page:location.href,referrer:ref,visit_at:now()};</w:t>
        <w:br/>
        <w:t xml:space="preserve">    if(!tagged&amp;&amp;ref){try{cur.utm_source=new URL(ref).hostname;cur.utm_medium='referral'}catch(e){}}</w:t>
        <w:br/>
        <w:t xml:space="preserve">    if(!cur.utm_source&amp;&amp;!ref){cur.utm_source='direct';cur.utm_medium='none'}</w:t>
        <w:br/>
        <w:t xml:space="preserve">    const out={saved_at:Date.now(),first:old.first||cur,last:(tagged||ref)?cur:(old.last||cur)};</w:t>
        <w:br/>
        <w:t xml:space="preserve">    save(out); return out;</w:t>
        <w:br/>
        <w:t xml:space="preserve">  }</w:t>
        <w:br/>
        <w:t xml:space="preserve">  function field(form,name,value){let x=form.querySelector('[name="'+name+'"]');if(!x){x=document.createElement('input');x.type='hidden';x.name=name;form.appendChild(x)}x.value=clean(value,1000)}</w:t>
        <w:br/>
        <w:t xml:space="preserve">  async function enrich(form){</w:t>
        <w:br/>
        <w:t xml:space="preserve">    const a=attribution(), ids=await getGaIdentifiers(), values={...ids};</w:t>
        <w:br/>
        <w:t xml:space="preserve">    Object.keys(a.first||{}).forEach(k=&gt;values['first_'+k]=a.first[k]);</w:t>
        <w:br/>
        <w:t xml:space="preserve">    Object.keys(a.last||{}).forEach(k=&gt;values['last_'+k]=a.last[k]);</w:t>
        <w:br/>
        <w:t xml:space="preserve">    values.event_id=form.dataset.leadEventId||createEventId(); form.dataset.leadEventId=values.event_id;</w:t>
        <w:br/>
        <w:t xml:space="preserve">    values.page_url=location.href; values.page_path=location.pathname; values.page_title=document.title;</w:t>
        <w:br/>
        <w:t xml:space="preserve">    values.referrer=document.referrer||''; values.form_id=form.dataset.formid||form.id||'';</w:t>
        <w:br/>
        <w:t xml:space="preserve">    values.form_name=form.dataset.formname||form.name||''; values.form_location=form.dataset.analyticsLocation||'';</w:t>
        <w:br/>
        <w:t xml:space="preserve">    values.device_type=/tablet|ipad/i.test(navigator.userAgent)?'tablet':(/mobile|android|iphone/i.test(navigator.userAgent)?'mobile':'desktop');</w:t>
        <w:br/>
        <w:t xml:space="preserve">    values.screen_resolution=screen.width+'x'+screen.height; values.browser_language=navigator.language||'';</w:t>
        <w:br/>
        <w:t xml:space="preserve">    values.timezone=Intl.DateTimeFormat().resolvedOptions().timeZone||'';</w:t>
        <w:br/>
        <w:t xml:space="preserve">    Object.keys(values).forEach(k=&gt;field(form,k,values[k])); return values;</w:t>
        <w:br/>
        <w:t xml:space="preserve">  }</w:t>
        <w:br/>
        <w:t xml:space="preserve">  function init(){document.querySelectorAll('form').forEach(f=&gt;{enrich(f);f.addEventListener('focusin',()=&gt;enrich(f),{once:true});f.addEventListener('submit',()=&gt;enrich(f),true)})}</w:t>
        <w:br/>
        <w:t xml:space="preserve">  window.pozharnikAnalytics={enrichForm:enrich,buildAttribution:attribution};</w:t>
        <w:br/>
        <w:t xml:space="preserve">  document.readyState==='loading'?document.addEventListener('DOMContentLoaded',init):init();</w:t>
        <w:br/>
        <w:t>})();</w:t>
      </w:r>
    </w:p>
    <w:p>
      <w:r>
        <w:t>Для динамических popup, Zero Block и квизов повторно вызывать enrichForm или использовать MutationObserver. Скрипт не должен повторно навешивать обработчики.</w:t>
      </w:r>
    </w:p>
    <w:p>
      <w:pPr>
        <w:pStyle w:val="Heading1"/>
      </w:pPr>
      <w:r>
        <w:t>12 Контракт dataLayer</w:t>
      </w:r>
    </w:p>
    <w:p>
      <w:pPr>
        <w:pStyle w:val="Heading2"/>
      </w:pPr>
      <w:r>
        <w:t>12.1 Успешная заявка</w:t>
      </w:r>
    </w:p>
    <w:p>
      <w:pPr>
        <w:pStyle w:val="Code"/>
      </w:pPr>
      <w:r>
        <w:t>dataLayer.push({</w:t>
        <w:br/>
        <w:t xml:space="preserve">  event: 'pz_form_success',</w:t>
        <w:br/>
        <w:t xml:space="preserve">  event_id: values.event_id,</w:t>
        <w:br/>
        <w:t xml:space="preserve">  form_id: values.form_id,</w:t>
        <w:br/>
        <w:t xml:space="preserve">  form_name: values.form_name,</w:t>
        <w:br/>
        <w:t xml:space="preserve">  form_location: values.form_location,</w:t>
        <w:br/>
        <w:t xml:space="preserve">  service_type: form.dataset.serviceType || ''</w:t>
        <w:br/>
        <w:t>});</w:t>
      </w:r>
    </w:p>
    <w:p>
      <w:pPr>
        <w:pStyle w:val="Heading2"/>
      </w:pPr>
      <w:r>
        <w:t>12.2 Tilda aftersuccess</w:t>
      </w:r>
    </w:p>
    <w:p>
      <w:pPr>
        <w:pStyle w:val="Code"/>
      </w:pPr>
      <w:r>
        <w:t>document.querySelectorAll('.js-form-proccess').forEach(function(form){</w:t>
        <w:br/>
        <w:t xml:space="preserve">  if(form.dataset.analyticsSuccessBound==='1') return;</w:t>
        <w:br/>
        <w:t xml:space="preserve">  form.dataset.analyticsSuccessBound='1';</w:t>
        <w:br/>
        <w:t xml:space="preserve">  form.addEventListener('tildaform:aftersuccess', async function(){</w:t>
        <w:br/>
        <w:t xml:space="preserve">    const values=await window.pozharnikAnalytics.enrichForm(form);</w:t>
        <w:br/>
        <w:t xml:space="preserve">    window.dataLayer=window.dataLayer||[];</w:t>
        <w:br/>
        <w:t xml:space="preserve">    dataLayer.push({event:'pz_form_success',event_id:values.event_id,</w:t>
        <w:br/>
        <w:t xml:space="preserve">      form_id:values.form_id,form_name:values.form_name,</w:t>
        <w:br/>
        <w:t xml:space="preserve">      form_location:values.form_location,service_type:form.dataset.serviceType||'',</w:t>
        <w:br/>
        <w:t xml:space="preserve">      transaction_id:form.tildaTranId||''});</w:t>
        <w:br/>
        <w:t xml:space="preserve">  });</w:t>
        <w:br/>
        <w:t>});</w:t>
      </w:r>
    </w:p>
    <w:p>
      <w:r>
        <w:t>pz_form_success отправляется только после успешного ответа формы. Стандартное событие generate_lead формируется тегом GTM из pz_form_success с тем же event_id. Клик по кнопке и ошибка валидации не считаются лидом.</w:t>
      </w:r>
    </w:p>
    <w:p>
      <w:pPr>
        <w:pStyle w:val="Heading1"/>
      </w:pPr>
      <w:r>
        <w:t>13 События сайта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Событие</w:t>
            </w:r>
          </w:p>
        </w:tc>
        <w:tc>
          <w:tcPr>
            <w:tcW w:type="dxa" w:w="340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Условие</w:t>
            </w:r>
          </w:p>
        </w:tc>
        <w:tc>
          <w:tcPr>
            <w:tcW w:type="dxa" w:w="340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Параметры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page_view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Просмотр страницы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page URL, title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t>pz_view_service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Просмотр услуги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service_type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t>pz_form_start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Первое взаимодействие с формой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form_id, form_location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t>pz_quiz_start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Начало квиза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quiz_id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t>pz_quiz_progress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Переход между шагами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quiz_id, step_number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generate_lead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Успешная заявка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event_id, form_id, service_type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t>pz_cta_click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Клик tel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link_location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t>pz_cta_click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Переход WhatsApp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link_location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t>pz_cta_click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Переход Telegram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link_location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t>pz_download_document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Скачивание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file_name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t>pz_calculator_complete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Расчёт завершён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result_range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t>pz_survey_request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Заявка на обследование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object_type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t>pz_form_error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Техническая ошибка формы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form_id, error_type</w:t>
            </w:r>
          </w:p>
        </w:tc>
      </w:tr>
    </w:tbl>
    <w:p>
      <w:pPr>
        <w:spacing w:after="20"/>
      </w:pPr>
    </w:p>
    <w:p>
      <w:pPr>
        <w:pStyle w:val="Heading1"/>
      </w:pPr>
      <w:r>
        <w:t>14 Ограничения по персональным данным</w:t>
      </w:r>
    </w:p>
    <w:p>
      <w:r>
        <w:t>В GA4 и dataLayer запрещено передавать имя, телефон, email, ИИН, БИН, полный адрес, комментарии клиента и содержимое свободных текстовых полей. Полные данные формы передаются только в разрешённые CRM и серверные системы.</w:t>
      </w:r>
    </w:p>
    <w:p>
      <w:r>
        <w:t>Для квиза использовать нормализованные значения: object_type, object_area_range, building_purpose, city, has_aps, has_project, service_type, urgency, quiz_id, quiz_step.</w:t>
      </w:r>
    </w:p>
    <w:p>
      <w:pPr>
        <w:pStyle w:val="Heading1"/>
      </w:pPr>
      <w:r>
        <w:t>15 Настройка Tilda Webhook</w:t>
      </w:r>
    </w:p>
    <w:p>
      <w:pPr>
        <w:pStyle w:val="ListNumber"/>
      </w:pPr>
      <w:r>
        <w:t>Открыть Настройки сайта -&gt; Формы -&gt; Webhook.</w:t>
      </w:r>
    </w:p>
    <w:p>
      <w:pPr>
        <w:pStyle w:val="ListNumber"/>
      </w:pPr>
      <w:r>
        <w:t>Указать production URL Cloud Run, подтверждённый владельцем интеграции. Базовый адрес: https://tilda-webhook-to-bigquery-324633937237.europe-west3.run.app</w:t>
      </w:r>
    </w:p>
    <w:p>
      <w:pPr>
        <w:pStyle w:val="ListNumber"/>
      </w:pPr>
      <w:r>
        <w:t>Подключить webhook к каждой форме.</w:t>
      </w:r>
    </w:p>
    <w:p>
      <w:pPr>
        <w:pStyle w:val="ListNumber"/>
      </w:pPr>
      <w:r>
        <w:t>Передачу cookies включать только в соответствии с политикой и согласием.</w:t>
      </w:r>
    </w:p>
    <w:p>
      <w:pPr>
        <w:pStyle w:val="ListNumber"/>
      </w:pPr>
      <w:r>
        <w:t>Перепубликовать страницы.</w:t>
      </w:r>
    </w:p>
    <w:p>
      <w:pPr>
        <w:pStyle w:val="ListNumber"/>
      </w:pPr>
      <w:r>
        <w:t>Проверить ответ обработчика менее чем за 5 секунд.</w:t>
      </w:r>
    </w:p>
    <w:p>
      <w:r>
        <w:t>Повторные попытки Tilda должны дедуплицироваться по event_id и tranid.</w:t>
      </w:r>
    </w:p>
    <w:p>
      <w:pPr>
        <w:pStyle w:val="Heading1"/>
      </w:pPr>
      <w:r>
        <w:t>16 Передача в Bitrix24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71"/>
        <w:gridCol w:w="5071"/>
      </w:tblGrid>
      <w:tr>
        <w:trPr>
          <w:tblHeader w:val="true"/>
        </w:trPr>
        <w:tc>
          <w:tcPr>
            <w:tcW w:type="dxa" w:w="3969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Поле сайта</w:t>
            </w:r>
          </w:p>
        </w:tc>
        <w:tc>
          <w:tcPr>
            <w:tcW w:type="dxa" w:w="510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Назначение в Bitrix24</w:t>
            </w:r>
          </w:p>
        </w:tc>
      </w:tr>
      <w:t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ga_client_id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GA4 Client ID</w:t>
            </w:r>
          </w:p>
        </w:tc>
      </w:tr>
      <w:t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ga_session_id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GA4 Session ID</w:t>
            </w:r>
          </w:p>
        </w:tc>
      </w:tr>
      <w:t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ga_session_number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GA4 Session Number</w:t>
            </w:r>
          </w:p>
        </w:tc>
      </w:tr>
      <w:t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t>event_id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Event ID</w:t>
            </w:r>
          </w:p>
        </w:tc>
      </w:tr>
      <w:t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utm_source / medium / campaign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UTM поля</w:t>
            </w:r>
          </w:p>
        </w:tc>
      </w:tr>
      <w:t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utm_content / term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UTM Content и Term</w:t>
            </w:r>
          </w:p>
        </w:tc>
      </w:tr>
      <w:t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gclid / gbraid / wbraid / dclid / fbclid / gad_source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Google/Facebook click ID и признак расширенных конверсий Google Ads</w:t>
            </w:r>
          </w:p>
        </w:tc>
      </w:tr>
      <w:t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yclid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Yandex click ID</w:t>
            </w:r>
          </w:p>
        </w:tc>
      </w:tr>
      <w:t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first_landing_page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Первая посадочная страница визита</w:t>
            </w:r>
          </w:p>
        </w:tc>
      </w:tr>
      <w:t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last_landing_page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Последняя посадочная страница текущего визита</w:t>
            </w:r>
          </w:p>
        </w:tc>
      </w:tr>
      <w:t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page_url / page_path / page_title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Страница отправки обращения (URL, путь, заголовок)</w:t>
            </w:r>
          </w:p>
        </w:tc>
      </w:tr>
      <w:t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first_referrer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Источник перехода первого визита</w:t>
            </w:r>
          </w:p>
        </w:tc>
      </w:tr>
      <w:t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last_referrer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Источник перехода последнего визита</w:t>
            </w:r>
          </w:p>
        </w:tc>
      </w:tr>
      <w:t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form_id / form_name / form_location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Форма, её название и расположение на странице</w:t>
            </w:r>
          </w:p>
        </w:tc>
      </w:tr>
      <w:t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device_type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Тип устройства</w:t>
            </w:r>
          </w:p>
        </w:tc>
      </w:tr>
      <w:t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first_visit_at / last_visit_at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Визиты</w:t>
            </w:r>
          </w:p>
        </w:tc>
      </w:tr>
      <w:t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consent_*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Состояние и дата согласия</w:t>
            </w:r>
          </w:p>
        </w:tc>
      </w:tr>
      <w:tr>
        <w:tc>
          <w:tcPr>
            <w:tcW w:type="dxa" w:w="5071"/>
          </w:tcPr>
          <w:p>
            <w:r>
              <w:t>customer_type</w:t>
            </w:r>
          </w:p>
        </w:tc>
        <w:tc>
          <w:tcPr>
            <w:tcW w:type="dxa" w:w="5071"/>
          </w:tcPr>
          <w:p>
            <w:r>
              <w:t>UF_CRM_CUSTOMER_TYPE; new по умолчанию, existing только для действующего обслуживания</w:t>
            </w:r>
          </w:p>
        </w:tc>
      </w:tr>
      <w:tr>
        <w:tc>
          <w:tcPr>
            <w:tcW w:type="dxa" w:w="5071"/>
          </w:tcPr>
          <w:p>
            <w:r>
              <w:t>consent_marketing</w:t>
            </w:r>
          </w:p>
        </w:tc>
        <w:tc>
          <w:tcPr>
            <w:tcW w:type="dxa" w:w="5071"/>
          </w:tcPr>
          <w:p>
            <w:r>
              <w:t>UF_CRM_CONSENT_MARKETING; granted/denied, отдельное от Consent Mode</w:t>
            </w:r>
          </w:p>
        </w:tc>
      </w:tr>
    </w:tbl>
    <w:p>
      <w:pPr>
        <w:spacing w:after="20"/>
      </w:pPr>
    </w:p>
    <w:p>
      <w:pPr>
        <w:pStyle w:val="Heading2"/>
      </w:pPr>
      <w:r>
        <w:t>16.1 Дедупликация</w:t>
      </w:r>
    </w:p>
    <w:p>
      <w:pPr>
        <w:pStyle w:val="ListNumber"/>
      </w:pPr>
      <w:r>
        <w:t>event_id</w:t>
      </w:r>
    </w:p>
    <w:p>
      <w:pPr>
        <w:pStyle w:val="ListNumber"/>
      </w:pPr>
      <w:r>
        <w:t>tranid Tilda</w:t>
      </w:r>
    </w:p>
    <w:p>
      <w:pPr>
        <w:pStyle w:val="ListNumber"/>
      </w:pPr>
      <w:r>
        <w:t>нормализованный телефон</w:t>
      </w:r>
    </w:p>
    <w:p>
      <w:pPr>
        <w:pStyle w:val="ListNumber"/>
      </w:pPr>
      <w:r>
        <w:t>email в lowercase</w:t>
      </w:r>
    </w:p>
    <w:p>
      <w:pPr>
        <w:pStyle w:val="ListNumber"/>
      </w:pPr>
      <w:r>
        <w:t>телефон или email плюс временное окно</w:t>
      </w:r>
    </w:p>
    <w:p>
      <w:r>
        <w:t>Повторная доставка не должна создавать вторую сделку, повторное событие generate_lead, повторную задачу или вторую запись очереди офлайн конверсий.</w:t>
      </w:r>
    </w:p>
    <w:p>
      <w:pPr>
        <w:pStyle w:val="Heading1"/>
      </w:pPr>
      <w:r>
        <w:t>17 Правила именования форм</w:t>
      </w:r>
    </w:p>
    <w:p>
      <w:pPr>
        <w:pStyle w:val="Code"/>
      </w:pPr>
      <w:r>
        <w:t>&lt;form id="form-survey-hero"</w:t>
        <w:br/>
        <w:t xml:space="preserve">      data-formname="Заявка на обследование"</w:t>
        <w:br/>
        <w:t xml:space="preserve">      data-analytics-location="hero"</w:t>
        <w:br/>
        <w:t xml:space="preserve">      data-service-type="survey"&gt;</w:t>
        <w:br/>
        <w:t>&lt;/form&gt;</w:t>
      </w:r>
    </w:p>
    <w:p>
      <w:r>
        <w:t>Формат: form-{service_type}-{location}. Примеры: form-survey-hero, form-maintenance-footer, form-installation-calculator, form-design-popup, form-emergency-header. Имена form1, form2 и button123 запрещены.</w:t>
      </w:r>
    </w:p>
    <w:p>
      <w:pPr>
        <w:pStyle w:val="Heading1"/>
      </w:pPr>
      <w:r>
        <w:t>18 Состав контейнера GTM</w:t>
      </w:r>
    </w:p>
    <w:p>
      <w:r>
        <w:t>Переменные Data Layer Version 2: DLV event_id, form_id, form_name, form_location, service_type, object_type, object_area_range, city, quiz_id, quiz_step.</w:t>
      </w:r>
    </w:p>
    <w:p>
      <w:r>
        <w:t>GA4 Event Tags: generate_lead, pz_form_start, pz_quiz_start, pz_quiz_progress, pz_cta_click, pz_cta_click, pz_cta_click, pz_download_document, pz_calculator_complete, pz_form_error.</w:t>
      </w:r>
    </w:p>
    <w:p>
      <w:r>
        <w:t>Каждый тег использует G-K3055R6Y7X. Для generate_lead обязательны event_id, form_id, form_name, form_location и service_type.</w:t>
      </w:r>
    </w:p>
    <w:p>
      <w:pPr>
        <w:pStyle w:val="Heading1"/>
      </w:pPr>
      <w:r>
        <w:t>19 Отказоустойчивость и безопасность</w:t>
      </w:r>
    </w:p>
    <w:p>
      <w:pPr>
        <w:pStyle w:val="ListBullet"/>
      </w:pPr>
      <w:r>
        <w:t>Аналитика не блокирует отправку заявки.</w:t>
      </w:r>
    </w:p>
    <w:p>
      <w:pPr>
        <w:pStyle w:val="ListBullet"/>
      </w:pPr>
      <w:r>
        <w:t>Ожидание GA идентификаторов не превышает 1,5 секунды.</w:t>
      </w:r>
    </w:p>
    <w:p>
      <w:pPr>
        <w:pStyle w:val="ListBullet"/>
      </w:pPr>
      <w:r>
        <w:t>Сбой GTM, GA4 или localStorage не ломает форму.</w:t>
      </w:r>
    </w:p>
    <w:p>
      <w:pPr>
        <w:pStyle w:val="ListBullet"/>
      </w:pPr>
      <w:r>
        <w:t>API Secret отсутствует в клиентском коде.</w:t>
      </w:r>
    </w:p>
    <w:p>
      <w:pPr>
        <w:pStyle w:val="ListBullet"/>
      </w:pPr>
      <w:r>
        <w:t>Свободный текст и PII не отправляются в GA4.</w:t>
      </w:r>
    </w:p>
    <w:p>
      <w:pPr>
        <w:pStyle w:val="ListBullet"/>
      </w:pPr>
      <w:r>
        <w:t>Скрипт не зависит от внутреннего формата cookies.</w:t>
      </w:r>
    </w:p>
    <w:p>
      <w:pPr>
        <w:pStyle w:val="ListBullet"/>
      </w:pPr>
      <w:r>
        <w:t>Обработчики не навешиваются повторно.</w:t>
      </w:r>
    </w:p>
    <w:p>
      <w:pPr>
        <w:pStyle w:val="ListBullet"/>
      </w:pPr>
      <w:r>
        <w:t>В консоли браузера отсутствуют необработанные ошибки.</w:t>
      </w:r>
    </w:p>
    <w:p>
      <w:pPr>
        <w:pStyle w:val="Heading1"/>
      </w:pPr>
      <w:r>
        <w:t>20 План тестирования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81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Тест</w:t>
            </w:r>
          </w:p>
        </w:tc>
        <w:tc>
          <w:tcPr>
            <w:tcW w:type="dxa" w:w="3515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Действие</w:t>
            </w:r>
          </w:p>
        </w:tc>
        <w:tc>
          <w:tcPr>
            <w:tcW w:type="dxa" w:w="374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Ожидаемый результат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Google Ads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Открыть URL с UTM и gclid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Все значения дошли в форму, BigQuery и Bitrix24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Прямой заход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Открыть URL без меток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direct / none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Повторный визит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Первый google/cpc, затем instagram/social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First сохранён, Last обновлён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Отказ от cookies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Отклонить аналитику и рекламу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Форма работает, GA IDs могут быть пустыми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Двойной клик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Дважды нажать отправку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Одна заявка, один event_id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Ошибка формы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Не пройти валидацию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Нет generate_lead и сделки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Успешная форма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Отправить валидную заявку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Событие после aftersuccess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Полная цепочка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Проверить все системы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6"/>
              </w:rPr>
              <w:t>Страница -&gt; GA4/Tilda -&gt; Cloud Run -&gt; BigQuery -&gt; Bitrix24</w:t>
            </w:r>
          </w:p>
        </w:tc>
      </w:tr>
    </w:tbl>
    <w:p>
      <w:pPr>
        <w:spacing w:after="20"/>
      </w:pPr>
    </w:p>
    <w:p>
      <w:pPr>
        <w:pStyle w:val="Heading2"/>
      </w:pPr>
      <w:r>
        <w:t>20.1 Тестовый URL</w:t>
      </w:r>
    </w:p>
    <w:p>
      <w:pPr>
        <w:pStyle w:val="Code"/>
      </w:pPr>
      <w:r>
        <w:t>https://pozharnik.kz/test/?utm_source=google&amp;utm_medium=cpc&amp;utm_campaign=aps_almaty_search&amp;utm_content=ad_01&amp;utm_term=montazh_aps&amp;gclid=test_gclid_001</w:t>
      </w:r>
    </w:p>
    <w:p>
      <w:pPr>
        <w:pStyle w:val="Heading1"/>
      </w:pPr>
      <w:r>
        <w:t>21 Критерии приёмки</w:t>
      </w:r>
    </w:p>
    <w:p>
      <w:pPr>
        <w:pStyle w:val="ListBullet"/>
      </w:pPr>
      <w:r>
        <w:t>☐ На странице нет старых GTM и GA4 контейнеров.</w:t>
      </w:r>
    </w:p>
    <w:p>
      <w:pPr>
        <w:pStyle w:val="ListBullet"/>
      </w:pPr>
      <w:r>
        <w:t>☐ Работает G-K3055R6Y7X.</w:t>
      </w:r>
    </w:p>
    <w:p>
      <w:pPr>
        <w:pStyle w:val="ListBullet"/>
      </w:pPr>
      <w:r>
        <w:t>☐ Нет двойных page_view.</w:t>
      </w:r>
    </w:p>
    <w:p>
      <w:pPr>
        <w:pStyle w:val="ListBullet"/>
      </w:pPr>
      <w:r>
        <w:t>☐ generate_lead появляется только после успешной формы.</w:t>
      </w:r>
    </w:p>
    <w:p>
      <w:pPr>
        <w:pStyle w:val="ListBullet"/>
      </w:pPr>
      <w:r>
        <w:t>☐ GA4 получает client_id и session_id при наличии согласия.</w:t>
      </w:r>
    </w:p>
    <w:p>
      <w:pPr>
        <w:pStyle w:val="ListBullet"/>
      </w:pPr>
      <w:r>
        <w:t>☐ Bitrix24 получает UTM, click ID и технические поля.</w:t>
      </w:r>
    </w:p>
    <w:p>
      <w:pPr>
        <w:pStyle w:val="ListBullet"/>
      </w:pPr>
      <w:r>
        <w:t>☐ First touch не перезаписывается, Last touch обновляется.</w:t>
      </w:r>
    </w:p>
    <w:p>
      <w:pPr>
        <w:pStyle w:val="ListBullet"/>
      </w:pPr>
      <w:r>
        <w:t>☐ Отказ пользователя соблюдается.</w:t>
      </w:r>
    </w:p>
    <w:p>
      <w:pPr>
        <w:pStyle w:val="ListBullet"/>
      </w:pPr>
      <w:r>
        <w:t>☐ Персональные данные не попадают в GA4.</w:t>
      </w:r>
    </w:p>
    <w:p>
      <w:pPr>
        <w:pStyle w:val="ListBullet"/>
      </w:pPr>
      <w:r>
        <w:t>☐ API Secret отсутствует в HTML и GTM.</w:t>
      </w:r>
    </w:p>
    <w:p>
      <w:pPr>
        <w:pStyle w:val="ListBullet"/>
      </w:pPr>
      <w:r>
        <w:t>☐ Повтор webhook не создаёт дубль.</w:t>
      </w:r>
    </w:p>
    <w:p>
      <w:pPr>
        <w:pStyle w:val="ListBullet"/>
      </w:pPr>
      <w:r>
        <w:t>☐ События видны в GA4 DebugView.</w:t>
      </w:r>
    </w:p>
    <w:p>
      <w:pPr>
        <w:pStyle w:val="ListBullet"/>
      </w:pPr>
      <w:r>
        <w:t>☐ Заявка присутствует в BigQuery и связана со сделкой Bitrix24.</w:t>
      </w:r>
    </w:p>
    <w:p>
      <w:pPr>
        <w:pStyle w:val="ListBullet"/>
      </w:pPr>
      <w:r>
        <w:t>☐ Все страницы проверены в GTM Preview.</w:t>
      </w:r>
    </w:p>
    <w:p>
      <w:pPr>
        <w:pStyle w:val="ListBullet"/>
      </w:pPr>
      <w:r>
        <w:t>☐ Разработчик передал JSON экспорт опубликованного GTM и таблицу страница -&gt; форма -&gt; form_id -&gt; service_type.</w:t>
      </w:r>
    </w:p>
    <w:p>
      <w:pPr>
        <w:pStyle w:val="Heading1"/>
      </w:pPr>
      <w:r>
        <w:t>22 Передаваемые результаты</w:t>
      </w:r>
    </w:p>
    <w:p>
      <w:pPr>
        <w:pStyle w:val="ListBullet"/>
      </w:pPr>
      <w:r>
        <w:t>Опубликованный GTM контейнер.</w:t>
      </w:r>
    </w:p>
    <w:p>
      <w:pPr>
        <w:pStyle w:val="ListBullet"/>
      </w:pPr>
      <w:r>
        <w:t>JSON экспорт версии GTM.</w:t>
      </w:r>
    </w:p>
    <w:p>
      <w:pPr>
        <w:pStyle w:val="ListBullet"/>
      </w:pPr>
      <w:r>
        <w:t>Исходный JavaScript файл аналитики.</w:t>
      </w:r>
    </w:p>
    <w:p>
      <w:pPr>
        <w:pStyle w:val="ListBullet"/>
      </w:pPr>
      <w:r>
        <w:t>Таблица страниц и форм.</w:t>
      </w:r>
    </w:p>
    <w:p>
      <w:pPr>
        <w:pStyle w:val="ListBullet"/>
      </w:pPr>
      <w:r>
        <w:t>Протокол тестирования с event_id тестовых заявок.</w:t>
      </w:r>
    </w:p>
    <w:p>
      <w:pPr>
        <w:pStyle w:val="ListBullet"/>
      </w:pPr>
      <w:r>
        <w:t>Список созданных полей Bitrix24 и их технических кодов.</w:t>
      </w:r>
    </w:p>
    <w:p>
      <w:pPr>
        <w:pStyle w:val="ListBullet"/>
      </w:pPr>
      <w:r>
        <w:t>Подтверждение данных в GA4 DebugView, BigQuery и Bitrix24.</w:t>
      </w:r>
    </w:p>
    <w:p>
      <w:pPr>
        <w:pStyle w:val="Heading1"/>
      </w:pPr>
      <w:r>
        <w:t>23 Ссылки на документацию</w:t>
      </w:r>
    </w:p>
    <w:p>
      <w:r>
        <w:t>Consent Mode: https://developers.google.com/tag-platform/security/concepts/consent-mode</w:t>
      </w:r>
    </w:p>
    <w:p>
      <w:r>
        <w:t>Google tag API get: https://developers.google.com/tag-platform/gtagjs/reference</w:t>
      </w:r>
    </w:p>
    <w:p>
      <w:r>
        <w:t>GA4 Measurement Protocol: https://developers.google.com/analytics/devguides/collection/protocol/ga4/sending-events</w:t>
      </w:r>
    </w:p>
    <w:p>
      <w:r>
        <w:t>GTM Data Layer: https://support.google.com/tagmanager/answer/13352957</w:t>
      </w:r>
    </w:p>
    <w:p>
      <w:r>
        <w:t>GTM Form Submission: https://support.google.com/tagmanager/answer/7679217</w:t>
      </w:r>
    </w:p>
    <w:p>
      <w:r>
        <w:t>Tilda Webhook: https://help.tilda.cc/forms/webhook</w:t>
      </w:r>
    </w:p>
    <w:p>
      <w:r>
        <w:t>Tilda Hidden Fields: https://help.tilda.cc/forms-hidden-field</w:t>
      </w:r>
    </w:p>
    <w:p>
      <w:r>
        <w:t>Tilda aftersuccess: https://help.tilda.cc/tips/javascript</w:t>
      </w:r>
    </w:p>
    <w:p>
      <w:pPr>
        <w:pStyle w:val="Heading1"/>
      </w:pPr>
      <w:r>
        <w:t>24 Единый контракт данных</w:t>
      </w:r>
    </w:p>
    <w:p>
      <w:r>
        <w:t>При расхождении терминов приоритет имеет приложение «Единый контракт данных Pozharnik v1.1». Для новых страниц обязательна версия схемы 2.1.</w:t>
      </w:r>
    </w:p>
    <w:p>
      <w:pPr>
        <w:pStyle w:val="ListBullet"/>
      </w:pPr>
      <w:r>
        <w:t>Браузер создает event_id до отправки формы. Cloud Run сохраняет корректное значение, а при его отсутствии создает новое; полученный корректный ID не изменяется.</w:t>
      </w:r>
    </w:p>
    <w:p>
      <w:pPr>
        <w:pStyle w:val="ListBullet"/>
      </w:pPr>
      <w:r>
        <w:t>В каждый payload добавляются event_name, schema_version=2.1, source_system, event_id и sent_at.</w:t>
      </w:r>
    </w:p>
    <w:p>
      <w:pPr>
        <w:pStyle w:val="ListBullet"/>
      </w:pPr>
      <w:r>
        <w:t>GA4 использует ga_client_id, ga_session_id и ga_session_number. visitor_id является отдельным анонимным идентификатором сайта.</w:t>
      </w:r>
    </w:p>
    <w:p>
      <w:pPr>
        <w:pStyle w:val="ListBullet"/>
      </w:pPr>
      <w:r>
        <w:t>Канонические страницы: first_landing_page, last_landing_page, page_url и page_path. Поля entry_page и entry_path не создавать.</w:t>
      </w:r>
    </w:p>
    <w:p>
      <w:pPr>
        <w:pStyle w:val="ListBullet"/>
      </w:pPr>
      <w:r>
        <w:t>Добавить os, platform, time_on_page_seconds, max_scroll_percent, cta_text, object_area и project_exists, когда параметр применим к странице или форме.</w:t>
      </w:r>
    </w:p>
    <w:p>
      <w:pPr>
        <w:pStyle w:val="ListBullet"/>
      </w:pPr>
      <w:r>
        <w:t>Веб-события имеют префикс pz_. Стандартное GA4-событие generate_lead формируется из pz_form_success и использует тот же event_id.</w:t>
      </w:r>
    </w:p>
    <w:p>
      <w:r>
        <w:t>Каноническая последовательность: pz_form_start — начало формы; pz_form_submit — попытка отправки; pz_form_success — успешный ответ формы; generate_lead — производное событие GA4 с тем же event_id; pz_cta_click — клик CTA с параметрами cta_location, cta_text и service_type.</w:t>
      </w:r>
    </w:p>
    <w:p>
      <w:pPr>
        <w:pStyle w:val="Heading1"/>
      </w:pPr>
      <w:r>
        <w:t>17 Изменения в версии 1.2</w:t>
      </w:r>
    </w:p>
    <w:p>
      <w:pPr>
        <w:pStyle w:val="ListBullet"/>
      </w:pPr>
      <w:r>
        <w:t>Версия 1.2 (17 сентября 2026), по итогам сквозной сверки с единым контрактом данных v1.1 и ТЗ Bitrix24 v1.7: в разделе 16 добавлены first_landing_page, page_path, page_title, form_name и недостающие click-ID (dclid, fbclid, gad_source); поле referrer в передаче в Bitrix24 разделено на first_referrer и last_referrer.</w:t>
      </w:r>
    </w:p>
    <w:p>
      <w:pPr>
        <w:pStyle w:val="Heading1"/>
        <w:pageBreakBefore/>
        <w:spacing w:before="120" w:after="160"/>
      </w:pPr>
      <w:r>
        <w:t>Согласованная редакция 1.4</w:t>
      </w:r>
    </w:p>
    <w:p>
      <w:r>
        <w:rPr>
          <w:b/>
        </w:rPr>
        <w:t xml:space="preserve">Дата согласования: </w:t>
      </w:r>
      <w:r>
        <w:t xml:space="preserve">22 сентября 2026 года. </w:t>
      </w:r>
      <w:r>
        <w:rPr>
          <w:b/>
        </w:rPr>
        <w:t xml:space="preserve">Статус: </w:t>
      </w:r>
      <w:r>
        <w:t>внедрено и опубликовано.</w:t>
      </w:r>
    </w:p>
    <w:p>
      <w:pPr>
        <w:spacing w:after="200"/>
      </w:pPr>
      <w:r>
        <w:t>Эта редакция устраняет расхождения между сайтом, GTM, GA4, Cloud Run, BigQuery и Bitrix24. При конфликте с предыдущими формулировками применяется приведенная ниже матрица. Новые поля и интеграции должны использовать только канонические технические имена.</w:t>
      </w:r>
    </w:p>
    <w:p>
      <w:pPr>
        <w:pStyle w:val="Heading2"/>
      </w:pPr>
      <w:r>
        <w:t>Согласованная матрица полей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3"/>
        <w:gridCol w:w="2493"/>
        <w:gridCol w:w="2493"/>
        <w:gridCol w:w="2493"/>
      </w:tblGrid>
      <w:tr>
        <w:trPr>
          <w:tblHeader/>
        </w:trPr>
        <w:tc>
          <w:tcPr>
            <w:tcW w:type="dxa" w:w="1757"/>
            <w:shd w:fill="173B4D"/>
            <w:vAlign w:val="center"/>
          </w:tcPr>
          <w:p>
            <w:r>
              <w:rPr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3458"/>
            <w:shd w:fill="173B4D"/>
            <w:vAlign w:val="center"/>
          </w:tcPr>
          <w:p>
            <w:r>
              <w:rPr>
                <w:b/>
                <w:color w:val="FFFFFF"/>
                <w:sz w:val="18"/>
              </w:rPr>
              <w:t>Сайт GTM GA4 вебхук</w:t>
            </w:r>
          </w:p>
        </w:tc>
        <w:tc>
          <w:tcPr>
            <w:tcW w:type="dxa" w:w="2948"/>
            <w:shd w:fill="173B4D"/>
            <w:vAlign w:val="center"/>
          </w:tcPr>
          <w:p>
            <w:r>
              <w:rPr>
                <w:b/>
                <w:color w:val="FFFFFF"/>
                <w:sz w:val="18"/>
              </w:rPr>
              <w:t>Bitrix24</w:t>
            </w:r>
          </w:p>
        </w:tc>
        <w:tc>
          <w:tcPr>
            <w:tcW w:type="dxa" w:w="2268"/>
            <w:shd w:fill="173B4D"/>
            <w:vAlign w:val="center"/>
          </w:tcPr>
          <w:p>
            <w:r>
              <w:rPr>
                <w:b/>
                <w:color w:val="FFFFFF"/>
                <w:sz w:val="18"/>
              </w:rPr>
              <w:t>Правило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Предмет обращения</w:t>
            </w:r>
          </w:p>
        </w:tc>
        <w:tc>
          <w:tcPr>
            <w:tcW w:type="dxa" w:w="345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service_type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UF_CRM_SERVICE_TYPE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Поле service запрещено и не создается</w:t>
            </w:r>
          </w:p>
        </w:tc>
      </w:tr>
      <w:tr>
        <w:tc>
          <w:tcPr>
            <w:tcW w:type="dxa" w:w="1757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Поисковая фраза</w:t>
            </w:r>
          </w:p>
        </w:tc>
        <w:tc>
          <w:tcPr>
            <w:tcW w:type="dxa" w:w="3458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search_term</w:t>
            </w:r>
          </w:p>
        </w:tc>
        <w:tc>
          <w:tcPr>
            <w:tcW w:type="dxa" w:w="2948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UF_CRM_SEARCH_TERM</w:t>
            </w:r>
          </w:p>
        </w:tc>
        <w:tc>
          <w:tcPr>
            <w:tcW w:type="dxa" w:w="2268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Передается из URL или рекламного контекста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Текущий визит</w:t>
            </w:r>
          </w:p>
        </w:tc>
        <w:tc>
          <w:tcPr>
            <w:tcW w:type="dxa" w:w="345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utm_source, utm_medium, utm_campaign, utm_id, utm_content, utm_term, referrer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Одноименные UF_CRM поля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 смешивать с first и last touch</w:t>
            </w:r>
          </w:p>
        </w:tc>
      </w:tr>
      <w:tr>
        <w:tc>
          <w:tcPr>
            <w:tcW w:type="dxa" w:w="1757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Первое касание</w:t>
            </w:r>
          </w:p>
        </w:tc>
        <w:tc>
          <w:tcPr>
            <w:tcW w:type="dxa" w:w="3458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first_utm_*, first_gclid, first_landing_page, first_referrer, first_visit_at</w:t>
            </w:r>
          </w:p>
        </w:tc>
        <w:tc>
          <w:tcPr>
            <w:tcW w:type="dxa" w:w="2948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Одноименные UF_CRM поля</w:t>
            </w:r>
          </w:p>
        </w:tc>
        <w:tc>
          <w:tcPr>
            <w:tcW w:type="dxa" w:w="2268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После записи не перезаписывать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Последнее касание</w:t>
            </w:r>
          </w:p>
        </w:tc>
        <w:tc>
          <w:tcPr>
            <w:tcW w:type="dxa" w:w="345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last_utm_*, last_gclid, last_landing_page, last_referrer, last_visit_at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Одноименные UF_CRM поля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Обновлять при новом визите</w:t>
            </w:r>
          </w:p>
        </w:tc>
      </w:tr>
      <w:tr>
        <w:tc>
          <w:tcPr>
            <w:tcW w:type="dxa" w:w="1757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Рекламные идентификаторы</w:t>
            </w:r>
          </w:p>
        </w:tc>
        <w:tc>
          <w:tcPr>
            <w:tcW w:type="dxa" w:w="3458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gclid, gbraid, wbraid, yclid, dclid, fbclid, gad_source</w:t>
            </w:r>
          </w:p>
        </w:tc>
        <w:tc>
          <w:tcPr>
            <w:tcW w:type="dxa" w:w="2948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Одноименные UF_CRM поля</w:t>
            </w:r>
          </w:p>
        </w:tc>
        <w:tc>
          <w:tcPr>
            <w:tcW w:type="dxa" w:w="2268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Без переименований и склейки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Страница</w:t>
            </w:r>
          </w:p>
        </w:tc>
        <w:tc>
          <w:tcPr>
            <w:tcW w:type="dxa" w:w="345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page_url, page_path, page_title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UF_CRM_PAGE_URL, UF_CRM_PAGE_PATH, UF_CRM_PAGE_TITLE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entry_page и entry_path не создавать</w:t>
            </w:r>
          </w:p>
        </w:tc>
      </w:tr>
      <w:tr>
        <w:tc>
          <w:tcPr>
            <w:tcW w:type="dxa" w:w="1757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Устройство</w:t>
            </w:r>
          </w:p>
        </w:tc>
        <w:tc>
          <w:tcPr>
            <w:tcW w:type="dxa" w:w="3458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device_type, os, platform, screen_resolution, browser_language, timezone</w:t>
            </w:r>
          </w:p>
        </w:tc>
        <w:tc>
          <w:tcPr>
            <w:tcW w:type="dxa" w:w="2948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Одноименные UF_CRM поля</w:t>
            </w:r>
          </w:p>
        </w:tc>
        <w:tc>
          <w:tcPr>
            <w:tcW w:type="dxa" w:w="2268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user_agent допускается как техническое поле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Согласие</w:t>
            </w:r>
          </w:p>
        </w:tc>
        <w:tc>
          <w:tcPr>
            <w:tcW w:type="dxa" w:w="345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consent_analytics, consent_ads, consent_timestamp, consent_version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Одноименные UF_CRM поля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Значения granted или denied; unknown не используется</w:t>
            </w:r>
          </w:p>
        </w:tc>
      </w:tr>
      <w:tr>
        <w:tc>
          <w:tcPr>
            <w:tcW w:type="dxa" w:w="1757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ICP</w:t>
            </w:r>
          </w:p>
        </w:tc>
        <w:tc>
          <w:tcPr>
            <w:tcW w:type="dxa" w:w="3458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icp_type</w:t>
            </w:r>
          </w:p>
        </w:tc>
        <w:tc>
          <w:tcPr>
            <w:tcW w:type="dxa" w:w="2948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UF_CRM_ICP_TYPE</w:t>
            </w:r>
          </w:p>
        </w:tc>
        <w:tc>
          <w:tcPr>
            <w:tcW w:type="dxa" w:w="2268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Сценарий клиента; не путать с UF_CRM_ICP_SEGMENT, которое хранит класс A/B/C под ярлыком «ICP: класс»</w:t>
            </w:r>
          </w:p>
        </w:tc>
      </w:tr>
    </w:tbl>
    <w:p>
      <w:pPr>
        <w:pStyle w:val="Heading2"/>
      </w:pPr>
      <w:r>
        <w:t>Правила Consent Mode v2</w:t>
      </w:r>
    </w:p>
    <w:p>
      <w:pPr>
        <w:pStyle w:val="ListBullet"/>
      </w:pPr>
      <w:r>
        <w:t>До выбора пользователя все четыре сигнала Google Consent Mode имеют значение denied.</w:t>
      </w:r>
    </w:p>
    <w:p>
      <w:pPr>
        <w:pStyle w:val="ListBullet"/>
      </w:pPr>
      <w:r>
        <w:t>Кнопка «Принять» устанавливает consent_analytics=granted и consent_ads=granted. Кнопка «Только необходимые» устанавливает оба значения denied.</w:t>
      </w:r>
    </w:p>
    <w:p>
      <w:pPr>
        <w:pStyle w:val="ListBullet"/>
      </w:pPr>
      <w:r>
        <w:t>Выбор хранится локально вместе с consent_timestamp и consent_version=1.0 и применяется при последующих визитах.</w:t>
      </w:r>
    </w:p>
    <w:p>
      <w:pPr>
        <w:pStyle w:val="ListBullet"/>
      </w:pPr>
      <w:r>
        <w:t>Согласие на обработку персональных данных в форме не заменяет выбор аналитических и рекламных технологий.</w:t>
      </w:r>
    </w:p>
    <w:p>
      <w:pPr>
        <w:pStyle w:val="Heading2"/>
      </w:pPr>
      <w:r>
        <w:t>Фактическое состояние внедрения</w:t>
      </w:r>
    </w:p>
    <w:p>
      <w:pPr>
        <w:pStyle w:val="ListBullet"/>
      </w:pPr>
      <w:r>
        <w:t>GTM-контейнер GTM-WVGQ5BZ4: опубликована версия 7 с каноническим контрактом данных и Consent Mode v2.</w:t>
      </w:r>
    </w:p>
    <w:p>
      <w:pPr>
        <w:pStyle w:val="ListBullet"/>
      </w:pPr>
      <w:r>
        <w:t>GA4: Google tag G-K3055R6Y7X и мост событий pz_*; очередь сохраняет события до загрузки Google tag.</w:t>
      </w:r>
    </w:p>
    <w:p>
      <w:pPr>
        <w:pStyle w:val="ListBullet"/>
      </w:pPr>
      <w:r>
        <w:t>Cloud Run: сервис tilda-webhook-to-bigquery, ревизия tilda-webhook-to-bigquery-00061-zb7; маппинг канонических полей в Bitrix24 обновлен.</w:t>
      </w:r>
    </w:p>
    <w:p>
      <w:pPr>
        <w:pStyle w:val="ListBullet"/>
      </w:pPr>
      <w:r>
        <w:t>Consent Mode v2: до выбора пользователя analytics_storage, ad_storage, ad_user_data и ad_personalization имеют значение denied. После выбора передаются granted или denied.</w:t>
      </w:r>
    </w:p>
    <w:p>
      <w:pPr>
        <w:pStyle w:val="ListBullet"/>
      </w:pPr>
      <w:r>
        <w:t>Тестовый payload contract_test принят вебхуком без создания тестовой сделки в Bitrix24.</w:t>
      </w:r>
    </w:p>
    <w:p>
      <w:pPr>
        <w:pStyle w:val="Heading2"/>
      </w:pPr>
      <w:r>
        <w:t>Легаси и запреты</w:t>
      </w:r>
    </w:p>
    <w:p>
      <w:pPr>
        <w:pStyle w:val="ListBullet"/>
      </w:pPr>
      <w:r>
        <w:t>Поле service не создавать, не заполнять и не использовать в правилах или отчетах. Единственное поле предмета обращения — service_type.</w:t>
      </w:r>
    </w:p>
    <w:p>
      <w:pPr>
        <w:pStyle w:val="ListBullet"/>
      </w:pPr>
      <w:r>
        <w:t>entry_page и entry_path не использовать. Канонические поля — first_landing_page, last_landing_page, page_url и page_path.</w:t>
      </w:r>
    </w:p>
    <w:p>
      <w:pPr>
        <w:pStyle w:val="ListBullet"/>
      </w:pPr>
      <w:r>
        <w:t>Дубли без префикса UF_CRM_ в Bitrix24 не создавать. Существующие дубли сначала выгрузить, сопоставить по техническому коду и только затем архивировать.</w:t>
      </w:r>
    </w:p>
    <w:p>
      <w:pPr>
        <w:pStyle w:val="ListBullet"/>
      </w:pPr>
      <w:r>
        <w:t>UF_CRM_ICP_TYPE хранит сценарий ICP-1…ICP-5/ICP-C. Производный класс A/B/C хранится отдельно в UF_CRM_ICP_SEGMENT под ярлыком «ICP: класс». UF_CRM_ICP_SCORE хранит балл. Создавать дубли этих полей запрещено.</w:t>
      </w:r>
    </w:p>
    <w:p>
      <w:pPr>
        <w:pStyle w:val="ListBullet"/>
      </w:pPr>
      <w:r>
        <w:t>Текущие UTM и referrer хранятся отдельно от first и last touch.</w:t>
      </w:r>
    </w:p>
    <w:p>
      <w:pPr>
        <w:pStyle w:val="Heading2"/>
      </w:pPr>
      <w:r>
        <w:t>Критерии приемки согласованной редакции</w:t>
      </w:r>
    </w:p>
    <w:p>
      <w:pPr>
        <w:pStyle w:val="ListBullet"/>
      </w:pPr>
      <w:r>
        <w:t>На новой сессии до выбора пользователя в формах записаны denied, denied, пустой timestamp и consent_version=1.0.</w:t>
      </w:r>
    </w:p>
    <w:p>
      <w:pPr>
        <w:pStyle w:val="ListBullet"/>
      </w:pPr>
      <w:r>
        <w:t>После выбора пользователя timestamp заполнен в ISO 8601, а granted или denied одинаковы на странице, в payload и Bitrix24.</w:t>
      </w:r>
    </w:p>
    <w:p>
      <w:pPr>
        <w:pStyle w:val="ListBullet"/>
      </w:pPr>
      <w:r>
        <w:t>service_type, search_term, технический контекст, click ID, referrer, page_title и platform передаются без переименования.</w:t>
      </w:r>
    </w:p>
    <w:p>
      <w:pPr>
        <w:pStyle w:val="ListBullet"/>
      </w:pPr>
      <w:r>
        <w:t>Один event_id связывает событие страницы, payload, строку BigQuery и запись Bitrix24; повторная доставка не создает дубль.</w:t>
      </w:r>
    </w:p>
    <w:p>
      <w:pPr>
        <w:pStyle w:val="ListBullet"/>
      </w:pPr>
      <w:r>
        <w:t>GA4 и Google Ads не получают персональные данные из формы.</w:t>
      </w:r>
    </w:p>
    <w:p>
      <w:pPr>
        <w:pStyle w:val="Heading2"/>
      </w:pPr>
      <w:r>
        <w:t>История редакции</w:t>
      </w:r>
    </w:p>
    <w:p>
      <w:r>
        <w:t>1.3 от 22 сентября 2026 года. Согласованы канонические имена полей, разделение текущей, первой и последней атрибуции, UF_CRM_ICP_TYPE, Consent Mode v2, вебхук и фактически опубликованные версии интеграций.</w:t>
      </w:r>
    </w:p>
    <w:p>
      <w:r>
        <w:br w:type="page"/>
      </w:r>
    </w:p>
    <w:p>
      <w:pPr>
        <w:pStyle w:val="Heading1"/>
        <w:keepNext/>
      </w:pPr>
      <w:r>
        <w:t>25 Аналитика оптимизации конверсии</w:t>
      </w:r>
    </w:p>
    <w:p>
      <w:r>
        <w:t>Редакция 1.4 от 22 сентября 2026 года. Требования применяются ко всем страницам, использующим единый шаблон ТЗ.</w:t>
      </w:r>
    </w:p>
    <w:p>
      <w:pPr>
        <w:pStyle w:val="Heading2"/>
      </w:pPr>
      <w:r>
        <w:t>Канонические параметры CTA и заявки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814"/>
            <w:vAlign w:val="center"/>
            <w:shd w:fill="E8EEF3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r>
              <w:rPr>
                <w:b/>
                <w:color w:val="000000"/>
                <w:sz w:val="18"/>
              </w:rPr>
              <w:t>Параметр</w:t>
            </w:r>
          </w:p>
        </w:tc>
        <w:tc>
          <w:tcPr>
            <w:tcW w:type="dxa" w:w="2324"/>
            <w:vAlign w:val="center"/>
            <w:shd w:fill="E8EEF3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r>
              <w:rPr>
                <w:b/>
                <w:color w:val="000000"/>
                <w:sz w:val="18"/>
              </w:rPr>
              <w:t>Назначение</w:t>
            </w:r>
          </w:p>
        </w:tc>
        <w:tc>
          <w:tcPr>
            <w:tcW w:type="dxa" w:w="3515"/>
            <w:vAlign w:val="center"/>
            <w:shd w:fill="E8EEF3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r>
              <w:rPr>
                <w:b/>
                <w:color w:val="000000"/>
                <w:sz w:val="18"/>
              </w:rPr>
              <w:t>Допустимые значения / пример</w:t>
            </w:r>
          </w:p>
        </w:tc>
        <w:tc>
          <w:tcPr>
            <w:tcW w:type="dxa" w:w="2551"/>
            <w:vAlign w:val="center"/>
            <w:shd w:fill="E8EEF3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r>
              <w:rPr>
                <w:b/>
                <w:color w:val="000000"/>
                <w:sz w:val="18"/>
              </w:rPr>
              <w:t>Куда передаётся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service_type</w:t>
            </w:r>
          </w:p>
        </w:tc>
        <w:tc>
          <w:tcPr>
            <w:tcW w:type="dxa" w:w="232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Предмет обращения</w:t>
            </w:r>
          </w:p>
        </w:tc>
        <w:tc>
          <w:tcPr>
            <w:tcW w:type="dxa" w:w="3515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Код услуги из единого справочника; поле service запрещено</w:t>
            </w:r>
          </w:p>
        </w:tc>
        <w:tc>
          <w:tcPr>
            <w:tcW w:type="dxa" w:w="2551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dataLayer → GA4 → webhook → Bitrix24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requested_action</w:t>
            </w:r>
          </w:p>
        </w:tc>
        <w:tc>
          <w:tcPr>
            <w:tcW w:type="dxa" w:w="232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Ожидаемое действие</w:t>
            </w:r>
          </w:p>
        </w:tc>
        <w:tc>
          <w:tcPr>
            <w:tcW w:type="dxa" w:w="3515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calculate; engineer_visit; audit_booking; contact_request; document_download</w:t>
            </w:r>
          </w:p>
        </w:tc>
        <w:tc>
          <w:tcPr>
            <w:tcW w:type="dxa" w:w="2551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dataLayer → GA4 → webhook → Bitrix24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cta_location</w:t>
            </w:r>
          </w:p>
        </w:tc>
        <w:tc>
          <w:tcPr>
            <w:tcW w:type="dxa" w:w="232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Позиция CTA</w:t>
            </w:r>
          </w:p>
        </w:tc>
        <w:tc>
          <w:tcPr>
            <w:tcW w:type="dxa" w:w="3515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hero; after_proof; calculator; emergency_block; final_form; sticky_mobile</w:t>
            </w:r>
          </w:p>
        </w:tc>
        <w:tc>
          <w:tcPr>
            <w:tcW w:type="dxa" w:w="2551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dataLayer → GA4 → webhook → Bitrix24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cta_text</w:t>
            </w:r>
          </w:p>
        </w:tc>
        <w:tc>
          <w:tcPr>
            <w:tcW w:type="dxa" w:w="232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Фактический текст кнопки</w:t>
            </w:r>
          </w:p>
        </w:tc>
        <w:tc>
          <w:tcPr>
            <w:tcW w:type="dxa" w:w="3515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Получить расчёт</w:t>
            </w:r>
          </w:p>
        </w:tc>
        <w:tc>
          <w:tcPr>
            <w:tcW w:type="dxa" w:w="2551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dataLayer → GA4 → webhook → Bitrix24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form_id</w:t>
            </w:r>
          </w:p>
        </w:tc>
        <w:tc>
          <w:tcPr>
            <w:tcW w:type="dxa" w:w="232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Идентификатор формы</w:t>
            </w:r>
          </w:p>
        </w:tc>
        <w:tc>
          <w:tcPr>
            <w:tcW w:type="dxa" w:w="3515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home_calculation_form</w:t>
            </w:r>
          </w:p>
        </w:tc>
        <w:tc>
          <w:tcPr>
            <w:tcW w:type="dxa" w:w="2551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dataLayer → GA4 → webhook → Bitrix24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event_id</w:t>
            </w:r>
          </w:p>
        </w:tc>
        <w:tc>
          <w:tcPr>
            <w:tcW w:type="dxa" w:w="232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Дедупликация заявки</w:t>
            </w:r>
          </w:p>
        </w:tc>
        <w:tc>
          <w:tcPr>
            <w:tcW w:type="dxa" w:w="3515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UUID, неизменный по всей цепочке</w:t>
            </w:r>
          </w:p>
        </w:tc>
        <w:tc>
          <w:tcPr>
            <w:tcW w:type="dxa" w:w="2551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Сайт → GA4 → webhook → CRM → Ads</w:t>
            </w:r>
          </w:p>
        </w:tc>
      </w:tr>
    </w:tbl>
    <w:p/>
    <w:p>
      <w:pPr>
        <w:pStyle w:val="Heading2"/>
      </w:pPr>
      <w:r>
        <w:t>Настройка GTM и GA4</w:t>
      </w:r>
    </w:p>
    <w:p>
      <w:pPr>
        <w:pStyle w:val="ListBullet"/>
        <w:keepLines/>
      </w:pPr>
      <w:r>
        <w:t>Создать переменные dataLayer для service_type, requested_action, cta_location, cta_text, form_id и event_id; не извлекать значения из текста DOM, если параметр доступен в dataLayer.</w:t>
      </w:r>
    </w:p>
    <w:p>
      <w:pPr>
        <w:pStyle w:val="ListBullet"/>
        <w:keepLines/>
      </w:pPr>
      <w:r>
        <w:t>Настроить GA4-события pz_cta_click, pz_calculator_start, pz_calculator_complete, pz_form_start, pz_form_submit и pz_form_success. generate_lead формируется отдельным тегом только из pz_form_success.</w:t>
      </w:r>
    </w:p>
    <w:p>
      <w:pPr>
        <w:pStyle w:val="ListBullet"/>
        <w:keepLines/>
      </w:pPr>
      <w:r>
        <w:t>Зарегистрировать service_type, requested_action, cta_location, cta_text и form_id как пользовательские параметры нужной области видимости; event_id использовать для связи и дедупликации.</w:t>
      </w:r>
    </w:p>
    <w:p>
      <w:pPr>
        <w:pStyle w:val="ListBullet"/>
        <w:keepLines/>
      </w:pPr>
      <w:r>
        <w:t>Для Consent Mode v2 сохраняется ранее согласованное поведение: до согласия GA4 работает с denied, а необязательные Метрика и Meta/Facebook не загружаются. Конверсионные параметры не должны содержать телефон, email или имя.</w:t>
      </w:r>
    </w:p>
    <w:p>
      <w:pPr>
        <w:pStyle w:val="ListBullet"/>
        <w:keepLines/>
      </w:pPr>
      <w:r>
        <w:t>Сформировать отчёт по странице, service_type, requested_action, cta_location и цепочке от pz_cta_click до квалифицированного лида.</w:t>
      </w:r>
    </w:p>
    <w:p>
      <w:pPr>
        <w:pStyle w:val="Heading2"/>
      </w:pPr>
      <w:r>
        <w:t>Метрики сравнения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551"/>
            <w:vAlign w:val="center"/>
            <w:shd w:fill="E8EEF3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r>
              <w:rPr>
                <w:b/>
                <w:color w:val="000000"/>
                <w:sz w:val="18"/>
              </w:rPr>
              <w:t>Метрика</w:t>
            </w:r>
          </w:p>
        </w:tc>
        <w:tc>
          <w:tcPr>
            <w:tcW w:type="dxa" w:w="3969"/>
            <w:vAlign w:val="center"/>
            <w:shd w:fill="E8EEF3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r>
              <w:rPr>
                <w:b/>
                <w:color w:val="000000"/>
                <w:sz w:val="18"/>
              </w:rPr>
              <w:t>Формула / источник</w:t>
            </w:r>
          </w:p>
        </w:tc>
        <w:tc>
          <w:tcPr>
            <w:tcW w:type="dxa" w:w="5386"/>
            <w:vAlign w:val="center"/>
            <w:shd w:fill="E8EEF3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r>
              <w:rPr>
                <w:b/>
                <w:color w:val="000000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551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CTR основного CTA</w:t>
            </w:r>
          </w:p>
        </w:tc>
        <w:tc>
          <w:tcPr>
            <w:tcW w:type="dxa" w:w="3969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pz_cta_click / просмотры страницы</w:t>
            </w:r>
          </w:p>
        </w:tc>
        <w:tc>
          <w:tcPr>
            <w:tcW w:type="dxa" w:w="5386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Проверка ясности первого действия</w:t>
            </w:r>
          </w:p>
        </w:tc>
      </w:tr>
      <w:tr>
        <w:trPr>
          <w:cantSplit/>
        </w:trPr>
        <w:tc>
          <w:tcPr>
            <w:tcW w:type="dxa" w:w="2551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Достижение калькулятора</w:t>
            </w:r>
          </w:p>
        </w:tc>
        <w:tc>
          <w:tcPr>
            <w:tcW w:type="dxa" w:w="3969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пользователи calculator_start / пользователи страницы</w:t>
            </w:r>
          </w:p>
        </w:tc>
        <w:tc>
          <w:tcPr>
            <w:tcW w:type="dxa" w:w="5386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Проверка раннего размещения</w:t>
            </w:r>
          </w:p>
        </w:tc>
      </w:tr>
      <w:tr>
        <w:trPr>
          <w:cantSplit/>
        </w:trPr>
        <w:tc>
          <w:tcPr>
            <w:tcW w:type="dxa" w:w="2551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Завершение калькулятора</w:t>
            </w:r>
          </w:p>
        </w:tc>
        <w:tc>
          <w:tcPr>
            <w:tcW w:type="dxa" w:w="3969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calculator_complete / calculator_start</w:t>
            </w:r>
          </w:p>
        </w:tc>
        <w:tc>
          <w:tcPr>
            <w:tcW w:type="dxa" w:w="5386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Проверка удобства сценария</w:t>
            </w:r>
          </w:p>
        </w:tc>
      </w:tr>
      <w:tr>
        <w:trPr>
          <w:cantSplit/>
        </w:trPr>
        <w:tc>
          <w:tcPr>
            <w:tcW w:type="dxa" w:w="2551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Успех формы</w:t>
            </w:r>
          </w:p>
        </w:tc>
        <w:tc>
          <w:tcPr>
            <w:tcW w:type="dxa" w:w="3969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pz_form_success / pz_form_start</w:t>
            </w:r>
          </w:p>
        </w:tc>
        <w:tc>
          <w:tcPr>
            <w:tcW w:type="dxa" w:w="5386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Проверка формы</w:t>
            </w:r>
          </w:p>
        </w:tc>
      </w:tr>
      <w:tr>
        <w:trPr>
          <w:cantSplit/>
        </w:trPr>
        <w:tc>
          <w:tcPr>
            <w:tcW w:type="dxa" w:w="2551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Квалифицированный лид</w:t>
            </w:r>
          </w:p>
        </w:tc>
        <w:tc>
          <w:tcPr>
            <w:tcW w:type="dxa" w:w="3969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Bitrix24 qualified / пользователи страницы</w:t>
            </w:r>
          </w:p>
        </w:tc>
        <w:tc>
          <w:tcPr>
            <w:tcW w:type="dxa" w:w="5386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Основная бизнес-метрика</w:t>
            </w:r>
          </w:p>
        </w:tc>
      </w:tr>
      <w:tr>
        <w:trPr>
          <w:cantSplit/>
        </w:trPr>
        <w:tc>
          <w:tcPr>
            <w:tcW w:type="dxa" w:w="2551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Стоимость квалифицированного лида</w:t>
            </w:r>
          </w:p>
        </w:tc>
        <w:tc>
          <w:tcPr>
            <w:tcW w:type="dxa" w:w="3969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расход Google Ads / qualified</w:t>
            </w:r>
          </w:p>
        </w:tc>
        <w:tc>
          <w:tcPr>
            <w:tcW w:type="dxa" w:w="5386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Решение о масштабировании</w:t>
            </w:r>
          </w:p>
        </w:tc>
      </w:tr>
    </w:tbl>
    <w:p/>
    <w:p>
      <w:pPr>
        <w:pStyle w:val="Heading2"/>
      </w:pPr>
      <w:r>
        <w:t>Критерии приёмки</w:t>
      </w:r>
    </w:p>
    <w:p>
      <w:pPr>
        <w:pStyle w:val="ListBullet"/>
        <w:keepLines/>
      </w:pPr>
      <w:r>
        <w:t>На странице визуально доминирует один основной CTA; альтернативные CTA не конкурируют с ним по цвету, размеру и частоте.</w:t>
      </w:r>
    </w:p>
    <w:p>
      <w:pPr>
        <w:pStyle w:val="ListBullet"/>
        <w:keepLines/>
      </w:pPr>
      <w:r>
        <w:t>На мобильном устройстве калькулятор или короткая форма доступны не позднее третьего–четвёртого экрана.</w:t>
      </w:r>
    </w:p>
    <w:p>
      <w:pPr>
        <w:pStyle w:val="ListBullet"/>
        <w:keepLines/>
      </w:pPr>
      <w:r>
        <w:t>Пересекающиеся блоки и дублирующие медиа отсутствуют; обязательные сведения, доверительные элементы и ключевые сценарии сохранены.</w:t>
      </w:r>
    </w:p>
    <w:p>
      <w:pPr>
        <w:pStyle w:val="ListBullet"/>
        <w:keepLines/>
      </w:pPr>
      <w:r>
        <w:t>Для переработанной существующей страницы мобильная высота сокращена на 20–25% по сравнению с сохранённым контрольным снимком, либо оформлено обоснование меньшего сокращения.</w:t>
      </w:r>
    </w:p>
    <w:p>
      <w:pPr>
        <w:pStyle w:val="ListBullet"/>
        <w:keepLines/>
      </w:pPr>
      <w:r>
        <w:t>Проверены ширины 360, 390, 768 и 1440 px: нет горизонтального переполнения, обрезанного текста и перекрывающихся кнопок.</w:t>
      </w:r>
    </w:p>
    <w:p>
      <w:pPr>
        <w:pStyle w:val="ListBullet"/>
        <w:keepLines/>
      </w:pPr>
      <w:r>
        <w:t>Каждый основной CTA передаёт одинаковые service_type, requested_action, cta_location и cta_text во все системы.</w:t>
      </w:r>
    </w:p>
    <w:p>
      <w:pPr>
        <w:pStyle w:val="ListBullet"/>
        <w:keepLines/>
      </w:pPr>
      <w:r>
        <w:t>События pz_cta_click, pz_calculator_start, pz_calculator_complete, pz_form_start, pz_form_submit и pz_form_success проходят тест без дублей; generate_lead создаётся только после pz_form_success с тем же event_id.</w:t>
      </w:r>
    </w:p>
    <w:p>
      <w:pPr>
        <w:pStyle w:val="ListBullet"/>
        <w:keepLines/>
      </w:pPr>
      <w:r>
        <w:t>Результат сравнивается с исходной версией после согласованного периода и достаточного объёма трафика; до этого изменение не признаётся победителем только по единичным заявкам.</w:t>
      </w:r>
    </w:p>
    <w:p>
      <w:pPr>
        <w:pStyle w:val="Heading2"/>
      </w:pPr>
      <w:r>
        <w:t>История редакции</w:t>
      </w:r>
    </w:p>
    <w:p>
      <w:r>
        <w:t>Версия 1.5 от 22 сентября 2026 года: добавлена аналитика единого CTA, калькулятора, мобильной компактности и качества лидов.</w:t>
      </w:r>
    </w:p>
    <w:p>
      <w:pPr>
        <w:pStyle w:val="Heading1"/>
      </w:pPr>
      <w:r>
        <w:t>22 Совместимость с тарифом Bitrix24 Стандартный</w:t>
      </w:r>
    </w:p>
    <w:p>
      <w:pPr/>
      <w:r>
        <w:t>Код страницы, GTM, GA4, формы, webhook и BigQuery не зависит от тарифа Bitrix24. Названия событий, event_id, service_type, UTM, click ID, consent_* и технический контекст сохраняются без изменений.</w:t>
      </w:r>
    </w:p>
    <w:p>
      <w:pPr/>
      <w:r>
        <w:t>Страница передает customer_type=new по умолчанию. Значение existing допустимо только в специально обозначенных формах обслуживания действующих клиентов либо определяется сервером/CRM по активной сервисной сделке. Страница не рассчитывает ICP, SLA и next_service_date.</w:t>
      </w:r>
    </w:p>
    <w:p>
      <w:pPr/>
      <w:r>
        <w:t>consent_marketing является отдельным согласием на рекламные коммуникации. Одна кнопка может установить все согласия в granted только при явном тексте, перечисляющем аналитику, рекламу и коммуникации; отказ оставляет consent_marketing=denied.</w:t>
      </w:r>
    </w:p>
    <w:p>
      <w:pPr/>
      <w:r>
        <w:t>Версия 1.5 от 24 сентября 2026 года. Исправлена модель ICP-полей, добавлены customer_type и consent_marketing, подтверждена неизменность сквозной аналитики при переходе на тариф «Стандартный».</w:t>
      </w:r>
    </w:p>
    <w:p>
      <w:pPr>
        <w:pStyle w:val="Heading1"/>
      </w:pPr>
      <w:r>
        <w:t>Единый интерфейс согласия</w:t>
      </w:r>
    </w:p>
    <w:p>
      <w:pPr/>
      <w:r>
        <w:t>На всех страницах используется один глобальный интерфейс управления согласием. Кнопка «Принять все» одновременно устанавливает consent_analytics=granted, consent_ads=granted и consent_marketing=granted. Рядом должна быть равнозначная кнопка «Только необходимые», устанавливающая эти три необязательных согласия в denied, а также ссылка «Настройки cookies» для последующего изменения выбора.</w:t>
      </w:r>
    </w:p>
    <w:p>
      <w:pPr>
        <w:pStyle w:val="ListBullet"/>
      </w:pPr>
      <w:r>
        <w:t>До выбора пользователя analytics_storage, ad_storage, ad_user_data и ad_personalization имеют значение denied. Метрика, Meta/Facebook и другие необязательные маркетинговые системы до согласия не загружаются.</w:t>
      </w:r>
    </w:p>
    <w:p>
      <w:pPr>
        <w:pStyle w:val="ListBullet"/>
      </w:pPr>
      <w:r>
        <w:t>Текст рядом с кнопкой «Принять все» прямо перечисляет цели: аналитика использования сайта, персонализация рекламы и рекламные коммуникации. Согласие не считается полученным при одном лишь продолжении просмотра страницы.</w:t>
      </w:r>
    </w:p>
    <w:p>
      <w:pPr>
        <w:pStyle w:val="ListBullet"/>
      </w:pPr>
      <w:r>
        <w:t>Выбор сохраняется в consent_analytics, consent_ads, consent_marketing, consent_timestamp и consent_version и одинаково передаётся в dataLayer, форму, webhook, BigQuery и Bitrix24.</w:t>
      </w:r>
    </w:p>
    <w:p>
      <w:pPr>
        <w:pStyle w:val="ListBullet"/>
      </w:pPr>
      <w:r>
        <w:t>Обязательное согласие на обработку данных, необходимых для ответа на конкретную заявку, остаётся частью формы заявки и не подменяется cookie-баннером. Отказ от аналитики и рекламы не блокирует отправку формы, телефон или WhatsApp.</w:t>
      </w:r>
    </w:p>
    <w:p>
      <w:pPr>
        <w:pStyle w:val="ListBullet"/>
      </w:pPr>
      <w:r>
        <w:t>Запрещены заранее отмеченные флажки, скрытое предоставление согласия и повторный запрос после явного отказа до изменения consent_version или самостоятельного открытия настроек пользователем.</w:t>
      </w:r>
    </w:p>
    <w:p>
      <w:pPr>
        <w:pStyle w:val="Heading1"/>
      </w:pPr>
      <w:r>
        <w:t>Единый шаблон подключения аналитики страницы</w:t>
      </w:r>
    </w:p>
    <w:p>
      <w:pPr/>
      <w:r>
        <w:t>Глобальный модуль аналитики устанавливается один раз в GTM и не копируется в код каждой страницы. Главная страница является эталонной реализацией. Для новой страницы задаётся только конфигурация PZ_PAGE_CONFIG с page_type, service_type, customer_type, form_name и form_location.</w:t>
      </w:r>
    </w:p>
    <w:p>
      <w:pPr>
        <w:pStyle w:val="ListBullet"/>
      </w:pPr>
      <w:r>
        <w:t>Канонические атрибуты интерфейса: data-cta-location и data-requested-action для CTA; data-form-id, data-form-name и data-form-location для форм. Легаси data-analytics-location допускается только на период миграции.</w:t>
      </w:r>
    </w:p>
    <w:p>
      <w:pPr>
        <w:pStyle w:val="ListBullet"/>
      </w:pPr>
      <w:r>
        <w:t>Глобальный модуль автоматически собирает UTM, gclid, dclid, fbclid, gad_source, referrer, page_title, platform, first/last touch, технический контекст и consent_*. Каноническое поле услуги — service_type; поле service создавать и передавать запрещено.</w:t>
      </w:r>
    </w:p>
    <w:p>
      <w:pPr>
        <w:pStyle w:val="ListBullet"/>
      </w:pPr>
      <w:r>
        <w:t>Подключение штатного приёмщика Tilda к каждой форме остаётся обязательной операцией интерфейса, но отдельный JavaScript аналитики для каждой страницы не создаётся.</w:t>
      </w:r>
    </w:p>
    <w:p>
      <w:pPr/>
      <w:r>
        <w:t>Версия 1.6 от 28 сентября 2026 года. Добавлены единый интерфейс согласия «Принять все», разделение необязательных согласий и обязательной обработки заявки, а также единый шаблон подключения аналитики страниц.</w:t>
      </w:r>
    </w:p>
    <w:p>
      <w:pPr>
        <w:pStyle w:val="Heading1"/>
      </w:pPr>
      <w:r>
        <w:t>Конфигурация страницы и резервный маршрут GTM</w:t>
      </w:r>
    </w:p>
    <w:p>
      <w:r>
        <w:t>Канонический источник параметров страницы — реестр маршрутов в опубликованном контейнере GTM. Для каждого pathname реестр обязан задавать page_type, page_name, service_type, customer_type, form_name и form_location. Это обеспечивает единое поведение форм, webhook, Telegram, BigQuery и Bitrix24 без копирования общего аналитического кода на каждую страницу.</w:t>
      </w:r>
    </w:p>
    <w:p>
      <w:r>
        <w:t>window.PZ_PAGE_CONFIG является разрешённым необязательным переопределением для страницы. Его используют, если значения конкретной страницы отличаются от реестра GTM или новый маршрут ещё не опубликован в контейнере. Отсутствие объекта не является ошибкой при условии, что GTM корректно определяет маршрут и заполняет все обязательные поля.</w:t>
      </w:r>
    </w:p>
    <w:p>
      <w:r>
        <w:t>Приёмка выполняется по фактически переданным данным. Во всех формах должны присутствовать page_url, page_path, page_title, page_type, page_name, source_page, service_type, customer_type, form_name и form_location. page_name и source_page должны однозначно указывать страницу, с которой поступила заявка. Поле service запрещено; используется только service_type.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5A5A"/>
        <w:sz w:val="16"/>
      </w:rPr>
      <w:t>pozharnik.kz  |  Техническое задание по аналитике страниц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120"/>
      <w:ind w:left="227" w:right="113"/>
      <w:shd w:fill="F3F5F7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