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left"/>
      </w:pPr>
      <w:r>
        <w:rPr>
          <w:color w:val="000000"/>
          <w:u w:val="none"/>
        </w:rPr>
        <w:t>Техническое задание на настройку аналитического контура Bitrix24</w:t>
      </w:r>
    </w:p>
    <w:p>
      <w:pPr>
        <w:widowControl/>
      </w:pPr>
      <w:r>
        <w:rPr>
          <w:b/>
        </w:rPr>
        <w:t>Pozharnik.kz</w:t>
      </w:r>
      <w:r>
        <w:br/>
        <w:t>Воронки продаж, обследования и выполнения работ по АПС</w:t>
      </w:r>
    </w:p>
    <w:p>
      <w:pPr>
        <w:widowControl/>
      </w:pPr>
      <w:r>
        <w:t>Версия 1.26 · 5 октября 2026</w:t>
      </w:r>
    </w:p>
    <w:p>
      <w:pPr>
        <w:widowControl/>
      </w:pPr>
    </w:p>
    <w:p>
      <w:pPr>
        <w:pStyle w:val="Heading1"/>
        <w:keepNext/>
        <w:widowControl/>
      </w:pPr>
      <w:r>
        <w:rPr>
          <w:color w:val="000000"/>
          <w:u w:val="none"/>
        </w:rPr>
        <w:t>Назначение документа</w:t>
      </w:r>
    </w:p>
    <w:p>
      <w:pPr>
        <w:widowControl/>
      </w:pPr>
      <w:r>
        <w:t>Настроить Bitrix24 как единый операционный источник о привлечении, квалификации, обследованиях, продажах и выполнении работ. Он хранит договорные условия и связи, а подтверждённые деньги и документы поступают из банка и 1С в управленческий контур. Сохраняются first-touch/last-touch, исходное обращение и детализация до источника.</w:t>
      </w:r>
    </w:p>
    <w:p>
      <w:pPr>
        <w:widowControl/>
      </w:pPr>
      <w:r>
        <w:t>Основной управленческий результат — достоверно считать стоимость квалифицированного обращения ICP A или B, состоявшегося обследования, отправленного расчета, выигранной сделки, валовую прибыль и новый MRR по источнику, кампании, услуге, типу объекта и ответственному.</w:t>
      </w:r>
    </w:p>
    <w:p>
      <w:r>
        <w:t>Редакция 1.26 (дополняет 1.25 разделом 27) сохраняет два этапа CRM и действует совместно с ТЗ управленческой системы v1.1 и отчётностью v1.3. Операционные правила определяются настоящим ТЗ; общий финансовый расчёт и надёжность — управленческим ТЗ; каталог и паспорта отчётов — ТЗ отчётности. Требования MG и раздел 25 устраняют междокументные коллизии. Исторические решения разделов 19–23 сохраняются с датами, но не отменяют актуальные правила источников, активности и ключей.</w:t>
      </w:r>
    </w:p>
    <w:p>
      <w:pPr>
        <w:pStyle w:val="Heading1"/>
        <w:keepNext/>
        <w:widowControl/>
      </w:pPr>
      <w:r>
        <w:rPr>
          <w:color w:val="000000"/>
          <w:u w:val="none"/>
        </w:rPr>
        <w:t>1 Основание и приоритеты</w:t>
      </w:r>
    </w:p>
    <w:p>
      <w:pPr>
        <w:widowControl/>
      </w:pPr>
      <w:r>
        <w:t>Требования сформированы с учетом медиаплана Pozharnik.kz версии 4.3. В нем приоритет отдан обслуживанию АПС и смене подрядчика, монтажу B2B, аудиту и неисправностям как входу в ТО, а также проектированию и модернизации как направлениям с высоким потенциальным чеком и LTV.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cantSplit/>
          <w:tblHeader/>
        </w:trPr>
        <w:tc>
          <w:tcPr>
            <w:tcW w:type="dxa" w:w="3118"/>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7"/>
              </w:rPr>
              <w:t>Принцип медиаплана</w:t>
            </w:r>
          </w:p>
        </w:tc>
        <w:tc>
          <w:tcPr>
            <w:tcW w:type="dxa" w:w="6520"/>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7"/>
              </w:rPr>
              <w:t>Реализация в Bitrix24</w:t>
            </w:r>
          </w:p>
        </w:tc>
      </w:tr>
      <w:tr>
        <w:trPr>
          <w:cantSplit/>
        </w:trPr>
        <w:tc>
          <w:tcPr>
            <w:tcW w:type="dxa" w:w="3118"/>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Оптимизация по бизнес-событиям</w:t>
            </w:r>
          </w:p>
        </w:tc>
        <w:tc>
          <w:tcPr>
            <w:tcW w:type="dxa" w:w="6520"/>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Отдельно фиксировать qualified_lead, visit_scheduled, visit_done, quote_sent, invoice_issued, payment_received и contract_won.</w:t>
            </w:r>
          </w:p>
        </w:tc>
      </w:tr>
      <w:tr>
        <w:trPr>
          <w:cantSplit/>
        </w:trPr>
        <w:tc>
          <w:tcPr>
            <w:tcW w:type="dxa" w:w="3118"/>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Приоритет ICP A/B</w:t>
            </w:r>
          </w:p>
        </w:tc>
        <w:tc>
          <w:tcPr>
            <w:tcW w:type="dxa" w:w="6520"/>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Автоскоринг 0–100, класс A/B/C, SLA реакции и аналитика стоимости ICP A/B.</w:t>
            </w:r>
          </w:p>
        </w:tc>
      </w:tr>
      <w:tr>
        <w:trPr>
          <w:cantSplit/>
        </w:trPr>
        <w:tc>
          <w:tcPr>
            <w:tcW w:type="dxa" w:w="3118"/>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Выезд и расчет — главные конверсии</w:t>
            </w:r>
          </w:p>
        </w:tc>
        <w:tc>
          <w:tcPr>
            <w:tcW w:type="dxa" w:w="6520"/>
            <w:tcMar>
              <w:top w:w="85" w:type="dxa"/>
              <w:start w:w="120" w:type="dxa"/>
              <w:bottom w:w="85" w:type="dxa"/>
              <w:end w:w="120" w:type="dxa"/>
              <w:left w:w="85" w:type="dxa"/>
              <w:right w:w="85" w:type="dxa"/>
            </w:tcMar>
            <w:vAlign w:val="center"/>
            <w:shd w:fill="FFFFFF"/>
          </w:tcPr>
          <w:p>
            <w:pPr>
              <w:spacing w:after="60" w:line="252" w:lineRule="auto"/>
            </w:pPr>
            <w:r>
              <w:rPr>
                <w:color w:val="000000"/>
                <w:sz w:val="17"/>
              </w:rPr>
              <w:t xml:space="preserve">Обследование проводится в Общей воронке тремя стадиями (раздел 22, ред. 1.20): обязательные поля каждой стадии технически блокируют переход штатной настройкой «Обязательное на стадии»; для сделок воронки «Продажа ТО АПС» сохраняется проверка перехода на «КП отправлено» и последующие (ред. 1.19). Остальные обязательные поля КП контролируются отчетностью и напоминаниями ответственному, без технического блокирования перехода между стадиями.</w:t>
            </w:r>
          </w:p>
        </w:tc>
      </w:tr>
      <w:tr>
        <w:trPr>
          <w:cantSplit/>
        </w:trPr>
        <w:tc>
          <w:tcPr>
            <w:tcW w:type="dxa" w:w="3118"/>
            <w:tcMar>
              <w:top w:w="85" w:type="dxa"/>
              <w:start w:w="120" w:type="dxa"/>
              <w:bottom w:w="85" w:type="dxa"/>
              <w:end w:w="120" w:type="dxa"/>
              <w:left w:w="85" w:type="dxa"/>
              <w:right w:w="85" w:type="dxa"/>
            </w:tcMar>
            <w:vAlign w:val="center"/>
            <w:shd w:fill="FFFFFF"/>
          </w:tcPr>
          <w:p>
            <w:pPr>
              <w:spacing w:after="60" w:line="252" w:lineRule="auto"/>
            </w:pPr>
            <w:r>
              <w:rPr>
                <w:color w:val="000000"/>
                <w:sz w:val="17"/>
              </w:rPr>
              <w:t>Сквозная атрибуция</w:t>
            </w:r>
          </w:p>
        </w:tc>
        <w:tc>
          <w:tcPr>
            <w:tcW w:type="dxa" w:w="6520"/>
            <w:tcMar>
              <w:top w:w="85" w:type="dxa"/>
              <w:start w:w="120" w:type="dxa"/>
              <w:bottom w:w="85" w:type="dxa"/>
              <w:end w:w="120" w:type="dxa"/>
              <w:left w:w="85" w:type="dxa"/>
              <w:right w:w="85" w:type="dxa"/>
            </w:tcMar>
            <w:vAlign w:val="center"/>
            <w:shd w:fill="FFFFFF"/>
          </w:tcPr>
          <w:p>
            <w:pPr>
              <w:spacing w:after="60" w:line="252" w:lineRule="auto"/>
            </w:pPr>
            <w:r>
              <w:rPr>
                <w:color w:val="000000"/>
                <w:sz w:val="17"/>
              </w:rPr>
              <w:t>UTM, landing, referrer, GCLID, GBRAID, WBRAID и GA4 client_id сохраняются в первичном обращении и переносятся в сделки без перезаписи first-touch.</w:t>
            </w:r>
          </w:p>
        </w:tc>
      </w:tr>
      <w:tr>
        <w:trPr>
          <w:cantSplit/>
        </w:trPr>
        <w:tc>
          <w:tcPr>
            <w:tcW w:type="dxa" w:w="3118"/>
            <w:tcMar>
              <w:top w:w="85" w:type="dxa"/>
              <w:start w:w="120" w:type="dxa"/>
              <w:bottom w:w="85" w:type="dxa"/>
              <w:end w:w="120" w:type="dxa"/>
              <w:left w:w="85" w:type="dxa"/>
              <w:right w:w="85" w:type="dxa"/>
            </w:tcMar>
            <w:vAlign w:val="center"/>
            <w:shd w:fill="FFFFFF"/>
          </w:tcPr>
          <w:p>
            <w:pPr>
              <w:spacing w:after="60" w:line="252" w:lineRule="auto"/>
            </w:pPr>
            <w:r>
              <w:rPr>
                <w:color w:val="000000"/>
                <w:sz w:val="17"/>
              </w:rPr>
              <w:t>Recurring revenue</w:t>
            </w:r>
          </w:p>
        </w:tc>
        <w:tc>
          <w:tcPr>
            <w:tcW w:type="dxa" w:w="6520"/>
            <w:tcMar>
              <w:top w:w="85" w:type="dxa"/>
              <w:start w:w="120" w:type="dxa"/>
              <w:bottom w:w="85" w:type="dxa"/>
              <w:end w:w="120" w:type="dxa"/>
              <w:left w:w="85" w:type="dxa"/>
              <w:right w:w="85" w:type="dxa"/>
            </w:tcMar>
            <w:vAlign w:val="center"/>
            <w:shd w:fill="FFFFFF"/>
          </w:tcPr>
          <w:p>
            <w:pPr>
              <w:spacing w:after="60" w:line="252" w:lineRule="auto"/>
            </w:pPr>
            <w:r>
              <w:rPr>
                <w:color w:val="000000"/>
                <w:sz w:val="17"/>
              </w:rPr>
              <w:t>ТО учитывается как MRR, годовой доход, срок договора, плановые работы и продление.</w:t>
            </w:r>
          </w:p>
        </w:tc>
      </w:tr>
    </w:tbl>
    <w:p>
      <w:pPr>
        <w:widowControl/>
        <w:spacing w:after="20"/>
      </w:pPr>
    </w:p>
    <w:p>
      <w:pPr>
        <w:pStyle w:val="Heading1"/>
        <w:keepNext/>
        <w:widowControl/>
      </w:pPr>
      <w:r>
        <w:rPr>
          <w:color w:val="000000"/>
          <w:u w:val="none"/>
        </w:rPr>
        <w:t>2 Границы проекта</w:t>
      </w:r>
    </w:p>
    <w:p>
      <w:pPr>
        <w:widowControl/>
      </w:pPr>
      <w:r>
        <w:t>В объем настройки входят CRM, воронки сделок, задачи, роботы, обязательные поля, права CRM, представления, контроль качества данных, BI-отчеты и спецификация интеграций сайта, телефонии, почты, GA4 и Google Ads. Решение проектируется для облачного Bitrix24 на тарифе «Стандартный» и не зависит от бизнес-процессов, Списков, регулярных задач и расширенных прав доступа на проекты.</w:t>
      </w:r>
    </w:p>
    <w:p>
      <w:pPr>
        <w:widowControl/>
      </w:pPr>
      <w:r>
        <w:t>Бухгалтерский, складской учёт и юридически значимый ЭДО остаются в учётных системах. Банк подтверждает движение денег, 1С — проведённые документы и стоимость, Bitrix24 — действия, договорные условия и операционный статус. В CRM фиксируются номер/ID счета, сумма, срок и отражённая оплата с источником подтверждения; это не второй финансовый регистр.</w:t>
      </w:r>
    </w:p>
    <w:p>
      <w:pPr>
        <w:widowControl/>
      </w:pPr>
      <w:r>
        <w:br w:type="page"/>
      </w:r>
    </w:p>
    <w:p>
      <w:pPr>
        <w:pStyle w:val="Heading1"/>
        <w:keepNext/>
        <w:widowControl/>
      </w:pPr>
      <w:r>
        <w:rPr>
          <w:color w:val="000000"/>
          <w:u w:val="none"/>
        </w:rPr>
        <w:t>3 Целевая архитектура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rPr>
          <w:tblHeader w:val="true"/>
          <w:cantSplit/>
          <w:tblHeader/>
        </w:trPr>
        <w:tc>
          <w:tcPr>
            <w:tcW w:type="dxa" w:w="1928"/>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6"/>
              </w:rPr>
              <w:t>Сущность</w:t>
            </w:r>
          </w:p>
        </w:tc>
        <w:tc>
          <w:tcPr>
            <w:tcW w:type="dxa" w:w="4082"/>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6"/>
              </w:rPr>
              <w:t>Назначение</w:t>
            </w:r>
          </w:p>
        </w:tc>
        <w:tc>
          <w:tcPr>
            <w:tcW w:type="dxa" w:w="3628"/>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6"/>
              </w:rPr>
              <w:t>Ключевая связь</w:t>
            </w:r>
          </w:p>
        </w:tc>
      </w:tr>
      <w:tr>
        <w:trPr>
          <w:cantSplit/>
        </w:trPr>
        <w:tc>
          <w:tcPr>
            <w:tcW w:type="dxa" w:w="192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Лид или входящее обращение</w:t>
            </w:r>
          </w:p>
        </w:tc>
        <w:tc>
          <w:tcPr>
            <w:tcW w:type="dxa" w:w="4082"/>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Первичный контакт, источник, рекламные идентификаторы, квалификация и дедупликация.</w:t>
            </w:r>
          </w:p>
        </w:tc>
        <w:tc>
          <w:tcPr>
            <w:tcW w:type="dxa" w:w="362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Рабочий сайт создает сделку напрямую. Для канала с Лидами конвертация сохраняет исходный ID обращения и атрибуцию.</w:t>
            </w:r>
          </w:p>
        </w:tc>
      </w:tr>
      <w:tr>
        <w:trPr>
          <w:cantSplit/>
        </w:trPr>
        <w:tc>
          <w:tcPr>
            <w:tcW w:type="dxa" w:w="192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Компания</w:t>
            </w:r>
          </w:p>
        </w:tc>
        <w:tc>
          <w:tcPr>
            <w:tcW w:type="dxa" w:w="4082"/>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Юридическое лицо и сводная клиентская аналитика.</w:t>
            </w:r>
          </w:p>
        </w:tc>
        <w:tc>
          <w:tcPr>
            <w:tcW w:type="dxa" w:w="362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Связана с контактами, объектами, сделками, счетами и работами.</w:t>
            </w:r>
          </w:p>
        </w:tc>
      </w:tr>
      <w:tr>
        <w:trPr>
          <w:cantSplit/>
        </w:trPr>
        <w:tc>
          <w:tcPr>
            <w:tcW w:type="dxa" w:w="192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Контакт</w:t>
            </w:r>
          </w:p>
        </w:tc>
        <w:tc>
          <w:tcPr>
            <w:tcW w:type="dxa" w:w="4082"/>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ЛПР и влияющие лица с ролью в закупке.</w:t>
            </w:r>
          </w:p>
        </w:tc>
        <w:tc>
          <w:tcPr>
            <w:tcW w:type="dxa" w:w="362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Может быть связан с несколькими объектами и сделками компании.</w:t>
            </w:r>
          </w:p>
        </w:tc>
      </w:tr>
      <w:tr>
        <w:trPr>
          <w:cantSplit/>
        </w:trPr>
        <w:tc>
          <w:tcPr>
            <w:tcW w:type="dxa" w:w="192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Объект</w:t>
            </w:r>
          </w:p>
        </w:tc>
        <w:tc>
          <w:tcPr>
            <w:tcW w:type="dxa" w:w="4082"/>
            <w:tcMar>
              <w:top w:w="85" w:type="dxa"/>
              <w:start w:w="120" w:type="dxa"/>
              <w:bottom w:w="85" w:type="dxa"/>
              <w:end w:w="120" w:type="dxa"/>
              <w:left w:w="85" w:type="dxa"/>
              <w:right w:w="85" w:type="dxa"/>
            </w:tcMar>
            <w:vAlign w:val="center"/>
            <w:shd w:fill="FFFFFF"/>
          </w:tcPr>
          <w:p>
            <w:pPr>
              <w:spacing w:after="60" w:line="252" w:lineRule="auto"/>
            </w:pPr>
            <w:r>
              <w:rPr>
                <w:color w:val="000000"/>
              </w:rPr>
              <w:t>Объект с устойчивым ID в доступной модели CRM; адрес, площадь, тип, системы и график — атрибуты. Физическое размещение и реальные UF-коды фиксируют на обследовании.</w:t>
            </w:r>
          </w:p>
        </w:tc>
        <w:tc>
          <w:tcPr>
            <w:tcW w:type="dxa" w:w="362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Один объект — много обследований, сделок и работ.</w:t>
            </w:r>
          </w:p>
        </w:tc>
      </w:tr>
      <w:tr>
        <w:trPr>
          <w:cantSplit/>
        </w:trPr>
        <w:tc>
          <w:tcPr>
            <w:tcW w:type="dxa" w:w="192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Обследование</w:t>
            </w:r>
          </w:p>
        </w:tc>
        <w:tc>
          <w:tcPr>
            <w:tcW w:type="dxa" w:w="4082"/>
            <w:tcMar>
              <w:top w:w="85" w:type="dxa"/>
              <w:start w:w="120" w:type="dxa"/>
              <w:bottom w:w="85" w:type="dxa"/>
              <w:end w:w="120" w:type="dxa"/>
              <w:left w:w="85" w:type="dxa"/>
              <w:right w:w="85" w:type="dxa"/>
            </w:tcMar>
            <w:vAlign w:val="center"/>
            <w:shd w:fill="FFFFFF"/>
          </w:tcPr>
          <w:p>
            <w:pPr>
              <w:spacing w:after="60" w:line="252" w:lineRule="auto"/>
            </w:pPr>
            <w:r>
              <w:rPr>
                <w:color w:val="000000"/>
                <w:sz w:val="20"/>
              </w:rPr>
              <w:t xml:space="preserve">Три стадии первичной квалификации в Общей воронке (назначено, проведено — на проверке, принято) с чек-листом, результатом, дефектами и приложениями (раздел 22).</w:t>
            </w:r>
          </w:p>
        </w:tc>
        <w:tc>
          <w:tcPr>
            <w:tcW w:type="dxa" w:w="362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После приемки координатор меняет воронку той же сделки; сохраняются ID, объект и выводы.</w:t>
            </w:r>
          </w:p>
        </w:tc>
      </w:tr>
      <w:tr>
        <w:trPr>
          <w:cantSplit/>
        </w:trPr>
        <w:tc>
          <w:tcPr>
            <w:tcW w:type="dxa" w:w="192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Сделки продаж</w:t>
            </w:r>
          </w:p>
        </w:tc>
        <w:tc>
          <w:tcPr>
            <w:tcW w:type="dxa" w:w="4082"/>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Четыре отдельные воронки: ТО АПС, монтаж АПС, проектирование, при необходимости расширение.</w:t>
            </w:r>
          </w:p>
        </w:tc>
        <w:tc>
          <w:tcPr>
            <w:tcW w:type="dxa" w:w="362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Содержат коммерческие показатели и источник.</w:t>
            </w:r>
          </w:p>
        </w:tc>
      </w:tr>
      <w:tr>
        <w:trPr>
          <w:cantSplit/>
        </w:trPr>
        <w:tc>
          <w:tcPr>
            <w:tcW w:type="dxa" w:w="192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Выполнение работ</w:t>
            </w:r>
          </w:p>
        </w:tc>
        <w:tc>
          <w:tcPr>
            <w:tcW w:type="dxa" w:w="4082"/>
            <w:tcMar>
              <w:top w:w="85" w:type="dxa"/>
              <w:start w:w="120" w:type="dxa"/>
              <w:bottom w:w="85" w:type="dxa"/>
              <w:end w:w="120" w:type="dxa"/>
              <w:left w:w="85" w:type="dxa"/>
              <w:right w:w="85" w:type="dxa"/>
            </w:tcMar>
            <w:vAlign w:val="center"/>
            <w:shd w:fill="FFFFFF"/>
          </w:tcPr>
          <w:p>
            <w:pPr>
              <w:spacing w:after="60" w:line="252" w:lineRule="auto"/>
            </w:pPr>
            <w:r>
              <w:rPr>
                <w:color w:val="000000"/>
                <w:sz w:val="20"/>
              </w:rPr>
              <w:t>Отдельная воронка сделок «Обслуживание текущих клиентов».</w:t>
            </w:r>
          </w:p>
        </w:tc>
        <w:tc>
          <w:tcPr>
            <w:tcW w:type="dxa" w:w="362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Связан с объектом, договором, техником, отчетом и счетом.</w:t>
            </w:r>
          </w:p>
        </w:tc>
      </w:tr>
      <w:tr>
        <w:trPr>
          <w:cantSplit/>
        </w:trPr>
        <w:tc>
          <w:tcPr>
            <w:tcW w:type="dxa" w:w="192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Оборудование к замене</w:t>
            </w:r>
          </w:p>
        </w:tc>
        <w:tc>
          <w:tcPr>
            <w:tcW w:type="dxa" w:w="4082"/>
            <w:tcMar>
              <w:top w:w="85" w:type="dxa"/>
              <w:start w:w="120" w:type="dxa"/>
              <w:bottom w:w="85" w:type="dxa"/>
              <w:end w:w="120" w:type="dxa"/>
              <w:left w:w="85" w:type="dxa"/>
              <w:right w:w="85" w:type="dxa"/>
            </w:tcMar>
            <w:vAlign w:val="center"/>
            <w:shd w:fill="FFFFFF"/>
          </w:tcPr>
          <w:p>
            <w:pPr>
              <w:spacing w:after="60" w:line="252" w:lineRule="auto"/>
            </w:pPr>
            <w:r>
              <w:rPr>
                <w:color w:val="000000"/>
                <w:sz w:val="20"/>
              </w:rPr>
              <w:t>Поле-список сделки и позиции электронного чек-листа.</w:t>
            </w:r>
          </w:p>
        </w:tc>
        <w:tc>
          <w:tcPr>
            <w:tcW w:type="dxa" w:w="362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Из отмеченных позиций создается задача на счет.</w:t>
            </w:r>
          </w:p>
        </w:tc>
      </w:tr>
    </w:tbl>
    <w:p>
      <w:pPr>
        <w:widowControl/>
        <w:spacing w:after="20"/>
      </w:pPr>
    </w:p>
    <w:p>
      <w:pPr>
        <w:widowControl/>
      </w:pPr>
      <w:r>
        <w:t>Кардинальность: компания 1:N объектов; объект 1:N обследований, сделок и работ; договор N:M объектов через структурированную связь; договор 1:N строк услуг; строка услуги 1:N работ; работа 1:N задач и замечаний; платежи N:M обязательств через распределение. Системные ID неизменяемы. Работы не увеличивают число договоров или MRR; правила общего паспорта MG-01–10 обязательны.</w:t>
      </w:r>
    </w:p>
    <w:p>
      <w:pPr>
        <w:widowControl/>
      </w:pPr>
      <w:r>
        <w:rPr>
          <w:b/>
        </w:rPr>
        <w:t xml:space="preserve">Решение (28.09.2026): </w:t>
      </w:r>
      <w:r>
        <w:t xml:space="preserve">задача всех продуктовых воронок — довести клиента до заключения Договора на ТО и перевода в воронку «Обслуживание текущих клиентов», при этом обязательно выполнив требования законодательства в области пожарной безопасности: разработать проектную документацию, выполнить монтаж в соответствии с проектом и заключить Договор на ТО. Сама архитектура — отдельные продуктовые воронки, ведущие к воронке ОТК — остаётся; сами же этапы (стадии) внутри воронок будут приведены в соответствие с табл. 7–10 ТЗ.</w:t>
      </w:r>
    </w:p>
    <w:p>
      <w:pPr>
        <w:pStyle w:val="Heading1"/>
        <w:keepNext/>
        <w:widowControl/>
      </w:pPr>
      <w:r>
        <w:rPr>
          <w:color w:val="000000"/>
          <w:u w:val="none"/>
        </w:rPr>
        <w:t>4 Единые справочники и поля</w:t>
      </w:r>
    </w:p>
    <w:p>
      <w:pPr>
        <w:pStyle w:val="Heading2"/>
        <w:keepNext/>
        <w:widowControl/>
      </w:pPr>
      <w:r>
        <w:rPr>
          <w:color w:val="000000"/>
          <w:u w:val="none"/>
        </w:rPr>
        <w:t>4.1 Справочники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cantSplit/>
          <w:tblHeader/>
        </w:trPr>
        <w:tc>
          <w:tcPr>
            <w:tcW w:type="dxa" w:w="2721"/>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7"/>
              </w:rPr>
              <w:t>Справочник</w:t>
            </w:r>
          </w:p>
        </w:tc>
        <w:tc>
          <w:tcPr>
            <w:tcW w:type="dxa" w:w="6917"/>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7"/>
              </w:rPr>
              <w:t>Значения или правило</w:t>
            </w:r>
          </w:p>
        </w:tc>
      </w:tr>
      <w:tr>
        <w:trPr>
          <w:cantSplit/>
        </w:trPr>
        <w:tc>
          <w:tcPr>
            <w:tcW w:type="dxa" w:w="2721"/>
            <w:tcMar>
              <w:top w:w="85" w:type="dxa"/>
              <w:start w:w="120" w:type="dxa"/>
              <w:bottom w:w="85" w:type="dxa"/>
              <w:end w:w="120" w:type="dxa"/>
              <w:left w:w="85" w:type="dxa"/>
              <w:right w:w="85" w:type="dxa"/>
            </w:tcMar>
            <w:vAlign w:val="center"/>
            <w:shd w:fill="FFFFFF"/>
          </w:tcPr>
          <w:p>
            <w:pPr>
              <w:spacing w:after="60" w:line="252" w:lineRule="auto"/>
            </w:pPr>
            <w:r>
              <w:rPr>
                <w:color w:val="000000"/>
                <w:sz w:val="17"/>
              </w:rPr>
              <w:t>Услуга</w:t>
            </w:r>
          </w:p>
        </w:tc>
        <w:tc>
          <w:tcPr>
            <w:tcW w:type="dxa" w:w="6917"/>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Обследование; ТО АПС; монтаж АПС; проектирование; ремонт; модернизация; аудит; отдельная услуга.</w:t>
            </w:r>
          </w:p>
        </w:tc>
      </w:tr>
      <w:tr>
        <w:trPr>
          <w:cantSplit/>
        </w:trPr>
        <w:tc>
          <w:tcPr>
            <w:tcW w:type="dxa" w:w="2721"/>
            <w:tcMar>
              <w:top w:w="85" w:type="dxa"/>
              <w:start w:w="120" w:type="dxa"/>
              <w:bottom w:w="85" w:type="dxa"/>
              <w:end w:w="120" w:type="dxa"/>
              <w:left w:w="85" w:type="dxa"/>
              <w:right w:w="85" w:type="dxa"/>
            </w:tcMar>
            <w:vAlign w:val="center"/>
            <w:shd w:fill="FFFFFF"/>
          </w:tcPr>
          <w:p>
            <w:pPr>
              <w:spacing w:after="60" w:line="252" w:lineRule="auto"/>
            </w:pPr>
            <w:r>
              <w:rPr>
                <w:color w:val="000000"/>
                <w:sz w:val="17"/>
              </w:rPr>
              <w:t>Тип объекта</w:t>
            </w:r>
          </w:p>
        </w:tc>
        <w:tc>
          <w:tcPr>
            <w:tcW w:type="dxa" w:w="6917"/>
            <w:tcMar>
              <w:top w:w="85" w:type="dxa"/>
              <w:start w:w="120" w:type="dxa"/>
              <w:bottom w:w="85" w:type="dxa"/>
              <w:end w:w="120" w:type="dxa"/>
              <w:left w:w="85" w:type="dxa"/>
              <w:right w:w="85" w:type="dxa"/>
            </w:tcMar>
            <w:vAlign w:val="center"/>
            <w:shd w:fill="FFFFFF"/>
          </w:tcPr>
          <w:p>
            <w:pPr>
              <w:spacing w:after="60" w:line="252" w:lineRule="auto"/>
            </w:pPr>
            <w:r>
              <w:rPr>
                <w:color w:val="000000"/>
                <w:sz w:val="17"/>
              </w:rPr>
              <w:t>Склад; логистика; производство; БЦ; торговля; медицина; общепит; офис; другое.</w:t>
            </w:r>
          </w:p>
        </w:tc>
      </w:tr>
      <w:tr>
        <w:trPr>
          <w:cantSplit/>
        </w:trPr>
        <w:tc>
          <w:tcPr>
            <w:tcW w:type="dxa" w:w="2721"/>
            <w:tcMar>
              <w:top w:w="85" w:type="dxa"/>
              <w:start w:w="120" w:type="dxa"/>
              <w:bottom w:w="85" w:type="dxa"/>
              <w:end w:w="120" w:type="dxa"/>
              <w:left w:w="85" w:type="dxa"/>
              <w:right w:w="85" w:type="dxa"/>
            </w:tcMar>
            <w:vAlign w:val="center"/>
            <w:shd w:fill="FFFFFF"/>
          </w:tcPr>
          <w:p>
            <w:pPr>
              <w:spacing w:after="60" w:line="252" w:lineRule="auto"/>
            </w:pPr>
            <w:r>
              <w:rPr>
                <w:color w:val="000000"/>
                <w:sz w:val="17"/>
              </w:rPr>
              <w:t>Роль в закупке</w:t>
            </w:r>
          </w:p>
        </w:tc>
        <w:tc>
          <w:tcPr>
            <w:tcW w:type="dxa" w:w="6917"/>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ЛПР; влияющий; procurement; технический специалист; инициатор.</w:t>
            </w:r>
          </w:p>
        </w:tc>
      </w:tr>
      <w:tr>
        <w:trPr>
          <w:cantSplit/>
        </w:trPr>
        <w:tc>
          <w:tcPr>
            <w:tcW w:type="dxa" w:w="2721"/>
            <w:tcMar>
              <w:top w:w="85" w:type="dxa"/>
              <w:start w:w="120" w:type="dxa"/>
              <w:bottom w:w="85" w:type="dxa"/>
              <w:end w:w="120" w:type="dxa"/>
              <w:left w:w="85" w:type="dxa"/>
              <w:right w:w="85" w:type="dxa"/>
            </w:tcMar>
            <w:vAlign w:val="center"/>
            <w:shd w:fill="FFFFFF"/>
          </w:tcPr>
          <w:p>
            <w:pPr>
              <w:spacing w:after="60" w:line="252" w:lineRule="auto"/>
            </w:pPr>
            <w:r>
              <w:rPr>
                <w:color w:val="000000"/>
                <w:sz w:val="17"/>
              </w:rPr>
              <w:t>Триггер</w:t>
            </w:r>
          </w:p>
        </w:tc>
        <w:tc>
          <w:tcPr>
            <w:tcW w:type="dxa" w:w="6917"/>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Новое строительство; смена подрядчика; неисправность; проверка; реконструкция; модернизация; окончание договора; отдельная услуга.</w:t>
            </w:r>
          </w:p>
        </w:tc>
      </w:tr>
      <w:tr>
        <w:trPr>
          <w:cantSplit/>
        </w:trPr>
        <w:tc>
          <w:tcPr>
            <w:tcW w:type="dxa" w:w="2721"/>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Причина проигрыша</w:t>
            </w:r>
          </w:p>
        </w:tc>
        <w:tc>
          <w:tcPr>
            <w:tcW w:type="dxa" w:w="6917"/>
            <w:tcMar>
              <w:top w:w="85" w:type="dxa"/>
              <w:start w:w="120" w:type="dxa"/>
              <w:bottom w:w="85" w:type="dxa"/>
              <w:end w:w="120" w:type="dxa"/>
              <w:left w:w="85" w:type="dxa"/>
              <w:right w:w="85" w:type="dxa"/>
            </w:tcMar>
            <w:vAlign w:val="center"/>
            <w:shd w:fill="FFFFFF"/>
          </w:tcPr>
          <w:p>
            <w:pPr>
              <w:spacing w:after="60" w:line="252" w:lineRule="auto"/>
            </w:pPr>
            <w:r>
              <w:rPr>
                <w:color w:val="000000"/>
                <w:sz w:val="17"/>
              </w:rPr>
              <w:t>Цена; нет бюджета; отложено; выбран конкурент; нецелевой регион; B2C; нет компетенции; не вышли на связь; дубль; иное с комментарием.</w:t>
            </w:r>
          </w:p>
        </w:tc>
      </w:tr>
      <w:tr>
        <w:trPr>
          <w:cantSplit/>
        </w:trPr>
        <w:tc>
          <w:tcPr>
            <w:tcW w:type="dxa" w:w="2721"/>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Вид работы ТО</w:t>
            </w:r>
          </w:p>
        </w:tc>
        <w:tc>
          <w:tcPr>
            <w:tcW w:type="dxa" w:w="6917"/>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Ежемесячный осмотр; капитальное ТО; тестирование.</w:t>
            </w:r>
          </w:p>
        </w:tc>
      </w:tr>
      <w:tr>
        <w:trPr>
          <w:cantSplit/>
        </w:trPr>
        <w:tc>
          <w:tcPr>
            <w:tcW w:type="dxa" w:w="2721"/>
            <w:tcMar>
              <w:top w:w="85" w:type="dxa"/>
              <w:start w:w="120" w:type="dxa"/>
              <w:bottom w:w="85" w:type="dxa"/>
              <w:end w:w="120" w:type="dxa"/>
              <w:left w:w="85" w:type="dxa"/>
              <w:right w:w="85" w:type="dxa"/>
            </w:tcMar>
            <w:vAlign w:val="center"/>
            <w:shd w:fill="FFFFFF"/>
          </w:tcPr>
          <w:p>
            <w:pPr>
              <w:spacing w:after="60" w:line="252" w:lineRule="auto"/>
            </w:pPr>
            <w:r>
              <w:rPr>
                <w:color w:val="000000"/>
                <w:sz w:val="17"/>
              </w:rPr>
              <w:t>Статус позиции оборудования</w:t>
            </w:r>
          </w:p>
        </w:tc>
        <w:tc>
          <w:tcPr>
            <w:tcW w:type="dxa" w:w="6917"/>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Исправно; неисправно; требуется замена; требуется диагностика; заменено.</w:t>
            </w:r>
          </w:p>
        </w:tc>
      </w:tr>
      <w:tr>
        <w:trPr>
          <w:cantSplit/>
        </w:trPr>
        <w:tc>
          <w:tcPr>
            <w:tcW w:type="dxa" w:w="2721"/>
            <w:tcMar>
              <w:top w:w="85" w:type="dxa"/>
              <w:start w:w="120" w:type="dxa"/>
              <w:bottom w:w="85" w:type="dxa"/>
              <w:end w:w="120" w:type="dxa"/>
              <w:left w:w="85" w:type="dxa"/>
              <w:right w:w="85" w:type="dxa"/>
            </w:tcMar>
            <w:vAlign w:val="center"/>
            <w:shd w:fill="FFFFFF"/>
          </w:tcPr>
          <w:p>
            <w:pPr>
              <w:spacing w:after="60" w:line="252" w:lineRule="auto"/>
            </w:pPr>
            <w:r>
              <w:rPr>
                <w:color w:val="000000"/>
                <w:sz w:val="17"/>
              </w:rPr>
              <w:t>Статус клиента</w:t>
            </w:r>
          </w:p>
        </w:tc>
        <w:tc>
          <w:tcPr>
            <w:tcW w:type="dxa" w:w="6917"/>
            <w:tcMar>
              <w:top w:w="85" w:type="dxa"/>
              <w:start w:w="120" w:type="dxa"/>
              <w:bottom w:w="85" w:type="dxa"/>
              <w:end w:w="120" w:type="dxa"/>
              <w:left w:w="85" w:type="dxa"/>
              <w:right w:w="85" w:type="dxa"/>
            </w:tcMar>
            <w:vAlign w:val="center"/>
            <w:shd w:fill="FFFFFF"/>
          </w:tcPr>
          <w:p>
            <w:pPr>
              <w:spacing w:after="60" w:line="252" w:lineRule="auto"/>
            </w:pPr>
            <w:r>
              <w:rPr>
                <w:color w:val="000000"/>
              </w:rPr>
              <w:t>Статус компании — производный от подтверждённых договоров и услуг по карте ID. Действующее ТО имеет приоритет при другой продаже; пауза и уход проверяются по всем договорам компании. Расторжение одного не делает компанию бывшим клиентом при другом действующем договоре. Название не является ключом связи. Ручной комментарий содержит причину/дату/основание; финансовые показатели выводятся из договоров, а не из ярлыка компании.</w:t>
            </w:r>
          </w:p>
        </w:tc>
      </w:tr>
    </w:tbl>
    <w:p>
      <w:pPr>
        <w:widowControl/>
        <w:spacing w:after="20"/>
      </w:pPr>
    </w:p>
    <w:p>
      <w:pPr>
        <w:pStyle w:val="Heading2"/>
        <w:keepNext/>
        <w:widowControl/>
      </w:pPr>
      <w:r>
        <w:rPr>
          <w:color w:val="000000"/>
          <w:u w:val="none"/>
        </w:rPr>
        <w:t>4.2 Атрибуция и маркетинг</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rPr>
          <w:tblHeader w:val="true"/>
          <w:cantSplit/>
          <w:tblHeader/>
        </w:trPr>
        <w:tc>
          <w:tcPr>
            <w:tcW w:type="dxa" w:w="3458"/>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6"/>
              </w:rPr>
              <w:t>Поле</w:t>
            </w:r>
          </w:p>
        </w:tc>
        <w:tc>
          <w:tcPr>
            <w:tcW w:type="dxa" w:w="1701"/>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6"/>
              </w:rPr>
              <w:t>Тип</w:t>
            </w:r>
          </w:p>
        </w:tc>
        <w:tc>
          <w:tcPr>
            <w:tcW w:type="dxa" w:w="4479"/>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6"/>
              </w:rPr>
              <w:t>Правило</w:t>
            </w:r>
          </w:p>
        </w:tc>
      </w:tr>
      <w:tr>
        <w:trPr>
          <w:cantSplit/>
        </w:trPr>
        <w:tc>
          <w:tcPr>
            <w:tcW w:type="dxa" w:w="3458"/>
            <w:tcMar>
              <w:top w:w="85" w:type="dxa"/>
              <w:start w:w="120" w:type="dxa"/>
              <w:bottom w:w="85" w:type="dxa"/>
              <w:end w:w="120" w:type="dxa"/>
              <w:left w:w="85" w:type="dxa"/>
              <w:right w:w="85" w:type="dxa"/>
            </w:tcMar>
            <w:vAlign w:val="center"/>
            <w:shd w:fill="FFFFFF"/>
          </w:tcPr>
          <w:p>
            <w:pPr>
              <w:spacing w:after="60" w:line="252" w:lineRule="auto"/>
            </w:pPr>
            <w:r>
              <w:rPr>
                <w:color w:val="000000"/>
                <w:sz w:val="20"/>
              </w:rPr>
              <w:t>UF_CRM_FIRST_UTM_SOURCE/MEDIUM/CAMPAIGN/CONTENT/TERM</w:t>
            </w:r>
          </w:p>
        </w:tc>
        <w:tc>
          <w:tcPr>
            <w:tcW w:type="dxa" w:w="170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Строка</w:t>
            </w:r>
          </w:p>
        </w:tc>
        <w:tc>
          <w:tcPr>
            <w:tcW w:type="dxa" w:w="4479"/>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Заполняются при первом известном касании и больше не перезаписываются.</w:t>
            </w:r>
          </w:p>
        </w:tc>
      </w:tr>
      <w:tr>
        <w:trPr>
          <w:cantSplit/>
        </w:trPr>
        <w:tc>
          <w:tcPr>
            <w:tcW w:type="dxa" w:w="3458"/>
            <w:tcMar>
              <w:top w:w="85" w:type="dxa"/>
              <w:start w:w="120" w:type="dxa"/>
              <w:bottom w:w="85" w:type="dxa"/>
              <w:end w:w="120" w:type="dxa"/>
              <w:left w:w="85" w:type="dxa"/>
              <w:right w:w="85" w:type="dxa"/>
            </w:tcMar>
            <w:vAlign w:val="center"/>
            <w:shd w:fill="FFFFFF"/>
          </w:tcPr>
          <w:p>
            <w:pPr>
              <w:spacing w:after="60" w:line="252" w:lineRule="auto"/>
            </w:pPr>
            <w:r>
              <w:rPr>
                <w:color w:val="000000"/>
                <w:sz w:val="20"/>
              </w:rPr>
              <w:t>UF_CRM_LAST_UTM_SOURCE/MEDIUM/CAMPAIGN/CONTENT/TERM</w:t>
            </w:r>
          </w:p>
        </w:tc>
        <w:tc>
          <w:tcPr>
            <w:tcW w:type="dxa" w:w="170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Строка</w:t>
            </w:r>
          </w:p>
        </w:tc>
        <w:tc>
          <w:tcPr>
            <w:tcW w:type="dxa" w:w="4479"/>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Обновляются при каждом новом идентифицированном обращении.</w:t>
            </w:r>
          </w:p>
        </w:tc>
      </w:tr>
      <w:tr>
        <w:trPr>
          <w:cantSplit/>
        </w:trPr>
        <w:tc>
          <w:tcPr>
            <w:tcW w:type="dxa" w:w="3458"/>
            <w:tcMar>
              <w:top w:w="85" w:type="dxa"/>
              <w:start w:w="120" w:type="dxa"/>
              <w:bottom w:w="85" w:type="dxa"/>
              <w:end w:w="120" w:type="dxa"/>
              <w:left w:w="85" w:type="dxa"/>
              <w:right w:w="85" w:type="dxa"/>
            </w:tcMar>
            <w:vAlign w:val="center"/>
            <w:shd w:fill="FFFFFF"/>
          </w:tcPr>
          <w:p>
            <w:pPr>
              <w:spacing w:after="60" w:line="252" w:lineRule="auto"/>
            </w:pPr>
            <w:r>
              <w:rPr>
                <w:color w:val="000000"/>
                <w:sz w:val="20"/>
              </w:rPr>
              <w:t>UF_CRM_FIRST_LANDING / UF_CRM_LAST_LANDING</w:t>
            </w:r>
          </w:p>
        </w:tc>
        <w:tc>
          <w:tcPr>
            <w:tcW w:type="dxa" w:w="170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URL</w:t>
            </w:r>
          </w:p>
        </w:tc>
        <w:tc>
          <w:tcPr>
            <w:tcW w:type="dxa" w:w="4479"/>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Первая и последняя посадочные страницы.</w:t>
            </w:r>
          </w:p>
        </w:tc>
      </w:tr>
      <w:tr>
        <w:trPr>
          <w:cantSplit/>
        </w:trPr>
        <w:tc>
          <w:tcPr>
            <w:tcW w:type="dxa" w:w="3458"/>
            <w:tcMar>
              <w:top w:w="85" w:type="dxa"/>
              <w:start w:w="120" w:type="dxa"/>
              <w:bottom w:w="85" w:type="dxa"/>
              <w:end w:w="120" w:type="dxa"/>
              <w:left w:w="85" w:type="dxa"/>
              <w:right w:w="85" w:type="dxa"/>
            </w:tcMar>
            <w:vAlign w:val="center"/>
            <w:shd w:fill="FFFFFF"/>
          </w:tcPr>
          <w:p>
            <w:pPr>
              <w:spacing w:after="60" w:line="252" w:lineRule="auto"/>
            </w:pPr>
            <w:r>
              <w:rPr>
                <w:color w:val="000000"/>
                <w:sz w:val="20"/>
              </w:rPr>
              <w:t>UF_CRM_FIRST_REFERRER / UF_CRM_LAST_REFERRER</w:t>
            </w:r>
          </w:p>
        </w:tc>
        <w:tc>
          <w:tcPr>
            <w:tcW w:type="dxa" w:w="170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URL</w:t>
            </w:r>
          </w:p>
        </w:tc>
        <w:tc>
          <w:tcPr>
            <w:tcW w:type="dxa" w:w="4479"/>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Источник перехода; direct хранить явно.</w:t>
            </w:r>
          </w:p>
        </w:tc>
      </w:tr>
      <w:tr>
        <w:trPr>
          <w:cantSplit/>
        </w:trPr>
        <w:tc>
          <w:tcPr>
            <w:tcW w:type="dxa" w:w="3458"/>
            <w:tcMar>
              <w:top w:w="85" w:type="dxa"/>
              <w:start w:w="120" w:type="dxa"/>
              <w:bottom w:w="85" w:type="dxa"/>
              <w:end w:w="120" w:type="dxa"/>
              <w:left w:w="85" w:type="dxa"/>
              <w:right w:w="85" w:type="dxa"/>
            </w:tcMar>
            <w:vAlign w:val="center"/>
            <w:shd w:fill="FFFFFF"/>
          </w:tcPr>
          <w:p>
            <w:pPr>
              <w:spacing w:after="60" w:line="252" w:lineRule="auto"/>
            </w:pPr>
            <w:r>
              <w:rPr>
                <w:color w:val="000000"/>
                <w:sz w:val="20"/>
              </w:rPr>
              <w:t>UF_CRM_GCLID / UF_CRM_GBRAID / UF_CRM_WBRAID / UF_CRM_DCLID / UF_CRM_FBCLID / UF_CRM_GAD_SOURCE</w:t>
            </w:r>
          </w:p>
        </w:tc>
        <w:tc>
          <w:tcPr>
            <w:tcW w:type="dxa" w:w="170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Строка</w:t>
            </w:r>
          </w:p>
        </w:tc>
        <w:tc>
          <w:tcPr>
            <w:tcW w:type="dxa" w:w="4479"/>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Не терять при конвертации; хранить последний валидный идентификатор и время получения.</w:t>
            </w:r>
          </w:p>
        </w:tc>
      </w:tr>
      <w:tr>
        <w:trPr>
          <w:cantSplit/>
        </w:trPr>
        <w:tc>
          <w:tcPr>
            <w:tcW w:type="dxa" w:w="3458"/>
            <w:tcMar>
              <w:top w:w="85" w:type="dxa"/>
              <w:start w:w="120" w:type="dxa"/>
              <w:bottom w:w="85" w:type="dxa"/>
              <w:end w:w="120" w:type="dxa"/>
              <w:left w:w="85" w:type="dxa"/>
              <w:right w:w="85" w:type="dxa"/>
            </w:tcMar>
            <w:vAlign w:val="center"/>
            <w:shd w:fill="FFFFFF"/>
          </w:tcPr>
          <w:p>
            <w:pPr>
              <w:spacing w:after="60" w:line="252" w:lineRule="auto"/>
            </w:pPr>
            <w:r>
              <w:rPr>
                <w:color w:val="000000"/>
                <w:sz w:val="20"/>
              </w:rPr>
              <w:t>UF_CRM_GA_CLIENT_ID</w:t>
            </w:r>
          </w:p>
        </w:tc>
        <w:tc>
          <w:tcPr>
            <w:tcW w:type="dxa" w:w="170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Строка</w:t>
            </w:r>
          </w:p>
        </w:tc>
        <w:tc>
          <w:tcPr>
            <w:tcW w:type="dxa" w:w="4479"/>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Передается из формы или call-tracking и используется для сквозной связи.</w:t>
            </w:r>
          </w:p>
        </w:tc>
      </w:tr>
      <w:tr>
        <w:trPr>
          <w:cantSplit/>
        </w:trPr>
        <w:tc>
          <w:tcPr>
            <w:tcW w:type="dxa" w:w="3458"/>
            <w:tcMar>
              <w:top w:w="85" w:type="dxa"/>
              <w:start w:w="120" w:type="dxa"/>
              <w:bottom w:w="85" w:type="dxa"/>
              <w:end w:w="120" w:type="dxa"/>
              <w:left w:w="85" w:type="dxa"/>
              <w:right w:w="85" w:type="dxa"/>
            </w:tcMar>
            <w:vAlign w:val="center"/>
            <w:shd w:fill="FFFFFF"/>
          </w:tcPr>
          <w:p>
            <w:pPr>
              <w:spacing w:after="60" w:line="252" w:lineRule="auto"/>
            </w:pPr>
            <w:r>
              <w:rPr>
                <w:color w:val="000000"/>
                <w:sz w:val="20"/>
              </w:rPr>
              <w:t>UF_CRM_SOURCE_FORM / UF_CRM_FORM_ID / UF_CRM_FORM_NAME / UF_CRM_FORM_LOCATION</w:t>
            </w:r>
          </w:p>
        </w:tc>
        <w:tc>
          <w:tcPr>
            <w:tcW w:type="dxa" w:w="170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Список/строка</w:t>
            </w:r>
          </w:p>
        </w:tc>
        <w:tc>
          <w:tcPr>
            <w:tcW w:type="dxa" w:w="4479"/>
            <w:tcMar>
              <w:top w:w="85" w:type="dxa"/>
              <w:start w:w="120" w:type="dxa"/>
              <w:bottom w:w="85" w:type="dxa"/>
              <w:end w:w="120" w:type="dxa"/>
              <w:left w:w="85" w:type="dxa"/>
              <w:right w:w="85" w:type="dxa"/>
            </w:tcMar>
            <w:vAlign w:val="center"/>
            <w:shd w:fill="FFFFFF"/>
          </w:tcPr>
          <w:p>
            <w:pPr>
              <w:spacing w:after="60" w:line="252" w:lineRule="auto"/>
            </w:pPr>
            <w:r>
              <w:rPr>
                <w:color w:val="000000"/>
                <w:sz w:val="16"/>
              </w:rPr>
              <w:t>SOURCE_FORM — канал обращения (форма, калькулятор, звонок, WhatsApp, email, ручной ввод, импорт); FORM_ID — технический ID формы; FORM_NAME — понятное название формы; FORM_LOCATION — расположение на странице (hero/footer/popup/calculator).</w:t>
            </w:r>
          </w:p>
        </w:tc>
      </w:tr>
      <w:tr>
        <w:trPr>
          <w:cantSplit/>
        </w:trPr>
        <w:tc>
          <w:tcPr>
            <w:tcW w:type="dxa" w:w="3458"/>
            <w:tcMar>
              <w:top w:w="85" w:type="dxa"/>
              <w:start w:w="120" w:type="dxa"/>
              <w:bottom w:w="85" w:type="dxa"/>
              <w:end w:w="120" w:type="dxa"/>
              <w:left w:w="85" w:type="dxa"/>
              <w:right w:w="85" w:type="dxa"/>
            </w:tcMar>
            <w:vAlign w:val="center"/>
            <w:shd w:fill="FFFFFF"/>
          </w:tcPr>
          <w:p>
            <w:pPr>
              <w:spacing w:after="60" w:line="252" w:lineRule="auto"/>
            </w:pPr>
            <w:r>
              <w:rPr>
                <w:color w:val="000000"/>
                <w:sz w:val="20"/>
              </w:rPr>
              <w:t>UF_CRM_SEARCH_TERM</w:t>
            </w:r>
          </w:p>
        </w:tc>
        <w:tc>
          <w:tcPr>
            <w:tcW w:type="dxa" w:w="170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Строка</w:t>
            </w:r>
          </w:p>
        </w:tc>
        <w:tc>
          <w:tcPr>
            <w:tcW w:type="dxa" w:w="4479"/>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Фактический поисковый запрос при доступности данных.</w:t>
            </w:r>
          </w:p>
        </w:tc>
      </w:tr>
      <w:tr>
        <w:trPr>
          <w:cantSplit/>
        </w:trPr>
        <w:tc>
          <w:tcPr>
            <w:tcW w:type="dxa" w:w="336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UF_CRM_YCLID</w:t>
            </w:r>
          </w:p>
        </w:tc>
        <w:tc>
          <w:tcPr>
            <w:tcW w:type="dxa" w:w="336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Строка</w:t>
            </w:r>
          </w:p>
        </w:tc>
        <w:tc>
          <w:tcPr>
            <w:tcW w:type="dxa" w:w="336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ID клика Яндекс.Директ; хранить значение и время получения.</w:t>
            </w:r>
          </w:p>
        </w:tc>
      </w:tr>
      <w:tr>
        <w:trPr>
          <w:cantSplit/>
        </w:trPr>
        <w:tc>
          <w:tcPr>
            <w:tcW w:type="dxa" w:w="336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UF_CRM_VISITOR_ID / UF_CRM_GA_SESSION_ID</w:t>
            </w:r>
          </w:p>
        </w:tc>
        <w:tc>
          <w:tcPr>
            <w:tcW w:type="dxa" w:w="336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Строка</w:t>
            </w:r>
          </w:p>
        </w:tc>
        <w:tc>
          <w:tcPr>
            <w:tcW w:type="dxa" w:w="336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Анонимные ID посетителя и сессии; не использовать как персональные данные.</w:t>
            </w:r>
          </w:p>
        </w:tc>
      </w:tr>
      <w:tr>
        <w:trPr>
          <w:cantSplit/>
        </w:trPr>
        <w:tc>
          <w:tcPr>
            <w:tcW w:type="dxa" w:w="336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UF_CRM_EVENT_ID / UF_CRM_SCHEMA_VERSION</w:t>
            </w:r>
          </w:p>
        </w:tc>
        <w:tc>
          <w:tcPr>
            <w:tcW w:type="dxa" w:w="336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Строка</w:t>
            </w:r>
          </w:p>
        </w:tc>
        <w:tc>
          <w:tcPr>
            <w:tcW w:type="dxa" w:w="336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Уникальный ID события и версия контракта данных для дедупликации.</w:t>
            </w:r>
          </w:p>
        </w:tc>
      </w:tr>
      <w:tr>
        <w:trPr>
          <w:cantSplit/>
        </w:trPr>
        <w:tc>
          <w:tcPr>
            <w:tcW w:type="dxa" w:w="336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UF_CRM_PAGE_TITLE / UF_CRM_CTA_LOCATION / UF_CRM_CTA_TEXT</w:t>
            </w:r>
          </w:p>
        </w:tc>
        <w:tc>
          <w:tcPr>
            <w:tcW w:type="dxa" w:w="336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Строка</w:t>
            </w:r>
          </w:p>
        </w:tc>
        <w:tc>
          <w:tcPr>
            <w:tcW w:type="dxa" w:w="336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Страница и точка конверсии, сформировавшие обращение.</w:t>
            </w:r>
          </w:p>
        </w:tc>
      </w:tr>
      <w:tr>
        <w:trPr>
          <w:cantSplit/>
        </w:trPr>
        <w:tc>
          <w:tcPr>
            <w:tcW w:type="dxa" w:w="336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UF_CRM_DEVICE_TYPE / UF_CRM_DEVICE_OS</w:t>
            </w:r>
          </w:p>
        </w:tc>
        <w:tc>
          <w:tcPr>
            <w:tcW w:type="dxa" w:w="336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Строка</w:t>
            </w:r>
          </w:p>
        </w:tc>
        <w:tc>
          <w:tcPr>
            <w:tcW w:type="dxa" w:w="336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Категория устройства и операционная система.</w:t>
            </w:r>
          </w:p>
        </w:tc>
      </w:tr>
      <w:tr>
        <w:trPr>
          <w:cantSplit/>
        </w:trPr>
        <w:tc>
          <w:tcPr>
            <w:tcW w:type="dxa" w:w="336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UF_CRM_TIME_ON_PAGE_SECONDS / UF_CRM_SCROLL_DEPTH_PERCENT</w:t>
            </w:r>
          </w:p>
        </w:tc>
        <w:tc>
          <w:tcPr>
            <w:tcW w:type="dxa" w:w="336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Число</w:t>
            </w:r>
          </w:p>
        </w:tc>
        <w:tc>
          <w:tcPr>
            <w:tcW w:type="dxa" w:w="336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Время до отправки формы и максимальная глубина просмотра.</w:t>
            </w:r>
          </w:p>
        </w:tc>
      </w:tr>
      <w:tr>
        <w:trPr>
          <w:cantSplit/>
        </w:trPr>
        <w:tc>
          <w:tcPr>
            <w:tcW w:type="dxa" w:w="336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UF_CRM_CALL_ID / UF_CRM_CALL_SOURCE / UF_CRM_CALL_RECORDING_URL</w:t>
            </w:r>
          </w:p>
        </w:tc>
        <w:tc>
          <w:tcPr>
            <w:tcW w:type="dxa" w:w="336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Строка/URL</w:t>
            </w:r>
          </w:p>
        </w:tc>
        <w:tc>
          <w:tcPr>
            <w:tcW w:type="dxa" w:w="336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Идентификаторы коллтрекинга, источник номера и ссылка на запись.</w:t>
            </w:r>
          </w:p>
        </w:tc>
      </w:tr>
    </w:tbl>
    <w:p>
      <w:pPr>
        <w:widowControl/>
        <w:spacing w:after="20"/>
      </w:pPr>
    </w:p>
    <w:p>
      <w:pPr>
        <w:pStyle w:val="Heading2"/>
        <w:keepNext/>
        <w:widowControl/>
      </w:pPr>
      <w:r>
        <w:rPr>
          <w:color w:val="000000"/>
          <w:u w:val="none"/>
        </w:rPr>
        <w:t>4.3 Клиент, объект и потребность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cantSplit/>
          <w:tblHeader/>
        </w:trPr>
        <w:tc>
          <w:tcPr>
            <w:tcW w:type="dxa" w:w="2211"/>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7"/>
              </w:rPr>
              <w:t>Блок</w:t>
            </w:r>
          </w:p>
        </w:tc>
        <w:tc>
          <w:tcPr>
            <w:tcW w:type="dxa" w:w="7427"/>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7"/>
              </w:rPr>
              <w:t>Обязательные поля</w:t>
            </w:r>
          </w:p>
        </w:tc>
      </w:tr>
      <w:tr>
        <w:trPr>
          <w:cantSplit/>
        </w:trPr>
        <w:tc>
          <w:tcPr>
            <w:tcW w:type="dxa" w:w="2211"/>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Компания и контакт</w:t>
            </w:r>
          </w:p>
        </w:tc>
        <w:tc>
          <w:tcPr>
            <w:tcW w:type="dxa" w:w="7427"/>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Название, БИН при наличии, контакт, телефон/email, должность, роль в закупке, согласие на обработку, статус клиента (см. 4.1).</w:t>
            </w:r>
          </w:p>
        </w:tc>
      </w:tr>
      <w:tr>
        <w:trPr>
          <w:cantSplit/>
        </w:trPr>
        <w:tc>
          <w:tcPr>
            <w:tcW w:type="dxa" w:w="2211"/>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Объект</w:t>
            </w:r>
          </w:p>
        </w:tc>
        <w:tc>
          <w:tcPr>
            <w:tcW w:type="dxa" w:w="7427"/>
            <w:tcMar>
              <w:top w:w="85" w:type="dxa"/>
              <w:start w:w="120" w:type="dxa"/>
              <w:bottom w:w="85" w:type="dxa"/>
              <w:end w:w="120" w:type="dxa"/>
              <w:left w:w="85" w:type="dxa"/>
              <w:right w:w="85" w:type="dxa"/>
            </w:tcMar>
            <w:vAlign w:val="center"/>
            <w:shd w:fill="FFFFFF"/>
          </w:tcPr>
          <w:p>
            <w:pPr>
              <w:spacing w:after="60" w:line="252" w:lineRule="auto"/>
            </w:pPr>
            <w:r>
              <w:rPr>
                <w:color w:val="000000"/>
                <w:sz w:val="17"/>
              </w:rPr>
              <w:t>Регион, адрес, координаты при наличии, тип, отрасль, площадь, этажность, число объектов, действующая АПС, производитель/модель, год ввода, текущий подрядчик, дата окончания договора.</w:t>
            </w:r>
          </w:p>
        </w:tc>
      </w:tr>
      <w:tr>
        <w:trPr>
          <w:cantSplit/>
        </w:trPr>
        <w:tc>
          <w:tcPr>
            <w:tcW w:type="dxa" w:w="2211"/>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Потребность</w:t>
            </w:r>
          </w:p>
        </w:tc>
        <w:tc>
          <w:tcPr>
            <w:tcW w:type="dxa" w:w="7427"/>
            <w:tcMar>
              <w:top w:w="85" w:type="dxa"/>
              <w:start w:w="120" w:type="dxa"/>
              <w:bottom w:w="85" w:type="dxa"/>
              <w:end w:w="120" w:type="dxa"/>
              <w:left w:w="85" w:type="dxa"/>
              <w:right w:w="85" w:type="dxa"/>
            </w:tcMar>
            <w:vAlign w:val="center"/>
            <w:shd w:fill="FFFFFF"/>
          </w:tcPr>
          <w:p>
            <w:pPr>
              <w:spacing w:after="60" w:line="252" w:lineRule="auto"/>
            </w:pPr>
            <w:r>
              <w:rPr>
                <w:color w:val="000000"/>
                <w:sz w:val="17"/>
              </w:rPr>
              <w:t>Услуга, триггер, проблема, срочность, дата проверки или открытия, наличие проекта, бюджет/диапазон, следующий шаг и дата.</w:t>
            </w:r>
          </w:p>
        </w:tc>
      </w:tr>
      <w:tr>
        <w:trPr>
          <w:cantSplit/>
        </w:trPr>
        <w:tc>
          <w:tcPr>
            <w:tcW w:type="dxa" w:w="2211"/>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Коммерция</w:t>
            </w:r>
          </w:p>
        </w:tc>
        <w:tc>
          <w:tcPr>
            <w:tcW w:type="dxa" w:w="7427"/>
            <w:tcMar>
              <w:top w:w="85" w:type="dxa"/>
              <w:start w:w="120" w:type="dxa"/>
              <w:bottom w:w="85" w:type="dxa"/>
              <w:end w:w="120" w:type="dxa"/>
              <w:left w:w="85" w:type="dxa"/>
              <w:right w:w="85" w:type="dxa"/>
            </w:tcMar>
            <w:vAlign w:val="center"/>
            <w:shd w:fill="FFFFFF"/>
          </w:tcPr>
          <w:p>
            <w:pPr>
              <w:spacing w:after="60" w:line="252" w:lineRule="auto"/>
            </w:pPr>
            <w:r>
              <w:rPr>
                <w:color w:val="000000"/>
                <w:sz w:val="17"/>
              </w:rPr>
              <w:t>Сумма расчета/КП, дата отправки, счет, дата счета, оплата, сумма договора, разовый доход, MRR, годовой доход, валовая прибыль, срок договора.</w:t>
            </w:r>
          </w:p>
        </w:tc>
      </w:tr>
      <w:tr>
        <w:trPr>
          <w:cantSplit/>
        </w:trPr>
        <w:tc>
          <w:tcPr>
            <w:tcW w:type="dxa" w:w="2211"/>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Контроль</w:t>
            </w:r>
          </w:p>
        </w:tc>
        <w:tc>
          <w:tcPr>
            <w:tcW w:type="dxa" w:w="7427"/>
            <w:tcMar>
              <w:top w:w="85" w:type="dxa"/>
              <w:start w:w="120" w:type="dxa"/>
              <w:bottom w:w="85" w:type="dxa"/>
              <w:end w:w="120" w:type="dxa"/>
              <w:left w:w="85" w:type="dxa"/>
              <w:right w:w="85" w:type="dxa"/>
            </w:tcMar>
            <w:vAlign w:val="center"/>
            <w:shd w:fill="FFFFFF"/>
          </w:tcPr>
          <w:p>
            <w:pPr>
              <w:spacing w:after="60" w:line="252" w:lineRule="auto"/>
            </w:pPr>
            <w:r>
              <w:rPr>
                <w:color w:val="000000"/>
                <w:sz w:val="17"/>
              </w:rPr>
              <w:t>ICP-score, класс A/B/C, ответственный, причина отказа, дата и результат последнего контакта, дата следующего шага.</w:t>
            </w:r>
          </w:p>
        </w:tc>
      </w:tr>
    </w:tbl>
    <w:p>
      <w:pPr>
        <w:widowControl/>
        <w:spacing w:after="20"/>
      </w:pPr>
    </w:p>
    <w:p>
      <w:pPr>
        <w:pStyle w:val="Heading1"/>
        <w:keepNext/>
        <w:widowControl/>
      </w:pPr>
      <w:r>
        <w:rPr>
          <w:color w:val="000000"/>
          <w:u w:val="none"/>
        </w:rPr>
        <w:t>5 Квалификация и ICP scoring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cantSplit/>
          <w:tblHeader/>
        </w:trPr>
        <w:tc>
          <w:tcPr>
            <w:tcW w:type="dxa" w:w="7654"/>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7"/>
              </w:rPr>
              <w:t>Условие</w:t>
            </w:r>
          </w:p>
        </w:tc>
        <w:tc>
          <w:tcPr>
            <w:tcW w:type="dxa" w:w="1984"/>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7"/>
              </w:rPr>
              <w:t>Баллы</w:t>
            </w:r>
          </w:p>
        </w:tc>
      </w:tr>
      <w:tr>
        <w:trPr>
          <w:cantSplit/>
        </w:trPr>
        <w:tc>
          <w:tcPr>
            <w:tcW w:type="dxa" w:w="7654"/>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Площадь объекта не менее 3 000 м²</w:t>
            </w:r>
          </w:p>
        </w:tc>
        <w:tc>
          <w:tcPr>
            <w:tcW w:type="dxa" w:w="1984"/>
            <w:tcMar>
              <w:top w:w="85" w:type="dxa"/>
              <w:start w:w="120" w:type="dxa"/>
              <w:bottom w:w="85" w:type="dxa"/>
              <w:end w:w="120" w:type="dxa"/>
              <w:left w:w="85" w:type="dxa"/>
              <w:right w:w="85" w:type="dxa"/>
            </w:tcMar>
            <w:vAlign w:val="center"/>
            <w:shd w:fill="FFFFFF"/>
          </w:tcPr>
          <w:p>
            <w:pPr>
              <w:spacing w:after="60" w:line="252" w:lineRule="auto"/>
            </w:pPr>
            <w:r>
              <w:rPr>
                <w:color w:val="000000"/>
                <w:sz w:val="17"/>
              </w:rPr>
              <w:t>+20</w:t>
            </w:r>
          </w:p>
        </w:tc>
      </w:tr>
      <w:tr>
        <w:trPr>
          <w:cantSplit/>
        </w:trPr>
        <w:tc>
          <w:tcPr>
            <w:tcW w:type="dxa" w:w="7654"/>
            <w:tcMar>
              <w:top w:w="85" w:type="dxa"/>
              <w:start w:w="120" w:type="dxa"/>
              <w:bottom w:w="85" w:type="dxa"/>
              <w:end w:w="120" w:type="dxa"/>
              <w:left w:w="85" w:type="dxa"/>
              <w:right w:w="85" w:type="dxa"/>
            </w:tcMar>
            <w:vAlign w:val="center"/>
            <w:shd w:fill="FFFFFF"/>
          </w:tcPr>
          <w:p>
            <w:pPr>
              <w:spacing w:after="60" w:line="252" w:lineRule="auto"/>
            </w:pPr>
            <w:r>
              <w:rPr>
                <w:color w:val="000000"/>
                <w:sz w:val="17"/>
              </w:rPr>
              <w:t>Склад, логистика или производство</w:t>
            </w:r>
          </w:p>
        </w:tc>
        <w:tc>
          <w:tcPr>
            <w:tcW w:type="dxa" w:w="1984"/>
            <w:tcMar>
              <w:top w:w="85" w:type="dxa"/>
              <w:start w:w="120" w:type="dxa"/>
              <w:bottom w:w="85" w:type="dxa"/>
              <w:end w:w="120" w:type="dxa"/>
              <w:left w:w="85" w:type="dxa"/>
              <w:right w:w="85" w:type="dxa"/>
            </w:tcMar>
            <w:vAlign w:val="center"/>
            <w:shd w:fill="FFFFFF"/>
          </w:tcPr>
          <w:p>
            <w:pPr>
              <w:spacing w:after="60" w:line="252" w:lineRule="auto"/>
            </w:pPr>
            <w:r>
              <w:rPr>
                <w:color w:val="000000"/>
                <w:sz w:val="17"/>
              </w:rPr>
              <w:t>+15</w:t>
            </w:r>
          </w:p>
        </w:tc>
      </w:tr>
      <w:tr>
        <w:trPr>
          <w:cantSplit/>
        </w:trPr>
        <w:tc>
          <w:tcPr>
            <w:tcW w:type="dxa" w:w="7654"/>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Есть действующая АПС</w:t>
            </w:r>
          </w:p>
        </w:tc>
        <w:tc>
          <w:tcPr>
            <w:tcW w:type="dxa" w:w="1984"/>
            <w:tcMar>
              <w:top w:w="85" w:type="dxa"/>
              <w:start w:w="120" w:type="dxa"/>
              <w:bottom w:w="85" w:type="dxa"/>
              <w:end w:w="120" w:type="dxa"/>
              <w:left w:w="85" w:type="dxa"/>
              <w:right w:w="85" w:type="dxa"/>
            </w:tcMar>
            <w:vAlign w:val="center"/>
            <w:shd w:fill="FFFFFF"/>
          </w:tcPr>
          <w:p>
            <w:pPr>
              <w:spacing w:after="60" w:line="252" w:lineRule="auto"/>
            </w:pPr>
            <w:r>
              <w:rPr>
                <w:color w:val="000000"/>
                <w:sz w:val="17"/>
              </w:rPr>
              <w:t>+15</w:t>
            </w:r>
          </w:p>
        </w:tc>
      </w:tr>
      <w:tr>
        <w:trPr>
          <w:cantSplit/>
        </w:trPr>
        <w:tc>
          <w:tcPr>
            <w:tcW w:type="dxa" w:w="7654"/>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Два объекта и более</w:t>
            </w:r>
          </w:p>
        </w:tc>
        <w:tc>
          <w:tcPr>
            <w:tcW w:type="dxa" w:w="1984"/>
            <w:tcMar>
              <w:top w:w="85" w:type="dxa"/>
              <w:start w:w="120" w:type="dxa"/>
              <w:bottom w:w="85" w:type="dxa"/>
              <w:end w:w="120" w:type="dxa"/>
              <w:left w:w="85" w:type="dxa"/>
              <w:right w:w="85" w:type="dxa"/>
            </w:tcMar>
            <w:vAlign w:val="center"/>
            <w:shd w:fill="FFFFFF"/>
          </w:tcPr>
          <w:p>
            <w:pPr>
              <w:spacing w:after="60" w:line="252" w:lineRule="auto"/>
            </w:pPr>
            <w:r>
              <w:rPr>
                <w:color w:val="000000"/>
                <w:sz w:val="17"/>
              </w:rPr>
              <w:t>+10</w:t>
            </w:r>
          </w:p>
        </w:tc>
      </w:tr>
      <w:tr>
        <w:trPr>
          <w:cantSplit/>
        </w:trPr>
        <w:tc>
          <w:tcPr>
            <w:tcW w:type="dxa" w:w="7654"/>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Контакт — технический ЛПР</w:t>
            </w:r>
          </w:p>
        </w:tc>
        <w:tc>
          <w:tcPr>
            <w:tcW w:type="dxa" w:w="1984"/>
            <w:tcMar>
              <w:top w:w="85" w:type="dxa"/>
              <w:start w:w="120" w:type="dxa"/>
              <w:bottom w:w="85" w:type="dxa"/>
              <w:end w:w="120" w:type="dxa"/>
              <w:left w:w="85" w:type="dxa"/>
              <w:right w:w="85" w:type="dxa"/>
            </w:tcMar>
            <w:vAlign w:val="center"/>
            <w:shd w:fill="FFFFFF"/>
          </w:tcPr>
          <w:p>
            <w:pPr>
              <w:spacing w:after="60" w:line="252" w:lineRule="auto"/>
            </w:pPr>
            <w:r>
              <w:rPr>
                <w:color w:val="000000"/>
                <w:sz w:val="17"/>
              </w:rPr>
              <w:t>+10</w:t>
            </w:r>
          </w:p>
        </w:tc>
      </w:tr>
      <w:tr>
        <w:trPr>
          <w:cantSplit/>
        </w:trPr>
        <w:tc>
          <w:tcPr>
            <w:tcW w:type="dxa" w:w="7654"/>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Есть недовольство текущим подрядчиком</w:t>
            </w:r>
          </w:p>
        </w:tc>
        <w:tc>
          <w:tcPr>
            <w:tcW w:type="dxa" w:w="1984"/>
            <w:tcMar>
              <w:top w:w="85" w:type="dxa"/>
              <w:start w:w="120" w:type="dxa"/>
              <w:bottom w:w="85" w:type="dxa"/>
              <w:end w:w="120" w:type="dxa"/>
              <w:left w:w="85" w:type="dxa"/>
              <w:right w:w="85" w:type="dxa"/>
            </w:tcMar>
            <w:vAlign w:val="center"/>
            <w:shd w:fill="FFFFFF"/>
          </w:tcPr>
          <w:p>
            <w:pPr>
              <w:spacing w:after="60" w:line="252" w:lineRule="auto"/>
            </w:pPr>
            <w:r>
              <w:rPr>
                <w:color w:val="000000"/>
                <w:sz w:val="17"/>
              </w:rPr>
              <w:t>+10</w:t>
            </w:r>
          </w:p>
        </w:tc>
      </w:tr>
      <w:tr>
        <w:trPr>
          <w:cantSplit/>
        </w:trPr>
        <w:tc>
          <w:tcPr>
            <w:tcW w:type="dxa" w:w="7654"/>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Договор заканчивается в течение 90 дней</w:t>
            </w:r>
          </w:p>
        </w:tc>
        <w:tc>
          <w:tcPr>
            <w:tcW w:type="dxa" w:w="1984"/>
            <w:tcMar>
              <w:top w:w="85" w:type="dxa"/>
              <w:start w:w="120" w:type="dxa"/>
              <w:bottom w:w="85" w:type="dxa"/>
              <w:end w:w="120" w:type="dxa"/>
              <w:left w:w="85" w:type="dxa"/>
              <w:right w:w="85" w:type="dxa"/>
            </w:tcMar>
            <w:vAlign w:val="center"/>
            <w:shd w:fill="FFFFFF"/>
          </w:tcPr>
          <w:p>
            <w:pPr>
              <w:spacing w:after="60" w:line="252" w:lineRule="auto"/>
            </w:pPr>
            <w:r>
              <w:rPr>
                <w:color w:val="000000"/>
                <w:sz w:val="17"/>
              </w:rPr>
              <w:t>+10</w:t>
            </w:r>
          </w:p>
        </w:tc>
      </w:tr>
      <w:tr>
        <w:trPr>
          <w:cantSplit/>
        </w:trPr>
        <w:tc>
          <w:tcPr>
            <w:tcW w:type="dxa" w:w="7654"/>
            <w:tcMar>
              <w:top w:w="85" w:type="dxa"/>
              <w:start w:w="120" w:type="dxa"/>
              <w:bottom w:w="85" w:type="dxa"/>
              <w:end w:w="120" w:type="dxa"/>
              <w:left w:w="85" w:type="dxa"/>
              <w:right w:w="85" w:type="dxa"/>
            </w:tcMar>
            <w:vAlign w:val="center"/>
            <w:shd w:fill="FFFFFF"/>
          </w:tcPr>
          <w:p>
            <w:pPr>
              <w:spacing w:after="60" w:line="252" w:lineRule="auto"/>
            </w:pPr>
            <w:r>
              <w:rPr>
                <w:color w:val="000000"/>
                <w:sz w:val="17"/>
              </w:rPr>
              <w:t>Триггер аудит или проверка</w:t>
            </w:r>
          </w:p>
        </w:tc>
        <w:tc>
          <w:tcPr>
            <w:tcW w:type="dxa" w:w="1984"/>
            <w:tcMar>
              <w:top w:w="85" w:type="dxa"/>
              <w:start w:w="120" w:type="dxa"/>
              <w:bottom w:w="85" w:type="dxa"/>
              <w:end w:w="120" w:type="dxa"/>
              <w:left w:w="85" w:type="dxa"/>
              <w:right w:w="85" w:type="dxa"/>
            </w:tcMar>
            <w:vAlign w:val="center"/>
            <w:shd w:fill="FFFFFF"/>
          </w:tcPr>
          <w:p>
            <w:pPr>
              <w:spacing w:after="60" w:line="252" w:lineRule="auto"/>
            </w:pPr>
            <w:r>
              <w:rPr>
                <w:color w:val="000000"/>
                <w:sz w:val="17"/>
              </w:rPr>
              <w:t>+5</w:t>
            </w:r>
          </w:p>
        </w:tc>
      </w:tr>
      <w:tr>
        <w:trPr>
          <w:cantSplit/>
        </w:trPr>
        <w:tc>
          <w:tcPr>
            <w:tcW w:type="dxa" w:w="7654"/>
            <w:tcMar>
              <w:top w:w="85" w:type="dxa"/>
              <w:start w:w="120" w:type="dxa"/>
              <w:bottom w:w="85" w:type="dxa"/>
              <w:end w:w="120" w:type="dxa"/>
              <w:left w:w="85" w:type="dxa"/>
              <w:right w:w="85" w:type="dxa"/>
            </w:tcMar>
            <w:vAlign w:val="center"/>
            <w:shd w:fill="FFFFFF"/>
          </w:tcPr>
          <w:p>
            <w:pPr>
              <w:spacing w:after="60" w:line="252" w:lineRule="auto"/>
            </w:pPr>
            <w:r>
              <w:rPr>
                <w:color w:val="000000"/>
                <w:sz w:val="17"/>
              </w:rPr>
              <w:t>Согласован следующий шаг и дата</w:t>
            </w:r>
          </w:p>
        </w:tc>
        <w:tc>
          <w:tcPr>
            <w:tcW w:type="dxa" w:w="1984"/>
            <w:tcMar>
              <w:top w:w="85" w:type="dxa"/>
              <w:start w:w="120" w:type="dxa"/>
              <w:bottom w:w="85" w:type="dxa"/>
              <w:end w:w="120" w:type="dxa"/>
              <w:left w:w="85" w:type="dxa"/>
              <w:right w:w="85" w:type="dxa"/>
            </w:tcMar>
            <w:vAlign w:val="center"/>
            <w:shd w:fill="FFFFFF"/>
          </w:tcPr>
          <w:p>
            <w:pPr>
              <w:spacing w:after="60" w:line="252" w:lineRule="auto"/>
            </w:pPr>
            <w:r>
              <w:rPr>
                <w:color w:val="000000"/>
                <w:sz w:val="17"/>
              </w:rPr>
              <w:t>+5</w:t>
            </w:r>
          </w:p>
        </w:tc>
      </w:tr>
    </w:tbl>
    <w:p>
      <w:pPr>
        <w:widowControl/>
        <w:spacing w:after="20"/>
      </w:pPr>
    </w:p>
    <w:p>
      <w:pPr>
        <w:widowControl/>
      </w:pPr>
      <w:r>
        <w:t>Класс A — 70–100, B — 50–69, C — менее 50; UF_CRM_ICP_SEGMENT заполняется роботами и не редактируется вручную. В воронке обследования балл UF_CRM_ICP_SCORE вычисляется заново при входе на стадию, в том числе перед приемкой. При изменении полей на той же стадии он обновляется при следующем переходе; FIELD_CHANGED для пересчета не использовать. Ручная корректировка балла доступна руководителю с обязательным комментарием. Квалифицированное обращение: представитель организации, объект в зоне обслуживания, услуга в компетенции компании и согласован следующий шаг.</w:t>
      </w:r>
    </w:p>
    <w:p>
      <w:pPr>
        <w:widowControl/>
      </w:pPr>
      <w:r>
        <w:t>Расчет балла ICP выполняется роботами CRM «Изменить значение поля» по условиям таблицы. Поля UF_CRM_ICP_TYPE, UF_CRM_ICP_SCORE и UF_CRM_ICP_SEGMENT сохраняются в карточке сделки; класс A/B/C пересчитывается вслед за баллом и не редактируется вручную. Бизнес-процессы и Списки не используются. Если в конкретной воронке возможностей формул роботов недостаточно, расчет выполняет действующий Cloud Run webhook по каноническим полям с записью результата и технического журнала, без создания полей-дублей.</w:t>
      </w:r>
    </w:p>
    <w:p>
      <w:pPr>
        <w:pStyle w:val="Heading1"/>
        <w:keepNext/>
        <w:widowControl/>
      </w:pPr>
      <w:r>
        <w:rPr>
          <w:color w:val="000000"/>
          <w:u w:val="none"/>
        </w:rPr>
        <w:t>6 Процессы и стадии</w:t>
      </w:r>
    </w:p>
    <w:p>
      <w:pPr>
        <w:pStyle w:val="Heading2"/>
        <w:keepNext/>
        <w:widowControl/>
      </w:pPr>
      <w:r>
        <w:rPr>
          <w:color w:val="000000"/>
          <w:u w:val="none"/>
        </w:rPr>
        <w:t>6.1 Продажа ТО АПС</w:t>
      </w:r>
    </w:p>
    <w:p>
      <w:pPr>
        <w:pStyle w:val="Heading3"/>
        <w:keepNext/>
        <w:widowControl/>
      </w:pPr>
      <w:r>
        <w:rPr>
          <w:color w:val="000000"/>
          <w:u w:val="none"/>
        </w:rPr>
        <w:t>Стадии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rPr>
          <w:tblHeader w:val="true"/>
          <w:cantSplit/>
          <w:tblHeader/>
        </w:trPr>
        <w:tc>
          <w:tcPr>
            <w:tcW w:type="dxa" w:w="2041"/>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6"/>
              </w:rPr>
              <w:t>Стадия</w:t>
            </w:r>
          </w:p>
        </w:tc>
        <w:tc>
          <w:tcPr>
            <w:tcW w:type="dxa" w:w="4365"/>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6"/>
              </w:rPr>
              <w:t>Условие входа и обязательные данные</w:t>
            </w:r>
          </w:p>
        </w:tc>
        <w:tc>
          <w:tcPr>
            <w:tcW w:type="dxa" w:w="3231"/>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6"/>
              </w:rPr>
              <w:t>Автоматизация и контроль</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Новая</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Связанный объект и потребность, источник.</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Назначить ответственного; рассчитать ICP.</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Квалификация</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Площадь, АПС, подрядчик, окончание договора, число объектов, ЛПР.</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Контроль следующего шага.</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Требуется обследование</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Нет достаточных технических данных.</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Создать связанное обследование.</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Расчет тарифа</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Состав систем, график, SLA, виды работ, расходы.</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Задача подготовить калькуляцию.</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КП отправлено</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Сумма, дата, файл/ссылка КП, MRR, срок договора. Переход на эту и последующие стадии блокируется без ответственного инженера, даты и времени обследования и файла чек-листа обследования (ред. 1.19).</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Событие quote_sent; follow-up через 1 и 3 рабочих дня.</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Согласование</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Зафиксированы возражения и следующая дата.</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Просрочка следующего шага — эскалация.</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Счет / договор</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Номер и сумма счета, статус договора.</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Контроль оплаты и подписания.</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Выиграно</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rPr>
              <w:t>Подписанный договор, подтверждённые объекты/услуги, сумма, MRR, дата старта и сроки. Оплата фиксируется отдельным событием; прибыль может быть недоступна до подтверждения затрат.</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Создать график работ и первую работу ТО; contract_won.</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Проиграно</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Обязательны причина и конкурент при наличии.</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Закрыть открытые задачи; сохранить nurturing дату.</w:t>
            </w:r>
          </w:p>
        </w:tc>
      </w:tr>
    </w:tbl>
    <w:p>
      <w:pPr>
        <w:widowControl/>
        <w:spacing w:after="20"/>
      </w:pPr>
    </w:p>
    <w:p>
      <w:pPr>
        <w:widowControl/>
      </w:pPr>
      <w:r>
        <w:rPr>
          <w:b/>
        </w:rPr>
        <w:t xml:space="preserve">Обследование: обязательные данные перехода (ред. 1.19).</w:t>
      </w:r>
      <w:r>
        <w:t xml:space="preserve"> Переход сделки воронки «Продажа ТО АПС» на стадию «КП отправлено» и на последующие выигрышные стадии блокируется штатной настройкой Bitrix24 «Обязательное на стадии», пока не заполнены три поля. Проигранные стадии («Отказ», «Отложено») проверкой не затрагиваются, чтобы клиент мог отказаться до обследования.</w:t>
      </w:r>
    </w:p>
    <w:p>
      <w:pPr>
        <w:pStyle w:val="ListBullet"/>
      </w:pPr>
      <w:r>
        <w:t>«Ответственный инженер» — техник обследования; с редакции 1.20 назначается координатором на стадии «Обследование назначено» Общей воронки (раздел 22) и сохраняется в той же сделке при смене ее воронки.</w:t>
      </w:r>
    </w:p>
    <w:p>
      <w:pPr>
        <w:pStyle w:val="ListBullet"/>
      </w:pPr>
      <w:r>
        <w:t xml:space="preserve">«Дата и время обследования» — плановые дата и время выезда; с редакции 1.20 задаются координатором на стадии «Обследование назначено» (раздел 22).</w:t>
      </w:r>
    </w:p>
    <w:p>
      <w:pPr>
        <w:pStyle w:val="ListBullet"/>
      </w:pPr>
      <w:r>
        <w:t xml:space="preserve">«Файлы чек-листов и актов» — файл с готовым заполненным чек-листом обследования (результат и обязательные пункты); загружает инженер или координатор.</w:t>
      </w:r>
    </w:p>
    <w:p>
      <w:pPr>
        <w:pStyle w:val="ListBullet"/>
      </w:pPr>
      <w:r>
        <w:t xml:space="preserve">«Ссылка на чек-лист обследования» — новое необязательное поле типа «Ссылка» с адресом чек-листа для заполнения на объекте; проверкой перехода не затрагивается. Технический код присваивается платформой при создании и вносится в реестр 18.2.</w:t>
      </w:r>
    </w:p>
    <w:p>
      <w:pPr>
        <w:widowControl/>
      </w:pPr>
      <w:r>
        <w:t>Автозаполнение инженера и даты из задачи обследования не реализуется: эти поля задает координатор в Общей воронке. При маршрутизации меняется воронка той же сделки; поля сохраняются, копия профильной сделки не создается.</w:t>
      </w:r>
      <w:r>
        <w:rPr>
          <w:rStyle w:val="CommentReference"/>
        </w:rPr>
      </w:r>
    </w:p>
    <w:p>
      <w:pPr>
        <w:pStyle w:val="Heading2"/>
        <w:keepNext/>
        <w:widowControl/>
      </w:pPr>
      <w:r>
        <w:rPr>
          <w:color w:val="000000"/>
          <w:u w:val="none"/>
        </w:rPr>
        <w:t>6.2 Продажа Монтаж АПС</w:t>
      </w:r>
    </w:p>
    <w:p>
      <w:pPr>
        <w:pStyle w:val="Heading3"/>
        <w:keepNext/>
        <w:widowControl/>
      </w:pPr>
      <w:r>
        <w:rPr>
          <w:color w:val="000000"/>
          <w:u w:val="none"/>
        </w:rPr>
        <w:t>Стадии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rPr>
          <w:tblHeader w:val="true"/>
          <w:cantSplit/>
          <w:tblHeader/>
        </w:trPr>
        <w:tc>
          <w:tcPr>
            <w:tcW w:type="dxa" w:w="2041"/>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6"/>
              </w:rPr>
              <w:t>Стадия</w:t>
            </w:r>
          </w:p>
        </w:tc>
        <w:tc>
          <w:tcPr>
            <w:tcW w:type="dxa" w:w="4365"/>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6"/>
              </w:rPr>
              <w:t>Условие входа и обязательные данные</w:t>
            </w:r>
          </w:p>
        </w:tc>
        <w:tc>
          <w:tcPr>
            <w:tcW w:type="dxa" w:w="3231"/>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6"/>
              </w:rPr>
              <w:t>Автоматизация и контроль</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Новая</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Объект, источник, контакт.</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SLA по ICP.</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Квалификация</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Площадь, этажи, назначение, стадия, срок открытия, наличие проекта, бюджет.</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Контроль заполнения обязательных полей.</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Сбор исходных данных</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Планы, ТЗ клиента, ограничения доступа и графика.</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Задачи инженеру/сметчику.</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Обследование / расчет</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Связанный выезд либо достаточные исходники.</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Создать обследование при необходимости.</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КП отправлено</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Сумма, дата, комплектация, сроки, файл КП.</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quote_sent; follow-up 1 и 3 дня.</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Переговоры</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Решение по объему, срокам и цене.</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Контроль следующего шага.</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Счет / договор</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Счет, договор, плановая дата начала.</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Контроль оплаты.</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Выиграно</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Оплата/договор, выручка и валовая прибыль.</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Создать проект исполнения; задача предложить последующее ТО.</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Проиграно</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Причина обязательна.</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Аналитика потерь.</w:t>
            </w:r>
          </w:p>
        </w:tc>
      </w:tr>
    </w:tbl>
    <w:p>
      <w:pPr>
        <w:widowControl/>
        <w:spacing w:after="20"/>
      </w:pPr>
    </w:p>
    <w:p>
      <w:pPr>
        <w:pStyle w:val="Heading2"/>
        <w:keepNext/>
        <w:widowControl/>
      </w:pPr>
      <w:r>
        <w:rPr>
          <w:color w:val="000000"/>
          <w:u w:val="none"/>
        </w:rPr>
        <w:t>6.3 Продажа Проектирование</w:t>
      </w:r>
    </w:p>
    <w:p>
      <w:pPr>
        <w:pStyle w:val="Heading3"/>
        <w:keepNext/>
        <w:widowControl/>
      </w:pPr>
      <w:r>
        <w:rPr>
          <w:color w:val="000000"/>
          <w:u w:val="none"/>
        </w:rPr>
        <w:t>Стадии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rPr>
          <w:tblHeader w:val="true"/>
          <w:cantSplit/>
          <w:tblHeader/>
        </w:trPr>
        <w:tc>
          <w:tcPr>
            <w:tcW w:type="dxa" w:w="2041"/>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6"/>
              </w:rPr>
              <w:t>Стадия</w:t>
            </w:r>
          </w:p>
        </w:tc>
        <w:tc>
          <w:tcPr>
            <w:tcW w:type="dxa" w:w="4365"/>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6"/>
              </w:rPr>
              <w:t>Условие входа и обязательные данные</w:t>
            </w:r>
          </w:p>
        </w:tc>
        <w:tc>
          <w:tcPr>
            <w:tcW w:type="dxa" w:w="3231"/>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6"/>
              </w:rPr>
              <w:t>Автоматизация и контроль</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Новая</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Объект, источник, контакт.</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SLA и ICP.</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Квалификация</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Назначение, площадь, этажность, стадия, исходники, срок.</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Контроль заполнения обязательных полей.</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Техническое задание</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Получены планы и требования; согласован состав результата.</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Задача проектировщику оценить трудоемкость.</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Расчет</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Стоимость, сроки и допущения.</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Контроль подготовки КП.</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КП отправлено</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Сумма, дата, файл КП.</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quote_sent; follow-up.</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Согласование</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Замечания, версия предложения, следующая дата.</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Эскалация просрочки.</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Счет / договор</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Счет, договор, аванс.</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Контроль оплаты.</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Выиграно</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Оплата/договор, выручка, валовая прибыль.</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Создать проект исполнения; после выпуска проекта — возможность монтажа.</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Проиграно</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Причина обязательна.</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Аналитика потерь.</w:t>
            </w:r>
          </w:p>
        </w:tc>
      </w:tr>
    </w:tbl>
    <w:p>
      <w:pPr>
        <w:widowControl/>
        <w:spacing w:after="20"/>
      </w:pPr>
    </w:p>
    <w:p>
      <w:pPr>
        <w:pStyle w:val="Heading2"/>
        <w:keepNext/>
        <w:widowControl/>
      </w:pPr>
      <w:r>
        <w:rPr>
          <w:color w:val="000000"/>
          <w:u w:val="none"/>
        </w:rPr>
        <w:t>6.4 Выполнение работ ТО</w:t>
      </w:r>
    </w:p>
    <w:p>
      <w:pPr>
        <w:widowControl/>
      </w:pPr>
      <w:r>
        <w:t>Выполнение работ ТО вести в отдельной воронке сделок «Обслуживание текущих клиентов». Каждая сделка относится к одному объекту и договору, имеет плановую и фактическую даты, вид работы, техника, координатора, чек-лист, перечень оборудования, отчет, счет и оплату.</w:t>
      </w:r>
    </w:p>
    <w:p>
      <w:pPr>
        <w:pStyle w:val="Heading3"/>
        <w:keepNext/>
        <w:widowControl/>
      </w:pPr>
      <w:r>
        <w:rPr>
          <w:color w:val="000000"/>
          <w:u w:val="none"/>
        </w:rPr>
        <w:t>Стадии выполнения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rPr>
          <w:tblHeader w:val="true"/>
          <w:cantSplit/>
          <w:tblHeader/>
        </w:trPr>
        <w:tc>
          <w:tcPr>
            <w:tcW w:type="dxa" w:w="2041"/>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6"/>
              </w:rPr>
              <w:t>Стадия</w:t>
            </w:r>
          </w:p>
        </w:tc>
        <w:tc>
          <w:tcPr>
            <w:tcW w:type="dxa" w:w="4365"/>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6"/>
              </w:rPr>
              <w:t>Условие входа и обязательные данные</w:t>
            </w:r>
          </w:p>
        </w:tc>
        <w:tc>
          <w:tcPr>
            <w:tcW w:type="dxa" w:w="3231"/>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6"/>
              </w:rPr>
              <w:t>Автоматизация и контроль</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Запланировано</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Договор, объект, вид работы, плановая дата, техник.</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Создание по графику; напоминания координатору и клиенту.</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Назначено</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Подтверждены дата, доступ и представитель клиента.</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Задача технику с мобильным чек-листом.</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В работе</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Фактическое начало и геометка при допустимости.</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Автоматический учет времени техников по п. 6.5.</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Чек-лист заполнен</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Все обязательные пункты, фото, результат, оборудование к замене.</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Автозадача координатору: отчет и счет; срок — 1 рабочий день.</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Отчет сформирован</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Файл отчета, версия, дата.</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Задача отправить клиенту; сохранить канал и дату.</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20"/>
              </w:rPr>
              <w:t>Счет отправлен</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20"/>
              </w:rPr>
              <w:t>Статус и дата отправки; номер, сумма и файл или ссылка заполняются при наличии счета.</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Контроль доставки и оплаты.</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Отчет отправлен</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Получатель, канал, дата отправки.</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Напоминание об оплате по сроку.</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Оплачено</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Дата и сумма оплаты либо подтвержденный статус учетной системы.</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payment_received; закрытие работы при отправленном отчете.</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Завершено</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20"/>
              </w:rPr>
              <w:t>Отчет отправлен и выполнен переход в «Счет отправлен»; оплата ведется согласно договорному сценарию.</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Расчет SLA, длительности, повторных дефектов.</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Отменено</w:t>
            </w:r>
          </w:p>
        </w:tc>
        <w:tc>
          <w:tcPr>
            <w:tcW w:type="dxa" w:w="436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Причина и решение по переносу.</w:t>
            </w:r>
          </w:p>
        </w:tc>
        <w:tc>
          <w:tcPr>
            <w:tcW w:type="dxa" w:w="323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При переносе создать новую плановую дату без потери истории.</w:t>
            </w:r>
          </w:p>
        </w:tc>
      </w:tr>
    </w:tbl>
    <w:p>
      <w:pPr>
        <w:widowControl/>
        <w:spacing w:after="20"/>
      </w:pPr>
    </w:p>
    <w:p>
      <w:pPr>
        <w:pStyle w:val="Heading3"/>
        <w:keepNext/>
        <w:widowControl/>
      </w:pPr>
      <w:r>
        <w:rPr>
          <w:color w:val="000000"/>
          <w:u w:val="none"/>
        </w:rPr>
        <w:t>Чек-лист ежемесячного ТО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cantSplit/>
          <w:tblHeader/>
        </w:trPr>
        <w:tc>
          <w:tcPr>
            <w:tcW w:type="dxa" w:w="2551"/>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7"/>
              </w:rPr>
              <w:t>Общий блок</w:t>
            </w:r>
          </w:p>
        </w:tc>
        <w:tc>
          <w:tcPr>
            <w:tcW w:type="dxa" w:w="7087"/>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7"/>
              </w:rPr>
              <w:t>Что фиксировать</w:t>
            </w:r>
          </w:p>
        </w:tc>
      </w:tr>
      <w:tr>
        <w:trPr>
          <w:cantSplit/>
        </w:trPr>
        <w:tc>
          <w:tcPr>
            <w:tcW w:type="dxa" w:w="2551"/>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Начало работ</w:t>
            </w:r>
          </w:p>
        </w:tc>
        <w:tc>
          <w:tcPr>
            <w:tcW w:type="dxa" w:w="7087"/>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Дата/время, техник, представитель клиента, доступность зон, состояние системы до начала.</w:t>
            </w:r>
          </w:p>
        </w:tc>
      </w:tr>
      <w:tr>
        <w:trPr>
          <w:cantSplit/>
        </w:trPr>
        <w:tc>
          <w:tcPr>
            <w:tcW w:type="dxa" w:w="2551"/>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Контроль ППКП</w:t>
            </w:r>
          </w:p>
        </w:tc>
        <w:tc>
          <w:tcPr>
            <w:tcW w:type="dxa" w:w="7087"/>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Индикация, журнал событий, неисправности, питание, резервное питание, состояние АКБ.</w:t>
            </w:r>
          </w:p>
        </w:tc>
      </w:tr>
      <w:tr>
        <w:trPr>
          <w:cantSplit/>
        </w:trPr>
        <w:tc>
          <w:tcPr>
            <w:tcW w:type="dxa" w:w="2551"/>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Линии и устройства</w:t>
            </w:r>
          </w:p>
        </w:tc>
        <w:tc>
          <w:tcPr>
            <w:tcW w:type="dxa" w:w="7087"/>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Доступность, повреждения, загрязнение, крепление, выборочная/полная проверка согласно виду работы.</w:t>
            </w:r>
          </w:p>
        </w:tc>
      </w:tr>
      <w:tr>
        <w:trPr>
          <w:cantSplit/>
        </w:trPr>
        <w:tc>
          <w:tcPr>
            <w:tcW w:type="dxa" w:w="2551"/>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Оповещение и сопряжения</w:t>
            </w:r>
          </w:p>
        </w:tc>
        <w:tc>
          <w:tcPr>
            <w:tcW w:type="dxa" w:w="7087"/>
            <w:tcMar>
              <w:top w:w="85" w:type="dxa"/>
              <w:start w:w="120" w:type="dxa"/>
              <w:bottom w:w="85" w:type="dxa"/>
              <w:end w:w="120" w:type="dxa"/>
              <w:left w:w="85" w:type="dxa"/>
              <w:right w:w="85" w:type="dxa"/>
            </w:tcMar>
            <w:vAlign w:val="center"/>
            <w:shd w:fill="FFFFFF"/>
          </w:tcPr>
          <w:p>
            <w:pPr>
              <w:spacing w:after="60" w:line="252" w:lineRule="auto"/>
            </w:pPr>
            <w:r>
              <w:rPr>
                <w:color w:val="000000"/>
                <w:sz w:val="17"/>
              </w:rPr>
              <w:t>Результат проверки доступных функций и связанных систем, ограничения.</w:t>
            </w:r>
          </w:p>
        </w:tc>
      </w:tr>
      <w:tr>
        <w:trPr>
          <w:cantSplit/>
        </w:trPr>
        <w:tc>
          <w:tcPr>
            <w:tcW w:type="dxa" w:w="2551"/>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Документация</w:t>
            </w:r>
          </w:p>
        </w:tc>
        <w:tc>
          <w:tcPr>
            <w:tcW w:type="dxa" w:w="7087"/>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Запись в журнале, соответствие маркировки, изменения и замечания.</w:t>
            </w:r>
          </w:p>
        </w:tc>
      </w:tr>
      <w:tr>
        <w:trPr>
          <w:cantSplit/>
        </w:trPr>
        <w:tc>
          <w:tcPr>
            <w:tcW w:type="dxa" w:w="2551"/>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Дефекты</w:t>
            </w:r>
          </w:p>
        </w:tc>
        <w:tc>
          <w:tcPr>
            <w:tcW w:type="dxa" w:w="7087"/>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Категория, место, описание, критичность, фото, временная мера, рекомендация.</w:t>
            </w:r>
          </w:p>
        </w:tc>
      </w:tr>
      <w:tr>
        <w:trPr>
          <w:cantSplit/>
        </w:trPr>
        <w:tc>
          <w:tcPr>
            <w:tcW w:type="dxa" w:w="2551"/>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Оборудование</w:t>
            </w:r>
          </w:p>
        </w:tc>
        <w:tc>
          <w:tcPr>
            <w:tcW w:type="dxa" w:w="7087"/>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Для каждой позиции: исправно/неисправно/требуется замена, наименование, модель, количество, единица, причина, фото.</w:t>
            </w:r>
          </w:p>
        </w:tc>
      </w:tr>
      <w:tr>
        <w:trPr>
          <w:cantSplit/>
        </w:trPr>
        <w:tc>
          <w:tcPr>
            <w:tcW w:type="dxa" w:w="2551"/>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Завершение</w:t>
            </w:r>
          </w:p>
        </w:tc>
        <w:tc>
          <w:tcPr>
            <w:tcW w:type="dxa" w:w="7087"/>
            <w:tcMar>
              <w:top w:w="85" w:type="dxa"/>
              <w:start w:w="120" w:type="dxa"/>
              <w:bottom w:w="85" w:type="dxa"/>
              <w:end w:w="120" w:type="dxa"/>
              <w:left w:w="85" w:type="dxa"/>
              <w:right w:w="85" w:type="dxa"/>
            </w:tcMar>
            <w:vAlign w:val="center"/>
            <w:shd w:fill="FFFFFF"/>
          </w:tcPr>
          <w:p>
            <w:pPr>
              <w:spacing w:after="60" w:line="252" w:lineRule="auto"/>
            </w:pPr>
            <w:r>
              <w:rPr>
                <w:color w:val="000000"/>
                <w:sz w:val="17"/>
              </w:rPr>
              <w:t>Состояние после работ, проведенные тесты, подпись/ФИО представителя, комментарий техника.</w:t>
            </w:r>
          </w:p>
        </w:tc>
      </w:tr>
    </w:tbl>
    <w:p>
      <w:pPr>
        <w:widowControl/>
        <w:spacing w:after="2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cantSplit/>
          <w:tblHeader/>
        </w:trPr>
        <w:tc>
          <w:tcPr>
            <w:tcW w:type="dxa" w:w="2551"/>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7"/>
              </w:rPr>
              <w:t>Вид работы</w:t>
            </w:r>
          </w:p>
        </w:tc>
        <w:tc>
          <w:tcPr>
            <w:tcW w:type="dxa" w:w="7087"/>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7"/>
              </w:rPr>
              <w:t>Дополнительный обязательный блок чек-листа</w:t>
            </w:r>
          </w:p>
        </w:tc>
      </w:tr>
      <w:tr>
        <w:trPr>
          <w:cantSplit/>
        </w:trPr>
        <w:tc>
          <w:tcPr>
            <w:tcW w:type="dxa" w:w="2551"/>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Ежемесячный осмотр</w:t>
            </w:r>
          </w:p>
        </w:tc>
        <w:tc>
          <w:tcPr>
            <w:tcW w:type="dxa" w:w="7087"/>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Визуальный контроль, индикация, журнал событий, доступные контрольные проверки, выявленные изменения и дефекты.</w:t>
            </w:r>
          </w:p>
        </w:tc>
      </w:tr>
      <w:tr>
        <w:trPr>
          <w:cantSplit/>
        </w:trPr>
        <w:tc>
          <w:tcPr>
            <w:tcW w:type="dxa" w:w="2551"/>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Капитальное ТО</w:t>
            </w:r>
          </w:p>
        </w:tc>
        <w:tc>
          <w:tcPr>
            <w:tcW w:type="dxa" w:w="7087"/>
            <w:tcMar>
              <w:top w:w="85" w:type="dxa"/>
              <w:start w:w="120" w:type="dxa"/>
              <w:bottom w:w="85" w:type="dxa"/>
              <w:end w:w="120" w:type="dxa"/>
              <w:left w:w="85" w:type="dxa"/>
              <w:right w:w="85" w:type="dxa"/>
            </w:tcMar>
            <w:vAlign w:val="center"/>
            <w:shd w:fill="FFFFFF"/>
          </w:tcPr>
          <w:p>
            <w:pPr>
              <w:spacing w:after="60" w:line="252" w:lineRule="auto"/>
            </w:pPr>
            <w:r>
              <w:rPr>
                <w:color w:val="000000"/>
                <w:sz w:val="17"/>
              </w:rPr>
              <w:t>Расширенная проверка и обслуживание узлов, очистка/регламентные действия, АКБ и питание, полный перечень обслуженных устройств и замен.</w:t>
            </w:r>
          </w:p>
        </w:tc>
      </w:tr>
      <w:tr>
        <w:trPr>
          <w:cantSplit/>
        </w:trPr>
        <w:tc>
          <w:tcPr>
            <w:tcW w:type="dxa" w:w="2551"/>
            <w:tcMar>
              <w:top w:w="85" w:type="dxa"/>
              <w:start w:w="120" w:type="dxa"/>
              <w:bottom w:w="85" w:type="dxa"/>
              <w:end w:w="120" w:type="dxa"/>
              <w:left w:w="85" w:type="dxa"/>
              <w:right w:w="85" w:type="dxa"/>
            </w:tcMar>
            <w:vAlign w:val="center"/>
            <w:shd w:fill="FFFFFF"/>
          </w:tcPr>
          <w:p>
            <w:pPr>
              <w:spacing w:after="60" w:line="252" w:lineRule="auto"/>
            </w:pPr>
            <w:r>
              <w:rPr>
                <w:color w:val="000000"/>
                <w:sz w:val="17"/>
              </w:rPr>
              <w:t>Тестирование</w:t>
            </w:r>
          </w:p>
        </w:tc>
        <w:tc>
          <w:tcPr>
            <w:tcW w:type="dxa" w:w="7087"/>
            <w:tcMar>
              <w:top w:w="85" w:type="dxa"/>
              <w:start w:w="120" w:type="dxa"/>
              <w:bottom w:w="85" w:type="dxa"/>
              <w:end w:w="120" w:type="dxa"/>
              <w:left w:w="85" w:type="dxa"/>
              <w:right w:w="85" w:type="dxa"/>
            </w:tcMar>
            <w:vAlign w:val="center"/>
            <w:shd w:fill="FFFFFF"/>
          </w:tcPr>
          <w:p>
            <w:pPr>
              <w:spacing w:after="60" w:line="252" w:lineRule="auto"/>
            </w:pPr>
            <w:r>
              <w:rPr>
                <w:color w:val="000000"/>
                <w:sz w:val="17"/>
              </w:rPr>
              <w:t>Сценарий теста, зоны и устройства, ожидаемый/фактический результат, время реакции, взаимодействие систем, отклонения и доказательства.</w:t>
            </w:r>
          </w:p>
        </w:tc>
      </w:tr>
    </w:tbl>
    <w:p>
      <w:pPr>
        <w:widowControl/>
        <w:spacing w:after="20"/>
      </w:pPr>
    </w:p>
    <w:p>
      <w:pPr>
        <w:widowControl/>
      </w:pPr>
      <w:r>
        <w:t>Точный набор и периодичность технических операций утверждает ответственный инженер по договору, проектной документации, составу системы и применимым нормативным требованиям. CRM должна хранить версию шаблона чек-листа, использованную при каждой работе.</w:t>
      </w:r>
    </w:p>
    <w:p>
      <w:pPr>
        <w:pStyle w:val="Heading2"/>
        <w:keepNext/>
        <w:widowControl/>
      </w:pPr>
      <w:r>
        <w:rPr>
          <w:color w:val="000000"/>
          <w:u w:val="none"/>
        </w:rPr>
        <w:t>6.5 Автоматический учет времени техников</w:t>
      </w:r>
    </w:p>
    <w:p>
      <w:pPr>
        <w:widowControl/>
      </w:pPr>
      <w:r>
        <w:t xml:space="preserve">Техники не вводят начало и окончание работ вручную: время фиксируется автоматически по задачам и считается в человеко-часах на объект. Пункт уточняет требование редакции 1.13 об учете затрат времени и применяется к стадии «В работе» воронки «Обслуживание текущих клиентов».</w:t>
      </w:r>
    </w:p>
    <w:p>
      <w:pPr>
        <w:pStyle w:val="ListBullet"/>
      </w:pPr>
      <w:r>
        <w:rPr>
          <w:b/>
        </w:rPr>
        <w:t xml:space="preserve">Одна задача на техника.</w:t>
      </w:r>
      <w:r>
        <w:t xml:space="preserve"> При входе сделки в стадию «В работе» робот CRM создает отдельную задачу «Выполнить работы» для каждого назначенного на сделку техника, с привязкой к сделке. Поле «Ответственный техник» допускает нескольких сотрудников.</w:t>
      </w:r>
    </w:p>
    <w:p>
      <w:pPr>
        <w:pStyle w:val="ListBullet"/>
      </w:pPr>
      <w:r>
        <w:rPr>
          <w:b/>
        </w:rPr>
        <w:t xml:space="preserve">Начало.</w:t>
      </w:r>
      <w:r>
        <w:t xml:space="preserve"> Принятие техником своей задачи к исполнению (статус «Выполняется»). Ручной ввод не требуется.</w:t>
      </w:r>
    </w:p>
    <w:p>
      <w:pPr>
        <w:pStyle w:val="ListBullet"/>
      </w:pPr>
      <w:r>
        <w:rPr>
          <w:b/>
        </w:rPr>
        <w:t xml:space="preserve">Окончание.</w:t>
      </w:r>
      <w:r>
        <w:t xml:space="preserve"> Завершение техником своей задачи. Каждый техник закрывает свою задачу независимо: если один уезжает на срочный вызов раньше остальных, его интервал закрывается без влияния на других.</w:t>
      </w:r>
    </w:p>
    <w:p>
      <w:pPr>
        <w:pStyle w:val="ListBullet"/>
      </w:pPr>
      <w:r>
        <w:rPr>
          <w:b/>
        </w:rPr>
        <w:t xml:space="preserve">Незавершенные задачи.</w:t>
      </w:r>
      <w:r>
        <w:t xml:space="preserve"> Если сделка выходит со стадии «В работе», открытые интервалы закрываются автоматически временем выхода и помечаются «закрыто автоматически» для проверки координатором.</w:t>
      </w:r>
    </w:p>
    <w:p>
      <w:pPr>
        <w:pStyle w:val="ListBullet"/>
      </w:pPr>
      <w:r>
        <w:rPr>
          <w:b/>
        </w:rPr>
        <w:t xml:space="preserve">Паузы.</w:t>
      </w:r>
      <w:r>
        <w:t xml:space="preserve"> Приостановка или перенос задачи вычитаются из времени. У одного техника одновременно выполняется не более одной задачи.</w:t>
      </w:r>
    </w:p>
    <w:p>
      <w:pPr>
        <w:pStyle w:val="ListBullet"/>
      </w:pPr>
      <w:r>
        <w:rPr>
          <w:b/>
        </w:rPr>
        <w:t xml:space="preserve">Расчет.</w:t>
      </w:r>
      <w:r>
        <w:t xml:space="preserve"> Человеко-часы по объекту равны сумме длительностей интервалов всех техников по сделке; например, два техника по 3 часа дают 6 чел-ч.</w:t>
      </w:r>
    </w:p>
    <w:p>
      <w:pPr>
        <w:pStyle w:val="ListBullet"/>
      </w:pPr>
      <w:r>
        <w:rPr>
          <w:b/>
        </w:rPr>
        <w:t xml:space="preserve">Результат в сделке.</w:t>
      </w:r>
      <w:r>
        <w:t xml:space="preserve"> Автоматически заполняются поля «Фактическое начало работ» (самое раннее начало), «Фактическое окончание работ» (самое позднее окончание), «Число техников» и «Затрачено, чел-ч». Разбивка по техникам сохраняется в таймлайне сделки и передается в BI. Поля созданы в портале 30 сентября 2026 года с каноническими кодами: UF_CRM_WORK_STARTED_AT («Фактическое начало работ»), UF_CRM_WORK_FINISHED_AT («Фактическое окончание работ»), UF_CRM_TECH_COUNT («Число техников»), UF_CRM_LABOR_HOURS («Затрачено, чел-ч», два знака после запятой). Список назначенных техников хранится в отдельном множественном поле UF_CRM_SERVICE_TECHNICIANS («Техники на объекте (несколько)»), так как существующее поле UF_CRM_SERVICE_TECHNICIAN одиночное и не изменяется. Стадия «В работе» в портале называется «Работы выполняются» (C12:PREPAYMENT_INVOIC). Коды вносятся в реестр 18.2.</w:t>
      </w:r>
    </w:p>
    <w:p>
      <w:pPr>
        <w:pStyle w:val="ListBullet"/>
      </w:pPr>
      <w:r>
        <w:rPr>
          <w:b/>
        </w:rPr>
        <w:t xml:space="preserve">Механизм.</w:t>
      </w:r>
      <w:r>
        <w:t xml:space="preserve"> Задачи создают роботы CRM. Принятие и завершение задач не являются CRM-событиями, поэтому расчет и запись итогов выполняет Cloud Run по REST-событиям задач (исключение по 21.1). Запись идемпотентна по ключу DEAL_ID + TASK_ID + USER_ID и журналируется.</w:t>
      </w:r>
    </w:p>
    <w:p>
      <w:pPr>
        <w:pStyle w:val="ListBullet"/>
      </w:pPr>
      <w:r>
        <w:rPr>
          <w:b/>
        </w:rPr>
        <w:t xml:space="preserve">Условие внедрения.</w:t>
      </w:r>
      <w:r>
        <w:t xml:space="preserve"> До настройки подтверждается, что на тарифе «Стандартный» доступны учет времени в задачах и события задач.</w:t>
      </w:r>
    </w:p>
    <w:p>
      <w:pPr>
        <w:pStyle w:val="Heading1"/>
        <w:keepNext/>
        <w:widowControl/>
      </w:pPr>
      <w:r>
        <w:rPr>
          <w:color w:val="000000"/>
          <w:u w:val="none"/>
        </w:rPr>
        <w:t>7 Автоматизация оборудования к замене</w:t>
      </w:r>
    </w:p>
    <w:p>
      <w:pPr>
        <w:pStyle w:val="ListNumber"/>
        <w:widowControl/>
      </w:pPr>
      <w:r>
        <w:t>Техник отмечает в чек-листе хотя бы одну позицию со статусом «неисправно» или «требуется замена» и заполняет наименование, количество, причину и фото/комментарий.</w:t>
      </w:r>
    </w:p>
    <w:p>
      <w:pPr>
        <w:pStyle w:val="ListNumber"/>
        <w:widowControl/>
      </w:pPr>
      <w:r>
        <w:t>При переводе работы в «Чек-лист заполнен» робот формирует структурированный список позиций и прикладывает его к связанной задаче.</w:t>
      </w:r>
    </w:p>
    <w:p>
      <w:pPr>
        <w:pStyle w:val="ListNumber"/>
        <w:widowControl/>
      </w:pPr>
      <w:r>
        <w:t>Координатору создается задача «Сформировать отчет и выставить счет за оборудование» со сроком 1 рабочий день, ссылками на работу, объект, договор и чек-лист.</w:t>
      </w:r>
    </w:p>
    <w:p>
      <w:pPr>
        <w:pStyle w:val="ListNumber"/>
        <w:widowControl/>
      </w:pPr>
      <w:r>
        <w:t>Если цены отсутствуют, создается подзадача снабжению/сметчику. После заполнения цен система рассчитывает сумму и сохраняет номер/ID счета.</w:t>
      </w:r>
    </w:p>
    <w:p>
      <w:pPr>
        <w:pStyle w:val="ListNumber"/>
        <w:widowControl/>
      </w:pPr>
      <w:r>
        <w:t>Перевод в «Счет отправлен» разрешен только при заполненных номере, дате, сумме и приложенном файле/ссылке. Позиции счета должны быть сопоставимы с позициями чек-листа.</w:t>
      </w:r>
    </w:p>
    <w:p>
      <w:pPr>
        <w:pStyle w:val="ListNumber"/>
        <w:widowControl/>
      </w:pPr>
      <w:r>
        <w:t>При отсутствии оборудования к замене задача на оборудование не создается, но задача координатору на отчет и предусмотренный договором счет создается всегда.</w:t>
      </w:r>
    </w:p>
    <w:p>
      <w:pPr>
        <w:widowControl/>
      </w:pPr>
      <w:r>
        <w:t>Защита от дублей: для одной работы и одного типа задачи хранить технический ключ WORK_ID + TASK_TYPE. Повторный запуск робота обновляет существующую задачу, а не создает новую.</w:t>
      </w:r>
    </w:p>
    <w:p>
      <w:pPr>
        <w:pStyle w:val="Heading1"/>
        <w:keepNext/>
        <w:widowControl/>
      </w:pPr>
      <w:r>
        <w:rPr>
          <w:color w:val="000000"/>
          <w:u w:val="none"/>
        </w:rPr>
        <w:t>8 Роботы, SLA и уведомления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rPr>
          <w:tblHeader w:val="true"/>
          <w:cantSplit/>
          <w:tblHeader/>
        </w:trPr>
        <w:tc>
          <w:tcPr>
            <w:tcW w:type="dxa" w:w="2381"/>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6"/>
              </w:rPr>
              <w:t>Событие</w:t>
            </w:r>
          </w:p>
        </w:tc>
        <w:tc>
          <w:tcPr>
            <w:tcW w:type="dxa" w:w="4535"/>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6"/>
              </w:rPr>
              <w:t>Действие</w:t>
            </w:r>
          </w:p>
        </w:tc>
        <w:tc>
          <w:tcPr>
            <w:tcW w:type="dxa" w:w="2721"/>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6"/>
              </w:rPr>
              <w:t>Контроль</w:t>
            </w:r>
          </w:p>
        </w:tc>
      </w:tr>
      <w:tr>
        <w:trPr>
          <w:cantSplit/>
        </w:trPr>
        <w:tc>
          <w:tcPr>
            <w:tcW w:type="dxa" w:w="238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Создан ICP A</w:t>
            </w:r>
          </w:p>
        </w:tc>
        <w:tc>
          <w:tcPr>
            <w:tcW w:type="dxa" w:w="453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Задача менеджеру связаться.</w:t>
            </w:r>
          </w:p>
        </w:tc>
        <w:tc>
          <w:tcPr>
            <w:tcW w:type="dxa" w:w="272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15 минут; уведомление руководителю при просрочке.</w:t>
            </w:r>
          </w:p>
        </w:tc>
      </w:tr>
      <w:tr>
        <w:trPr>
          <w:cantSplit/>
        </w:trPr>
        <w:tc>
          <w:tcPr>
            <w:tcW w:type="dxa" w:w="238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Создан ICP B</w:t>
            </w:r>
          </w:p>
        </w:tc>
        <w:tc>
          <w:tcPr>
            <w:tcW w:type="dxa" w:w="453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Задача менеджеру связаться.</w:t>
            </w:r>
          </w:p>
        </w:tc>
        <w:tc>
          <w:tcPr>
            <w:tcW w:type="dxa" w:w="272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30 минут.</w:t>
            </w:r>
          </w:p>
        </w:tc>
      </w:tr>
      <w:tr>
        <w:trPr>
          <w:cantSplit/>
        </w:trPr>
        <w:tc>
          <w:tcPr>
            <w:tcW w:type="dxa" w:w="238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Назначен выезд</w:t>
            </w:r>
          </w:p>
        </w:tc>
        <w:tc>
          <w:tcPr>
            <w:tcW w:type="dxa" w:w="453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Задача инженеру и уведомление координатору.</w:t>
            </w:r>
          </w:p>
        </w:tc>
        <w:tc>
          <w:tcPr>
            <w:tcW w:type="dxa" w:w="272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Напоминания за 24 часа и 2 часа.</w:t>
            </w:r>
          </w:p>
        </w:tc>
      </w:tr>
      <w:tr>
        <w:trPr>
          <w:cantSplit/>
        </w:trPr>
        <w:tc>
          <w:tcPr>
            <w:tcW w:type="dxa" w:w="238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Выезд завершен без результата</w:t>
            </w:r>
          </w:p>
        </w:tc>
        <w:tc>
          <w:tcPr>
            <w:tcW w:type="dxa" w:w="453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Напоминание инженеру.</w:t>
            </w:r>
          </w:p>
        </w:tc>
        <w:tc>
          <w:tcPr>
            <w:tcW w:type="dxa" w:w="272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Через 2 часа; затем эскалация.</w:t>
            </w:r>
          </w:p>
        </w:tc>
      </w:tr>
      <w:tr>
        <w:trPr>
          <w:cantSplit/>
        </w:trPr>
        <w:tc>
          <w:tcPr>
            <w:tcW w:type="dxa" w:w="238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КП отправлено</w:t>
            </w:r>
          </w:p>
        </w:tc>
        <w:tc>
          <w:tcPr>
            <w:tcW w:type="dxa" w:w="453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Follow-up менеджеру.</w:t>
            </w:r>
          </w:p>
        </w:tc>
        <w:tc>
          <w:tcPr>
            <w:tcW w:type="dxa" w:w="272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Через 1 и 3 рабочих дня.</w:t>
            </w:r>
          </w:p>
        </w:tc>
      </w:tr>
      <w:tr>
        <w:trPr>
          <w:cantSplit/>
        </w:trPr>
        <w:tc>
          <w:tcPr>
            <w:tcW w:type="dxa" w:w="238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Просрочен следующий шаг</w:t>
            </w:r>
          </w:p>
        </w:tc>
        <w:tc>
          <w:tcPr>
            <w:tcW w:type="dxa" w:w="453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Уведомить ответственного и руководителя.</w:t>
            </w:r>
          </w:p>
        </w:tc>
        <w:tc>
          <w:tcPr>
            <w:tcW w:type="dxa" w:w="272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Ежедневная проверка.</w:t>
            </w:r>
          </w:p>
        </w:tc>
      </w:tr>
      <w:tr>
        <w:trPr>
          <w:cantSplit/>
        </w:trPr>
        <w:tc>
          <w:tcPr>
            <w:tcW w:type="dxa" w:w="238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Чек-лист ТО заполнен</w:t>
            </w:r>
          </w:p>
        </w:tc>
        <w:tc>
          <w:tcPr>
            <w:tcW w:type="dxa" w:w="453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Задача координатору на отчет и счет.</w:t>
            </w:r>
          </w:p>
        </w:tc>
        <w:tc>
          <w:tcPr>
            <w:tcW w:type="dxa" w:w="272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1 рабочий день.</w:t>
            </w:r>
          </w:p>
        </w:tc>
      </w:tr>
      <w:tr>
        <w:trPr>
          <w:cantSplit/>
        </w:trPr>
        <w:tc>
          <w:tcPr>
            <w:tcW w:type="dxa" w:w="238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Есть оборудование к замене</w:t>
            </w:r>
          </w:p>
        </w:tc>
        <w:tc>
          <w:tcPr>
            <w:tcW w:type="dxa" w:w="453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Добавить список в задачу; при необходимости подзадача сметчику.</w:t>
            </w:r>
          </w:p>
        </w:tc>
        <w:tc>
          <w:tcPr>
            <w:tcW w:type="dxa" w:w="272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До выставления счета.</w:t>
            </w:r>
          </w:p>
        </w:tc>
      </w:tr>
      <w:tr>
        <w:trPr>
          <w:cantSplit/>
        </w:trPr>
        <w:tc>
          <w:tcPr>
            <w:tcW w:type="dxa" w:w="238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Отчет готов, но не отправлен</w:t>
            </w:r>
          </w:p>
        </w:tc>
        <w:tc>
          <w:tcPr>
            <w:tcW w:type="dxa" w:w="453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Напоминание координатору.</w:t>
            </w:r>
          </w:p>
        </w:tc>
        <w:tc>
          <w:tcPr>
            <w:tcW w:type="dxa" w:w="272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В конце рабочего дня.</w:t>
            </w:r>
          </w:p>
        </w:tc>
      </w:tr>
      <w:tr>
        <w:trPr>
          <w:cantSplit/>
        </w:trPr>
        <w:tc>
          <w:tcPr>
            <w:tcW w:type="dxa" w:w="238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Наступил срок оплаты</w:t>
            </w:r>
          </w:p>
        </w:tc>
        <w:tc>
          <w:tcPr>
            <w:tcW w:type="dxa" w:w="4535"/>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Задача ответственному по дебиторской задолженности.</w:t>
            </w:r>
          </w:p>
        </w:tc>
        <w:tc>
          <w:tcPr>
            <w:tcW w:type="dxa" w:w="272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По условиям счета/договора.</w:t>
            </w:r>
          </w:p>
        </w:tc>
      </w:tr>
      <w:tr>
        <w:trPr>
          <w:cantSplit/>
        </w:trPr>
        <w:tc>
          <w:tcPr>
            <w:tcW w:type="dxa" w:w="238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Изменение состава активных сделок клиента</w:t>
            </w:r>
          </w:p>
        </w:tc>
        <w:tc>
          <w:tcPr>
            <w:tcW w:type="dxa" w:w="4535"/>
            <w:tcMar>
              <w:top w:w="85" w:type="dxa"/>
              <w:start w:w="120" w:type="dxa"/>
              <w:bottom w:w="85" w:type="dxa"/>
              <w:end w:w="120" w:type="dxa"/>
              <w:left w:w="85" w:type="dxa"/>
              <w:right w:w="85" w:type="dxa"/>
            </w:tcMar>
            <w:vAlign w:val="center"/>
            <w:shd w:fill="FFFFFF"/>
          </w:tcPr>
          <w:p>
            <w:pPr>
              <w:spacing w:after="60" w:line="252" w:lineRule="auto"/>
            </w:pPr>
            <w:r>
              <w:rPr>
                <w:color w:val="000000"/>
              </w:rPr>
              <w:t>Проверенный робот отражает статус компании по всем подтверждённым договорам/услугам и карте ID. Отдельная новая работа не подтверждает новый договор. Пересчёт сверяется с реестром; спорные случаи идут координатору.</w:t>
            </w:r>
          </w:p>
        </w:tc>
        <w:tc>
          <w:tcPr>
            <w:tcW w:type="dxa" w:w="272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Лог пересчета доступен администратору; переводы в «Бывший клиент» (расторжение договора) и «На паузе» выполняются вручную с обязательным комментарием.</w:t>
            </w:r>
          </w:p>
        </w:tc>
      </w:tr>
      <w:tr>
        <w:trPr>
          <w:cantSplit/>
        </w:trPr>
        <w:tc>
          <w:tcPr>
            <w:tcW w:type="dxa" w:w="238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Статус клиента установлен «ТО АПС» / «ТО АПС + Аутсорсинг» (редакция 1.8, уточнено 1.9, дубли исключены 1.10)</w:t>
            </w:r>
          </w:p>
        </w:tc>
        <w:tc>
          <w:tcPr>
            <w:tcW w:type="dxa" w:w="4535"/>
            <w:tcMar>
              <w:top w:w="85" w:type="dxa"/>
              <w:start w:w="120" w:type="dxa"/>
              <w:bottom w:w="85" w:type="dxa"/>
              <w:end w:w="120" w:type="dxa"/>
              <w:left w:w="85" w:type="dxa"/>
              <w:right w:w="85" w:type="dxa"/>
            </w:tcMar>
            <w:vAlign w:val="center"/>
            <w:shd w:fill="FFFFFF"/>
          </w:tcPr>
          <w:p>
            <w:pPr>
              <w:spacing w:after="60" w:line="252" w:lineRule="auto"/>
            </w:pPr>
            <w:r>
              <w:rPr>
                <w:color w:val="000000"/>
                <w:sz w:val="20"/>
              </w:rPr>
              <w:t>Текущая архитектура — роботы сделки обновляют статус компании и запускают следующий цикл по договорной дате (п. 21.1–21.3). Перед созданием проверяется существующая работа и идемпотентный ключ. REST/Cloud Run для изменения компании — резерв, если штатных роботов недостаточно; полный сценарий требует проверки на портале.</w:t>
            </w:r>
          </w:p>
        </w:tc>
        <w:tc>
          <w:tcPr>
            <w:tcW w:type="dxa" w:w="2721"/>
            <w:tcMar>
              <w:top w:w="85" w:type="dxa"/>
              <w:start w:w="120" w:type="dxa"/>
              <w:bottom w:w="85" w:type="dxa"/>
              <w:end w:w="120" w:type="dxa"/>
              <w:left w:w="85" w:type="dxa"/>
              <w:right w:w="85" w:type="dxa"/>
            </w:tcMar>
            <w:vAlign w:val="center"/>
            <w:shd w:fill="FFFFFF"/>
          </w:tcPr>
          <w:p>
            <w:pPr>
              <w:spacing w:after="60" w:line="252" w:lineRule="auto"/>
            </w:pPr>
            <w:r>
              <w:rPr>
                <w:color w:val="000000"/>
              </w:rPr>
              <w:t>Ключ отдельной плановой работы включает услугу договора и объект. Технический флаг компании не заменяет этот ключ: у одной компании может быть несколько работ и объектов.</w:t>
            </w:r>
          </w:p>
        </w:tc>
      </w:tr>
      <w:tr>
        <w:trPr>
          <w:cantSplit/>
        </w:trPr>
        <w:tc>
          <w:tcPr>
            <w:tcW w:type="dxa" w:w="238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Сделка воронки «Обслуживание текущих клиентов» на стадии «Новая заявка на обслуживание» (редакция 1.8)</w:t>
            </w:r>
          </w:p>
        </w:tc>
        <w:tc>
          <w:tcPr>
            <w:tcW w:type="dxa" w:w="4535"/>
            <w:tcMar>
              <w:top w:w="85" w:type="dxa"/>
              <w:start w:w="120" w:type="dxa"/>
              <w:bottom w:w="85" w:type="dxa"/>
              <w:end w:w="120" w:type="dxa"/>
              <w:left w:w="85" w:type="dxa"/>
              <w:right w:w="85" w:type="dxa"/>
            </w:tcMar>
            <w:vAlign w:val="center"/>
            <w:shd w:fill="FFFFFF"/>
          </w:tcPr>
          <w:p>
            <w:pPr>
              <w:spacing w:after="60" w:line="252" w:lineRule="auto"/>
            </w:pPr>
            <w:r>
              <w:rPr>
                <w:color w:val="000000"/>
              </w:rPr>
              <w:t>Статус ТО компании меняется только при подтверждённой действующей услуге договора. Вход новой карточки выполнения без договора создаёт очередь проверки, не новый факт активности.</w:t>
            </w:r>
          </w:p>
        </w:tc>
        <w:tc>
          <w:tcPr>
            <w:tcW w:type="dxa" w:w="272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Выполняется сразу при входе сделки в стадию; не зависит от способа создания сделки (вручную или автоматически).</w:t>
            </w:r>
          </w:p>
        </w:tc>
      </w:tr>
    </w:tbl>
    <w:p>
      <w:pPr>
        <w:widowControl/>
        <w:spacing w:after="20"/>
      </w:pPr>
    </w:p>
    <w:p>
      <w:pPr>
        <w:widowControl/>
      </w:pPr>
      <w:r>
        <w:t>SLA первого контакта, follow-up и стадийные напоминания реализуются роботами CRM «Ждать», проверкой условия, постановкой задачи и уведомлением. Плановое ТО запускается по UF_CRM_NEXT_SERVICE_DATE индивидуально для договора/объекта с защитой от дублей (п. 21.3); Cloud Scheduler остается резервным вариантом после проверки ограничений роботов. Условия класса используют UF_CRM_ICP_SEGMENT; UF_CRM_ICP_TYPE хранит сценарий ICP-1…ICP-5/ICP-C. Обработка событий задач для учета времени по п. 6.5 требует отдельной проверки реализации: наличие полей времени не означает готовность автоматического расчета.</w:t>
      </w:r>
    </w:p>
    <w:p>
      <w:pPr>
        <w:pStyle w:val="Heading1"/>
        <w:keepNext/>
        <w:widowControl/>
      </w:pPr>
      <w:r>
        <w:rPr>
          <w:color w:val="000000"/>
          <w:u w:val="none"/>
        </w:rPr>
        <w:t>9 События аналитики и интеграции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rPr>
          <w:tblHeader w:val="true"/>
          <w:cantSplit/>
          <w:tblHeader/>
        </w:trPr>
        <w:tc>
          <w:tcPr>
            <w:tcW w:type="dxa" w:w="2041"/>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6"/>
              </w:rPr>
              <w:t>Событие</w:t>
            </w:r>
          </w:p>
        </w:tc>
        <w:tc>
          <w:tcPr>
            <w:tcW w:type="dxa" w:w="4139"/>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6"/>
              </w:rPr>
              <w:t>Условие формирования</w:t>
            </w:r>
          </w:p>
        </w:tc>
        <w:tc>
          <w:tcPr>
            <w:tcW w:type="dxa" w:w="3458"/>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6"/>
              </w:rPr>
              <w:t>Параметры</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lead_created</w:t>
            </w:r>
          </w:p>
        </w:tc>
        <w:tc>
          <w:tcPr>
            <w:tcW w:type="dxa" w:w="4139"/>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В CRM создано валидное обращение.</w:t>
            </w:r>
          </w:p>
        </w:tc>
        <w:tc>
          <w:tcPr>
            <w:tcW w:type="dxa" w:w="3458"/>
            <w:tcMar>
              <w:top w:w="85" w:type="dxa"/>
              <w:start w:w="120" w:type="dxa"/>
              <w:bottom w:w="85" w:type="dxa"/>
              <w:end w:w="120" w:type="dxa"/>
              <w:left w:w="85" w:type="dxa"/>
              <w:right w:w="85" w:type="dxa"/>
            </w:tcMar>
            <w:vAlign w:val="center"/>
            <w:shd w:fill="FFFFFF"/>
          </w:tcPr>
          <w:p>
            <w:pPr>
              <w:spacing w:after="60" w:line="252" w:lineRule="auto"/>
            </w:pPr>
            <w:r>
              <w:rPr>
                <w:color w:val="000000"/>
              </w:rPr>
              <w:t>CRM ID, source, campaign, landing, service_type.</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qualified_lead</w:t>
            </w:r>
          </w:p>
        </w:tc>
        <w:tc>
          <w:tcPr>
            <w:tcW w:type="dxa" w:w="4139"/>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Выполнено определение квалифицированного обращения.</w:t>
            </w:r>
          </w:p>
        </w:tc>
        <w:tc>
          <w:tcPr>
            <w:tcW w:type="dxa" w:w="3458"/>
            <w:tcMar>
              <w:top w:w="85" w:type="dxa"/>
              <w:start w:w="120" w:type="dxa"/>
              <w:bottom w:w="85" w:type="dxa"/>
              <w:end w:w="120" w:type="dxa"/>
              <w:left w:w="85" w:type="dxa"/>
              <w:right w:w="85" w:type="dxa"/>
            </w:tcMar>
            <w:vAlign w:val="center"/>
            <w:shd w:fill="FFFFFF"/>
          </w:tcPr>
          <w:p>
            <w:pPr>
              <w:spacing w:after="60" w:line="252" w:lineRule="auto"/>
            </w:pPr>
            <w:r>
              <w:rPr>
                <w:color w:val="000000"/>
              </w:rPr>
              <w:t>ICP class/score, object type, area, service_type.</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visit_scheduled</w:t>
            </w:r>
          </w:p>
        </w:tc>
        <w:tc>
          <w:tcPr>
            <w:tcW w:type="dxa" w:w="4139"/>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Назначены дата и инженер.</w:t>
            </w:r>
          </w:p>
        </w:tc>
        <w:tc>
          <w:tcPr>
            <w:tcW w:type="dxa" w:w="345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Object ID, planned date, funnel.</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visit_done</w:t>
            </w:r>
          </w:p>
        </w:tc>
        <w:tc>
          <w:tcPr>
            <w:tcW w:type="dxa" w:w="4139"/>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Фактический выезд, инженер и результат внесены.</w:t>
            </w:r>
          </w:p>
        </w:tc>
        <w:tc>
          <w:tcPr>
            <w:tcW w:type="dxa" w:w="345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Visit ID, result, defect count.</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quote_sent</w:t>
            </w:r>
          </w:p>
        </w:tc>
        <w:tc>
          <w:tcPr>
            <w:tcW w:type="dxa" w:w="4139"/>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Клиенту отправлен персональный расчет/КП.</w:t>
            </w:r>
          </w:p>
        </w:tc>
        <w:tc>
          <w:tcPr>
            <w:tcW w:type="dxa" w:w="345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Value, currency KZT, service_type, deal ID.</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invoice_issued</w:t>
            </w:r>
          </w:p>
        </w:tc>
        <w:tc>
          <w:tcPr>
            <w:tcW w:type="dxa" w:w="4139"/>
            <w:tcMar>
              <w:top w:w="85" w:type="dxa"/>
              <w:start w:w="120" w:type="dxa"/>
              <w:bottom w:w="85" w:type="dxa"/>
              <w:end w:w="120" w:type="dxa"/>
              <w:left w:w="85" w:type="dxa"/>
              <w:right w:w="85" w:type="dxa"/>
            </w:tcMar>
            <w:vAlign w:val="center"/>
            <w:shd w:fill="FFFFFF"/>
          </w:tcPr>
          <w:p>
            <w:pPr>
              <w:spacing w:after="60" w:line="252" w:lineRule="auto"/>
            </w:pPr>
            <w:r>
              <w:rPr>
                <w:color w:val="000000"/>
                <w:sz w:val="20"/>
              </w:rPr>
              <w:t>Счет отправлен клиенту; допускается счет Bitrix24 или прикрепленный счет 1С.</w:t>
            </w:r>
          </w:p>
        </w:tc>
        <w:tc>
          <w:tcPr>
            <w:tcW w:type="dxa" w:w="345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Invoice ID, value, equipment value.</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payment_received</w:t>
            </w:r>
          </w:p>
        </w:tc>
        <w:tc>
          <w:tcPr>
            <w:tcW w:type="dxa" w:w="4139"/>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Оплата подтверждена.</w:t>
            </w:r>
          </w:p>
        </w:tc>
        <w:tc>
          <w:tcPr>
            <w:tcW w:type="dxa" w:w="345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Paid value, payment date, invoice ID.</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contract_won</w:t>
            </w:r>
          </w:p>
        </w:tc>
        <w:tc>
          <w:tcPr>
            <w:tcW w:type="dxa" w:w="4139"/>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Выполнены критерии выигранной сделки.</w:t>
            </w:r>
          </w:p>
        </w:tc>
        <w:tc>
          <w:tcPr>
            <w:tcW w:type="dxa" w:w="345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Value, currency KZT, gross profit, MRR, service_type.</w:t>
            </w:r>
          </w:p>
        </w:tc>
      </w:tr>
      <w:tr>
        <w:trPr>
          <w:cantSplit/>
        </w:trPr>
        <w:tc>
          <w:tcPr>
            <w:tcW w:type="dxa" w:w="204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work_completed</w:t>
            </w:r>
          </w:p>
        </w:tc>
        <w:tc>
          <w:tcPr>
            <w:tcW w:type="dxa" w:w="4139"/>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Работа завершена и отчет отправлен.</w:t>
            </w:r>
          </w:p>
        </w:tc>
        <w:tc>
          <w:tcPr>
            <w:tcW w:type="dxa" w:w="345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Work type, duration, defects, replacements.</w:t>
            </w:r>
          </w:p>
        </w:tc>
      </w:tr>
    </w:tbl>
    <w:p>
      <w:pPr>
        <w:widowControl/>
        <w:spacing w:after="20"/>
      </w:pPr>
    </w:p>
    <w:p>
      <w:pPr>
        <w:widowControl/>
      </w:pPr>
      <w:r>
        <w:t>В GA4 и Google Ads передавать только согласованный набор событий. Микроконверсии оставить Secondary. Для Google Ads офлайн-конверсий хранить click ID, время исходного взаимодействия, время конверсии, value и currency. Повторная отправка одного события должна блокироваться уникальным ключом ENTITY_ID + EVENT_NAME + VERSION (согласовано с единым контрактом данных v1.1).</w:t>
      </w:r>
    </w:p>
    <w:p>
      <w:pPr>
        <w:pStyle w:val="Heading1"/>
        <w:keepNext/>
        <w:widowControl/>
      </w:pPr>
      <w:r>
        <w:rPr>
          <w:color w:val="000000"/>
          <w:u w:val="none"/>
        </w:rPr>
        <w:t>10 Отчеты и дашборды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rPr>
          <w:tblHeader w:val="true"/>
          <w:cantSplit/>
          <w:tblHeader/>
        </w:trPr>
        <w:tc>
          <w:tcPr>
            <w:tcW w:type="dxa" w:w="2154"/>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6"/>
              </w:rPr>
              <w:t>Дашборд</w:t>
            </w:r>
          </w:p>
        </w:tc>
        <w:tc>
          <w:tcPr>
            <w:tcW w:type="dxa" w:w="4422"/>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6"/>
              </w:rPr>
              <w:t>Показатели</w:t>
            </w:r>
          </w:p>
        </w:tc>
        <w:tc>
          <w:tcPr>
            <w:tcW w:type="dxa" w:w="3061"/>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6"/>
              </w:rPr>
              <w:t>Разрезы</w:t>
            </w:r>
          </w:p>
        </w:tc>
      </w:tr>
      <w:tr>
        <w:trPr>
          <w:cantSplit/>
        </w:trPr>
        <w:tc>
          <w:tcPr>
            <w:tcW w:type="dxa" w:w="2154"/>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Маркетинг</w:t>
            </w:r>
          </w:p>
        </w:tc>
        <w:tc>
          <w:tcPr>
            <w:tcW w:type="dxa" w:w="4422"/>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Расход, показы, клики, CPC, лиды, CPL, ICP A/B, стоимость ICP A/B.</w:t>
            </w:r>
          </w:p>
        </w:tc>
        <w:tc>
          <w:tcPr>
            <w:tcW w:type="dxa" w:w="3061"/>
            <w:tcMar>
              <w:top w:w="85" w:type="dxa"/>
              <w:start w:w="120" w:type="dxa"/>
              <w:bottom w:w="85" w:type="dxa"/>
              <w:end w:w="120" w:type="dxa"/>
              <w:left w:w="85" w:type="dxa"/>
              <w:right w:w="85" w:type="dxa"/>
            </w:tcMar>
            <w:vAlign w:val="center"/>
            <w:shd w:fill="FFFFFF"/>
          </w:tcPr>
          <w:p>
            <w:pPr>
              <w:spacing w:after="60" w:line="252" w:lineRule="auto"/>
            </w:pPr>
            <w:r>
              <w:rPr>
                <w:color w:val="000000"/>
              </w:rPr>
              <w:t>First/last source, campaign, keyword/search term, landing, service_type.</w:t>
            </w:r>
          </w:p>
        </w:tc>
      </w:tr>
      <w:tr>
        <w:trPr>
          <w:cantSplit/>
        </w:trPr>
        <w:tc>
          <w:tcPr>
            <w:tcW w:type="dxa" w:w="2154"/>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Воронка продаж</w:t>
            </w:r>
          </w:p>
        </w:tc>
        <w:tc>
          <w:tcPr>
            <w:tcW w:type="dxa" w:w="4422"/>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Лид → квалификация → обследование → КП → счет → оплата/договор; конверсии и время стадий.</w:t>
            </w:r>
          </w:p>
        </w:tc>
        <w:tc>
          <w:tcPr>
            <w:tcW w:type="dxa" w:w="306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Воронка, ICP, менеджер, объект, отрасль, площадь.</w:t>
            </w:r>
          </w:p>
        </w:tc>
      </w:tr>
      <w:tr>
        <w:trPr>
          <w:cantSplit/>
        </w:trPr>
        <w:tc>
          <w:tcPr>
            <w:tcW w:type="dxa" w:w="2154"/>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Выезды</w:t>
            </w:r>
          </w:p>
        </w:tc>
        <w:tc>
          <w:tcPr>
            <w:tcW w:type="dxa" w:w="4422"/>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Назначено, состоялось, отменено, стоимость состоявшегося выезда, SLA результата.</w:t>
            </w:r>
          </w:p>
        </w:tc>
        <w:tc>
          <w:tcPr>
            <w:tcW w:type="dxa" w:w="306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Источник, услуга, инженер, причина отмены.</w:t>
            </w:r>
          </w:p>
        </w:tc>
      </w:tr>
      <w:tr>
        <w:trPr>
          <w:cantSplit/>
        </w:trPr>
        <w:tc>
          <w:tcPr>
            <w:tcW w:type="dxa" w:w="2154"/>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Экономика</w:t>
            </w:r>
          </w:p>
        </w:tc>
        <w:tc>
          <w:tcPr>
            <w:tcW w:type="dxa" w:w="4422"/>
            <w:tcMar>
              <w:top w:w="85" w:type="dxa"/>
              <w:start w:w="120" w:type="dxa"/>
              <w:bottom w:w="85" w:type="dxa"/>
              <w:end w:w="120" w:type="dxa"/>
              <w:left w:w="85" w:type="dxa"/>
              <w:right w:w="85" w:type="dxa"/>
            </w:tcMar>
            <w:vAlign w:val="center"/>
            <w:shd w:fill="FFFFFF"/>
          </w:tcPr>
          <w:p>
            <w:pPr>
              <w:spacing w:after="60" w:line="252" w:lineRule="auto"/>
            </w:pPr>
            <w:r>
              <w:rPr>
                <w:color w:val="000000"/>
                <w:sz w:val="16"/>
              </w:rPr>
              <w:t>CAC, выручка, валовая прибыль, новый MRR, средний чек, win rate, LTV/CAC после накопления.</w:t>
            </w:r>
          </w:p>
        </w:tc>
        <w:tc>
          <w:tcPr>
            <w:tcW w:type="dxa" w:w="306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Источник, услуга, ICP, менеджер, период.</w:t>
            </w:r>
          </w:p>
        </w:tc>
      </w:tr>
      <w:tr>
        <w:trPr>
          <w:cantSplit/>
        </w:trPr>
        <w:tc>
          <w:tcPr>
            <w:tcW w:type="dxa" w:w="2154"/>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ТО и выполнение</w:t>
            </w:r>
          </w:p>
        </w:tc>
        <w:tc>
          <w:tcPr>
            <w:tcW w:type="dxa" w:w="4422"/>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План/факт работ, просрочки, длительность, дефекты, позиции к замене, счета и оплаты.</w:t>
            </w:r>
          </w:p>
        </w:tc>
        <w:tc>
          <w:tcPr>
            <w:tcW w:type="dxa" w:w="306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Клиент, объект, договор, вид работы, техник, координатор.</w:t>
            </w:r>
          </w:p>
        </w:tc>
      </w:tr>
      <w:tr>
        <w:trPr>
          <w:cantSplit/>
        </w:trPr>
        <w:tc>
          <w:tcPr>
            <w:tcW w:type="dxa" w:w="2154"/>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Качество данных</w:t>
            </w:r>
          </w:p>
        </w:tc>
        <w:tc>
          <w:tcPr>
            <w:tcW w:type="dxa" w:w="4422"/>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Пустые обязательные поля, сделки без следующего шага, потерянная атрибуция, дубли, события с ошибками.</w:t>
            </w:r>
          </w:p>
        </w:tc>
        <w:tc>
          <w:tcPr>
            <w:tcW w:type="dxa" w:w="3061"/>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Ответственный, сущность, дата, источник.</w:t>
            </w:r>
          </w:p>
        </w:tc>
      </w:tr>
    </w:tbl>
    <w:p>
      <w:pPr>
        <w:widowControl/>
        <w:spacing w:after="20"/>
      </w:pPr>
    </w:p>
    <w:p>
      <w:pPr>
        <w:widowControl/>
      </w:pPr>
      <w:r>
        <w:t>Два обязательных расчетных KPI: стоимость состоявшегося выезда = расходы канала / состоявшиеся выезды; стоимость персонального расчета = расходы канала / расчеты, фактически отправленные клиентам. Для деления на ноль возвращать пустое значение, а не 0.</w:t>
      </w:r>
    </w:p>
    <w:p>
      <w:pPr>
        <w:widowControl/>
      </w:pPr>
      <w:r>
        <w:t>Учёт времени сохраняет задачи, участников, интервалы и категорию труда с привязкой к work_id, объекту, договору, услуге и воронке. На первом этапе автоматически учитываются человеко-часы ТО по п. 6.5; обследования остаются без таймера. Для остальных категорий на втором этапе утверждают источник учёта до расчёта полной загрузки. Один сотрудник не имеет пересекающихся подтверждённых интервалов; длительность выезда и сумма времени команды показываются отдельно. Расчёт труда, ставок и свободной мощности выполняется по общей методике MG-07 и MG-11.</w:t>
      </w:r>
    </w:p>
    <w:p>
      <w:pPr>
        <w:pStyle w:val="Heading1"/>
        <w:keepNext/>
        <w:widowControl/>
      </w:pPr>
      <w:r>
        <w:rPr>
          <w:color w:val="000000"/>
          <w:u w:val="none"/>
        </w:rPr>
        <w:t>11 Роли и права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cantSplit/>
          <w:tblHeader/>
        </w:trPr>
        <w:tc>
          <w:tcPr>
            <w:tcW w:type="dxa" w:w="2551"/>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7"/>
              </w:rPr>
              <w:t>Роль</w:t>
            </w:r>
          </w:p>
        </w:tc>
        <w:tc>
          <w:tcPr>
            <w:tcW w:type="dxa" w:w="7087"/>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7"/>
              </w:rPr>
              <w:t>Права и ответственность</w:t>
            </w:r>
          </w:p>
        </w:tc>
      </w:tr>
      <w:tr>
        <w:trPr>
          <w:cantSplit/>
        </w:trPr>
        <w:tc>
          <w:tcPr>
            <w:tcW w:type="dxa" w:w="2551"/>
            <w:tcMar>
              <w:top w:w="85" w:type="dxa"/>
              <w:start w:w="120" w:type="dxa"/>
              <w:bottom w:w="85" w:type="dxa"/>
              <w:end w:w="120" w:type="dxa"/>
              <w:left w:w="85" w:type="dxa"/>
              <w:right w:w="85" w:type="dxa"/>
            </w:tcMar>
            <w:vAlign w:val="center"/>
            <w:shd w:fill="FFFFFF"/>
          </w:tcPr>
          <w:p>
            <w:pPr>
              <w:spacing w:after="60" w:line="252" w:lineRule="auto"/>
            </w:pPr>
            <w:r>
              <w:rPr>
                <w:color w:val="000000"/>
                <w:sz w:val="17"/>
              </w:rPr>
              <w:t>Руководитель</w:t>
            </w:r>
          </w:p>
        </w:tc>
        <w:tc>
          <w:tcPr>
            <w:tcW w:type="dxa" w:w="7087"/>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Все отчеты, бюджеты, экономика, эскалации; право ручной корректировки ICP с комментарием.</w:t>
            </w:r>
          </w:p>
        </w:tc>
      </w:tr>
      <w:tr>
        <w:trPr>
          <w:cantSplit/>
        </w:trPr>
        <w:tc>
          <w:tcPr>
            <w:tcW w:type="dxa" w:w="2551"/>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Менеджер</w:t>
            </w:r>
          </w:p>
        </w:tc>
        <w:tc>
          <w:tcPr>
            <w:tcW w:type="dxa" w:w="7087"/>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Лиды, контакты и профильные продажи; не изменяет first-touch и системные ID.</w:t>
            </w:r>
          </w:p>
        </w:tc>
      </w:tr>
      <w:tr>
        <w:trPr>
          <w:cantSplit/>
        </w:trPr>
        <w:tc>
          <w:tcPr>
            <w:tcW w:type="dxa" w:w="2551"/>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Координатор</w:t>
            </w:r>
          </w:p>
        </w:tc>
        <w:tc>
          <w:tcPr>
            <w:tcW w:type="dxa" w:w="7087"/>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Планирование выездов/работ, контроль чек-листов, отчетов, счетов и отправки клиенту.</w:t>
            </w:r>
          </w:p>
        </w:tc>
      </w:tr>
      <w:tr>
        <w:trPr>
          <w:cantSplit/>
        </w:trPr>
        <w:tc>
          <w:tcPr>
            <w:tcW w:type="dxa" w:w="2551"/>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Инженер/техник</w:t>
            </w:r>
          </w:p>
        </w:tc>
        <w:tc>
          <w:tcPr>
            <w:tcW w:type="dxa" w:w="7087"/>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Мобильный доступ только к назначенным объектам, обследованиям и работам; заполнение чек-листа и фото.</w:t>
            </w:r>
          </w:p>
        </w:tc>
      </w:tr>
      <w:tr>
        <w:trPr>
          <w:cantSplit/>
        </w:trPr>
        <w:tc>
          <w:tcPr>
            <w:tcW w:type="dxa" w:w="2551"/>
            <w:tcMar>
              <w:top w:w="85" w:type="dxa"/>
              <w:start w:w="120" w:type="dxa"/>
              <w:bottom w:w="85" w:type="dxa"/>
              <w:end w:w="120" w:type="dxa"/>
              <w:left w:w="85" w:type="dxa"/>
              <w:right w:w="85" w:type="dxa"/>
            </w:tcMar>
            <w:vAlign w:val="center"/>
            <w:shd w:fill="FFFFFF"/>
          </w:tcPr>
          <w:p>
            <w:pPr>
              <w:spacing w:after="60" w:line="252" w:lineRule="auto"/>
            </w:pPr>
            <w:r>
              <w:rPr>
                <w:color w:val="000000"/>
                <w:sz w:val="17"/>
              </w:rPr>
              <w:t>Сметчик/снабжение</w:t>
            </w:r>
          </w:p>
        </w:tc>
        <w:tc>
          <w:tcPr>
            <w:tcW w:type="dxa" w:w="7087"/>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Позиции оборудования, цены и расчет; без доступа к маркетинговым бюджетам.</w:t>
            </w:r>
          </w:p>
        </w:tc>
      </w:tr>
      <w:tr>
        <w:trPr>
          <w:cantSplit/>
        </w:trPr>
        <w:tc>
          <w:tcPr>
            <w:tcW w:type="dxa" w:w="2551"/>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Маркетолог/аналитик</w:t>
            </w:r>
          </w:p>
        </w:tc>
        <w:tc>
          <w:tcPr>
            <w:tcW w:type="dxa" w:w="7087"/>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Атрибуция и агрегированные отчеты; без изменения коммерческих стадий и техрезультатов.</w:t>
            </w:r>
          </w:p>
        </w:tc>
      </w:tr>
      <w:tr>
        <w:trPr>
          <w:cantSplit/>
        </w:trPr>
        <w:tc>
          <w:tcPr>
            <w:tcW w:type="dxa" w:w="2551"/>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Администратор</w:t>
            </w:r>
          </w:p>
        </w:tc>
        <w:tc>
          <w:tcPr>
            <w:tcW w:type="dxa" w:w="7087"/>
            <w:tcMar>
              <w:top w:w="85" w:type="dxa"/>
              <w:start w:w="120" w:type="dxa"/>
              <w:bottom w:w="85" w:type="dxa"/>
              <w:end w:w="120" w:type="dxa"/>
              <w:left w:w="85" w:type="dxa"/>
              <w:right w:w="85" w:type="dxa"/>
            </w:tcMar>
            <w:vAlign w:val="center"/>
            <w:shd w:fill="FFFFFF"/>
          </w:tcPr>
          <w:p>
            <w:pPr>
              <w:spacing w:after="60" w:line="252" w:lineRule="auto"/>
            </w:pPr>
            <w:r>
              <w:rPr>
                <w:color w:val="000000"/>
                <w:sz w:val="17"/>
              </w:rPr>
              <w:t>Настройки, интеграции, журнал ошибок; изменения в продуктиве через согласованный журнал изменений.</w:t>
            </w:r>
          </w:p>
        </w:tc>
      </w:tr>
    </w:tbl>
    <w:p>
      <w:pPr>
        <w:widowControl/>
        <w:spacing w:after="20"/>
      </w:pPr>
    </w:p>
    <w:p>
      <w:pPr>
        <w:pStyle w:val="Heading1"/>
        <w:keepNext/>
        <w:widowControl/>
      </w:pPr>
      <w:r>
        <w:rPr>
          <w:color w:val="000000"/>
          <w:u w:val="none"/>
        </w:rPr>
        <w:t>12 Контроль качества данных</w:t>
      </w:r>
    </w:p>
    <w:p>
      <w:pPr>
        <w:pStyle w:val="ListBullet"/>
        <w:widowControl/>
      </w:pPr>
      <w:r>
        <w:t>Кандидаты на дубли выявляются по БИН, нормализованным телефону/email, названию и адресу. Совпадение названия или контактных данных не разрешает объединение. Связи строятся по подтверждённым системным ID и карте соответствий; спорную связь утверждает назначенный владелец. Автоматическое удаление или объединение компаний аналитическим импортом запрещено; прямые решения заказчика о раздельных компаниях сохраняются.</w:t>
      </w:r>
    </w:p>
    <w:p>
      <w:pPr>
        <w:pStyle w:val="ListBullet"/>
        <w:widowControl/>
      </w:pPr>
      <w:r>
        <w:t>Историю значимых изменений хранить: стадия, сумма, ответственный, ICP, дата выезда, счет, оплата, шаблон чек-листа, статус клиента.</w:t>
      </w:r>
    </w:p>
    <w:p>
      <w:pPr>
        <w:pStyle w:val="ListBullet"/>
        <w:widowControl/>
      </w:pPr>
      <w:r>
        <w:t>Технические пользователи интеграций должны быть отдельными; ошибки обмена регистрируются и видны администратору.</w:t>
      </w:r>
    </w:p>
    <w:p>
      <w:pPr>
        <w:pStyle w:val="ListBullet"/>
        <w:widowControl/>
      </w:pPr>
      <w:r>
        <w:t>Часовой пояс отчётности — Asia/Qyzylorda; технические timestamps — UTC с зоной. Договорные даты DATE сохраняются без преобразования часового пояса. Месяц — начало включительно, начало следующего месяца исключительно.</w:t>
      </w:r>
    </w:p>
    <w:p>
      <w:pPr>
        <w:pStyle w:val="Heading1"/>
        <w:keepNext/>
        <w:widowControl/>
      </w:pPr>
      <w:r>
        <w:rPr>
          <w:color w:val="000000"/>
          <w:u w:val="none"/>
        </w:rPr>
        <w:t>13 Требования к рабочей среде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cantSplit/>
          <w:tblHeader/>
        </w:trPr>
        <w:tc>
          <w:tcPr>
            <w:tcW w:type="dxa" w:w="2438"/>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6"/>
              </w:rPr>
              <w:t>Компонент</w:t>
            </w:r>
          </w:p>
        </w:tc>
        <w:tc>
          <w:tcPr>
            <w:tcW w:type="dxa" w:w="7200"/>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6"/>
              </w:rPr>
              <w:t>Настройка</w:t>
            </w:r>
          </w:p>
        </w:tc>
      </w:tr>
      <w:tr>
        <w:trPr>
          <w:cantSplit/>
        </w:trPr>
        <w:tc>
          <w:tcPr>
            <w:tcW w:type="dxa" w:w="243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Рабочие представления</w:t>
            </w:r>
          </w:p>
        </w:tc>
        <w:tc>
          <w:tcPr>
            <w:tcW w:type="dxa" w:w="7200"/>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Очередь новых лидов; обследования сегодня; работы на неделю; чек-листы ждут отчета; счета ждут оплаты; просроченные следующие шаги.</w:t>
            </w:r>
          </w:p>
        </w:tc>
      </w:tr>
      <w:tr>
        <w:trPr>
          <w:cantSplit/>
        </w:trPr>
        <w:tc>
          <w:tcPr>
            <w:tcW w:type="dxa" w:w="243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Карточки</w:t>
            </w:r>
          </w:p>
        </w:tc>
        <w:tc>
          <w:tcPr>
            <w:tcW w:type="dxa" w:w="7200"/>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Поля сгруппированы: Клиент, Объект, Потребность, Атрибуция, ICP, Коммерция, Исполнение, Связи. Второстепенные технические поля скрыты от обычных пользователей.</w:t>
            </w:r>
          </w:p>
        </w:tc>
      </w:tr>
      <w:tr>
        <w:trPr>
          <w:cantSplit/>
        </w:trPr>
        <w:tc>
          <w:tcPr>
            <w:tcW w:type="dxa" w:w="243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Мобильная работа</w:t>
            </w:r>
          </w:p>
        </w:tc>
        <w:tc>
          <w:tcPr>
            <w:tcW w:type="dxa" w:w="7200"/>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Крупные поля выбора, минимальный ручной ввод, обязательные фото только там, где они подтверждают дефект/замену; работа при нестабильной связи проверяется пилотом.</w:t>
            </w:r>
          </w:p>
        </w:tc>
      </w:tr>
      <w:tr>
        <w:trPr>
          <w:cantSplit/>
        </w:trPr>
        <w:tc>
          <w:tcPr>
            <w:tcW w:type="dxa" w:w="243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Шаблоны задач</w:t>
            </w:r>
          </w:p>
        </w:tc>
        <w:tc>
          <w:tcPr>
            <w:tcW w:type="dxa" w:w="7200"/>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Квалификация; обследование; отчет; счет за оборудование; follow-up; контроль оплаты; продление договора.</w:t>
            </w:r>
          </w:p>
        </w:tc>
      </w:tr>
      <w:tr>
        <w:trPr>
          <w:cantSplit/>
        </w:trPr>
        <w:tc>
          <w:tcPr>
            <w:tcW w:type="dxa" w:w="243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Шаблоны документов</w:t>
            </w:r>
          </w:p>
        </w:tc>
        <w:tc>
          <w:tcPr>
            <w:tcW w:type="dxa" w:w="7200"/>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Отчет обследования, отчет ТО, КП по трем направлениям, счет/ссылка на счет. Поля подставляются из CRM без повторного ввода.</w:t>
            </w:r>
          </w:p>
        </w:tc>
      </w:tr>
      <w:tr>
        <w:trPr>
          <w:cantSplit/>
        </w:trPr>
        <w:tc>
          <w:tcPr>
            <w:tcW w:type="dxa" w:w="243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Календарь</w:t>
            </w:r>
          </w:p>
        </w:tc>
        <w:tc>
          <w:tcPr>
            <w:tcW w:type="dxa" w:w="7200"/>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Календари инженеров и плановых работ, запрет двойного назначения при подтвержденном конфликте.</w:t>
            </w:r>
          </w:p>
        </w:tc>
      </w:tr>
      <w:tr>
        <w:trPr>
          <w:cantSplit/>
        </w:trPr>
        <w:tc>
          <w:tcPr>
            <w:tcW w:type="dxa" w:w="243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Тестовый контур</w:t>
            </w:r>
          </w:p>
        </w:tc>
        <w:tc>
          <w:tcPr>
            <w:tcW w:type="dxa" w:w="7200"/>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Перед продуктивным запуском — копия справочников, тестовые пользователи и тестовые интеграционные ключи.</w:t>
            </w:r>
          </w:p>
        </w:tc>
      </w:tr>
    </w:tbl>
    <w:p>
      <w:pPr>
        <w:widowControl/>
        <w:spacing w:after="20"/>
      </w:pPr>
    </w:p>
    <w:p>
      <w:pPr>
        <w:pStyle w:val="Heading1"/>
        <w:keepNext/>
        <w:pageBreakBefore/>
        <w:widowControl/>
      </w:pPr>
      <w:r>
        <w:rPr>
          <w:color w:val="000000"/>
          <w:u w:val="none"/>
        </w:rPr>
        <w:t>14 Порядок внедрения</w:t>
      </w:r>
      <w:r>
        <w:rPr>
          <w:rStyle w:val="CommentReference"/>
          <w:color w:val="000000"/>
          <w:u w:val="none"/>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tblHeader w:val="true"/>
          <w:cantSplit/>
          <w:tblHeader/>
        </w:trPr>
        <w:tc>
          <w:tcPr>
            <w:tcW w:type="dxa" w:w="2268"/>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7"/>
              </w:rPr>
              <w:t>Этап</w:t>
            </w:r>
          </w:p>
        </w:tc>
        <w:tc>
          <w:tcPr>
            <w:tcW w:type="dxa" w:w="7370"/>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7"/>
              </w:rPr>
              <w:t>Результат</w:t>
            </w:r>
          </w:p>
        </w:tc>
      </w:tr>
      <w:tr>
        <w:trPr>
          <w:cantSplit/>
        </w:trPr>
        <w:tc>
          <w:tcPr>
            <w:tcW w:type="dxa" w:w="2268"/>
            <w:vAlign w:val="center"/>
            <w:shd w:fill="FFFFFF"/>
            <w:tcMar>
              <w:top w:w="85" w:type="dxa"/>
              <w:bottom w:w="85" w:type="dxa"/>
              <w:left w:w="85" w:type="dxa"/>
              <w:right w:w="85" w:type="dxa"/>
            </w:tcMar>
          </w:tcPr>
          <w:p>
            <w:pPr>
              <w:spacing w:after="60" w:line="252" w:lineRule="auto"/>
            </w:pPr>
            <w:r>
              <w:rPr>
                <w:color w:val="000000"/>
                <w:sz w:val="20"/>
              </w:rPr>
              <w:t>1 Продажи и обслуживание</w:t>
            </w:r>
          </w:p>
        </w:tc>
        <w:tc>
          <w:tcPr>
            <w:tcW w:type="dxa" w:w="7370"/>
            <w:vAlign w:val="center"/>
            <w:shd w:fill="FFFFFF"/>
            <w:tcMar>
              <w:top w:w="85" w:type="dxa"/>
              <w:bottom w:w="85" w:type="dxa"/>
              <w:left w:w="85" w:type="dxa"/>
              <w:right w:w="85" w:type="dxa"/>
            </w:tcMar>
          </w:tcPr>
          <w:p>
            <w:pPr>
              <w:spacing w:after="60" w:line="252" w:lineRule="auto"/>
            </w:pPr>
            <w:r>
              <w:rPr>
                <w:color w:val="000000"/>
                <w:sz w:val="20"/>
              </w:rPr>
              <w:t>Проверка фактической схемы; источники и первичная услуга; обследование и КП; перевод подходящих обращений в ТО; реестр договоров/объектов; плановое ТО, чек-листы, замечания и отчеты; фактическое время ТО; четыре базовых отчета. Сохранять историю с запуска.</w:t>
            </w:r>
          </w:p>
        </w:tc>
      </w:tr>
      <w:tr>
        <w:trPr>
          <w:cantSplit/>
        </w:trPr>
        <w:tc>
          <w:tcPr>
            <w:tcW w:type="dxa" w:w="2268"/>
            <w:vAlign w:val="center"/>
            <w:shd w:fill="FFFFFF"/>
            <w:tcMar>
              <w:top w:w="85" w:type="dxa"/>
              <w:bottom w:w="85" w:type="dxa"/>
              <w:left w:w="85" w:type="dxa"/>
              <w:right w:w="85" w:type="dxa"/>
            </w:tcMar>
          </w:tcPr>
          <w:p>
            <w:pPr>
              <w:spacing w:after="60" w:line="252" w:lineRule="auto"/>
            </w:pPr>
            <w:r>
              <w:rPr>
                <w:color w:val="000000"/>
                <w:sz w:val="20"/>
              </w:rPr>
              <w:t>2 Экономика и развитие</w:t>
            </w:r>
          </w:p>
        </w:tc>
        <w:tc>
          <w:tcPr>
            <w:tcW w:type="dxa" w:w="7370"/>
            <w:vAlign w:val="center"/>
            <w:shd w:fill="FFFFFF"/>
            <w:tcMar>
              <w:top w:w="85" w:type="dxa"/>
              <w:bottom w:w="85" w:type="dxa"/>
              <w:left w:w="85" w:type="dxa"/>
              <w:right w:w="85" w:type="dxa"/>
            </w:tcMar>
          </w:tcPr>
          <w:p>
            <w:pPr>
              <w:spacing w:after="60" w:line="252" w:lineRule="auto"/>
            </w:pPr>
            <w:r>
              <w:rPr>
                <w:color w:val="000000"/>
                <w:sz w:val="20"/>
              </w:rPr>
              <w:t>После приемки этапа 1 и подтверждения данных: юнит экономика объекта за месяц и разовой работы, CAC и окупаемость, сегменты, удержание, загрузка, качество, продажи на 90 дней. Полный пакет из десяти ежемесячных отчетов и решения с ответственными.</w:t>
            </w:r>
          </w:p>
        </w:tc>
      </w:tr>
    </w:tbl>
    <w:p>
      <w:r>
        <w:t>Два этапа CRM сохраняются: продажи/обслуживание, затем экономика/развитие. Детализация — отчётность v1.3, разделы 19–22, и единый план U1–U8 управленческого ТЗ v1.1. Сначала подтверждаются схема, ключи и начальная база; далее операционный пилот, импорт, закрытый месяц, расчёты и прогнозы. Независимую подготовку ведут параллельно; приёмка конкретного блока требует его источников и тестов.</w:t>
      </w:r>
    </w:p>
    <w:p>
      <w:pPr>
        <w:widowControl/>
        <w:spacing w:after="20"/>
      </w:pPr>
    </w:p>
    <w:p>
      <w:pPr>
        <w:pStyle w:val="Heading1"/>
        <w:keepNext/>
        <w:widowControl/>
      </w:pPr>
      <w:r>
        <w:rPr>
          <w:color w:val="000000"/>
          <w:u w:val="none"/>
        </w:rPr>
        <w:t>15 Приемочные испытания</w:t>
      </w:r>
    </w:p>
    <w:p>
      <w:pPr>
        <w:widowControl/>
        <w:ind w:left="397" w:hanging="397"/>
      </w:pPr>
      <w:r>
        <w:t>Тест 1. Форма обслуживания с UTM и GCLID создает одно обращение, сохраняет first-touch и last-touch, рассчитывает ICP и назначает SLA.</w:t>
      </w:r>
    </w:p>
    <w:p>
      <w:pPr>
        <w:widowControl/>
        <w:ind w:left="397" w:hanging="397"/>
      </w:pPr>
      <w:r>
        <w:t>Тест 2. Повторное обращение того же контакта обновляет last-touch, не меняет first-touch и не создает необоснованный дубль компании/объекта.</w:t>
      </w:r>
    </w:p>
    <w:p>
      <w:pPr>
        <w:widowControl/>
        <w:ind w:left="397" w:hanging="397"/>
      </w:pPr>
      <w:r>
        <w:t>Тест 3. Квалификация не завершается без типа объекта, площади, региона, услуги и следующего шага.</w:t>
      </w:r>
    </w:p>
    <w:p>
      <w:pPr>
        <w:widowControl/>
        <w:ind w:left="397" w:hanging="397"/>
      </w:pPr>
      <w:r>
        <w:t>Тест 4. Координатор назначает инженера и дату обследования в Общей воронке; обязательные поля проверяются при переходе на стадию. Значения сохраняются при смене воронки той же сделки. Автозаполнение из задачи не требуется.</w:t>
      </w:r>
    </w:p>
    <w:p>
      <w:pPr>
        <w:widowControl/>
        <w:ind w:left="397" w:hanging="397"/>
      </w:pPr>
      <w:r>
        <w:t>Тест 5. После принятого обследования координатор переводит ту же сделку в выбранную воронку либо продолжает разовую продажу. ID, объект, выводы и первая атрибуция сохраняются; новая копия продажи не появляется.</w:t>
      </w:r>
    </w:p>
    <w:p>
      <w:pPr>
        <w:widowControl/>
        <w:ind w:left="397" w:hanging="397"/>
      </w:pPr>
      <w:r>
        <w:t>Тест 6. КП нельзя перевести в отправленное без суммы, даты и файла/ссылки; событие quote_sent создается один раз.</w:t>
      </w:r>
    </w:p>
    <w:p>
      <w:pPr>
        <w:widowControl/>
        <w:ind w:left="397" w:hanging="397"/>
      </w:pPr>
      <w:r>
        <w:t>Тест 7. Подписанная сделка ТО фиксирует договор/строку услуги, объекты, условия и даты; с даты начала входит в базу/MRR и создаёт первую работу по графику. Одна работа не увеличивает число договоров. Прибыль показывается только при подтверждённой методике и затратах.</w:t>
      </w:r>
    </w:p>
    <w:p>
      <w:pPr>
        <w:widowControl/>
        <w:ind w:left="397" w:hanging="397"/>
      </w:pPr>
      <w:r>
        <w:t>Тест 8. Работы трех видов показывают соответствующий дополнительный блок чек-листа и версию шаблона.</w:t>
      </w:r>
    </w:p>
    <w:p>
      <w:pPr>
        <w:widowControl/>
        <w:ind w:left="397" w:hanging="397"/>
      </w:pPr>
      <w:r>
        <w:t>Тест 9. Отметка оборудования к замене создает одну задачу координатору с полным списком; повторный запуск не создает дубль.</w:t>
      </w:r>
    </w:p>
    <w:p>
      <w:pPr>
        <w:widowControl/>
        <w:ind w:left="397" w:hanging="397"/>
      </w:pPr>
      <w:r>
        <w:t>Тест 10. После заполнения чек-листа координатор получает задачу на отчет и счет со сроком 1 рабочий день.</w:t>
      </w:r>
    </w:p>
    <w:p>
      <w:pPr>
        <w:widowControl/>
        <w:ind w:left="397" w:hanging="397"/>
      </w:pPr>
      <w:r>
        <w:t>Тест 11. Работа закрывается после отправки отчета и перевода в «Счет отправлен». Статус оплаты фиксируется в Bitrix24 и может поступить из 1С либо быть подтвержден уполномоченным лицом.</w:t>
      </w:r>
    </w:p>
    <w:p>
      <w:pPr>
        <w:widowControl/>
        <w:ind w:left="397" w:hanging="397"/>
      </w:pPr>
      <w:r>
        <w:t>Тест 12. Дашборды сходятся с контрольной выборкой по количеству лидов, выездов, КП, счетов, оплат, выручке, прибыли и MRR.</w:t>
      </w:r>
    </w:p>
    <w:p>
      <w:pPr>
        <w:widowControl/>
        <w:ind w:left="397" w:hanging="397"/>
      </w:pPr>
      <w:r>
        <w:t>Тест 13. Офлайн-события GA4/Google Ads содержат корректные click ID, время, value/currency и защищены от повторной отправки.</w:t>
      </w:r>
    </w:p>
    <w:p>
      <w:pPr>
        <w:widowControl/>
        <w:ind w:left="397" w:hanging="397"/>
      </w:pPr>
      <w:r>
        <w:t>Тест 14. Права техника не позволяют видеть чужие объекты и маркетинговую экономику; менеджер не может менять first-touch.</w:t>
      </w:r>
    </w:p>
    <w:p>
      <w:pPr>
        <w:widowControl/>
        <w:ind w:left="397" w:hanging="397"/>
      </w:pPr>
      <w:r>
        <w:t>Тест 15. Экспорт контрольной сделки содержит все связи и идентификаторы, достаточные для независимой сверки.</w:t>
      </w:r>
    </w:p>
    <w:p>
      <w:pPr>
        <w:widowControl/>
      </w:pPr>
      <w:r>
        <w:t>Приемка считается успешной после прохождения всех критических тестов и не менее 10 сквозных сценариев реклама → сайт/звонок → CRM → ICP → обследование/расчет → КП → счет/договор → офлайн-конверсия без дублей и потери атрибуции.</w:t>
      </w:r>
    </w:p>
    <w:p>
      <w:pPr>
        <w:pStyle w:val="Heading1"/>
        <w:keepNext/>
        <w:widowControl/>
      </w:pPr>
      <w:r>
        <w:rPr>
          <w:color w:val="000000"/>
          <w:u w:val="none"/>
        </w:rPr>
        <w:t>16 Результаты, передаваемые исполнителем</w:t>
      </w:r>
    </w:p>
    <w:p>
      <w:pPr>
        <w:pStyle w:val="ListBullet"/>
        <w:widowControl/>
      </w:pPr>
      <w:r>
        <w:t>Настроенный продуктивный портал и тестовый контур либо согласованный способ тестирования.</w:t>
      </w:r>
    </w:p>
    <w:p>
      <w:pPr>
        <w:pStyle w:val="ListBullet"/>
        <w:widowControl/>
      </w:pPr>
      <w:r>
        <w:t>Реестр сущностей, полей, типов, обязательности, справочников и технических кодов.</w:t>
      </w:r>
    </w:p>
    <w:p>
      <w:pPr>
        <w:pStyle w:val="ListBullet"/>
        <w:widowControl/>
      </w:pPr>
      <w:r>
        <w:t>Карта стадий, роботов, триггеров, SLA, шаблонов задач и уведомлений.</w:t>
      </w:r>
    </w:p>
    <w:p>
      <w:pPr>
        <w:pStyle w:val="ListBullet"/>
        <w:widowControl/>
      </w:pPr>
      <w:r>
        <w:t>Версии чек-листов обследования и трех видов ТО.</w:t>
      </w:r>
    </w:p>
    <w:p>
      <w:pPr>
        <w:pStyle w:val="ListBullet"/>
        <w:widowControl/>
      </w:pPr>
      <w:r>
        <w:t>Описание интеграций, webhooks/API, уникальных ключей событий и журнала ошибок.</w:t>
      </w:r>
    </w:p>
    <w:p>
      <w:pPr>
        <w:pStyle w:val="ListBullet"/>
        <w:widowControl/>
      </w:pPr>
      <w:r>
        <w:t>Набор BI-отчетов с формулами показателей и правилами фильтрации.</w:t>
      </w:r>
    </w:p>
    <w:p>
      <w:pPr>
        <w:pStyle w:val="ListBullet"/>
        <w:widowControl/>
      </w:pPr>
      <w:r>
        <w:t>Протокол приемочных тестов, инструкция пользователей и регламент поддержки.</w:t>
      </w:r>
    </w:p>
    <w:p>
      <w:pPr>
        <w:pStyle w:val="Heading1"/>
        <w:keepNext/>
        <w:widowControl/>
      </w:pPr>
      <w:r>
        <w:rPr>
          <w:color w:val="000000"/>
          <w:u w:val="none"/>
        </w:rPr>
        <w:t>17 Вопросы для фиксации до начала настройки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cantSplit/>
          <w:tblHeader/>
        </w:trPr>
        <w:tc>
          <w:tcPr>
            <w:tcW w:type="dxa" w:w="2438"/>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6"/>
              </w:rPr>
              <w:t>Решение</w:t>
            </w:r>
          </w:p>
        </w:tc>
        <w:tc>
          <w:tcPr>
            <w:tcW w:type="dxa" w:w="7200"/>
            <w:shd w:fill="E7EBEF"/>
            <w:tcMar>
              <w:top w:w="85" w:type="dxa"/>
              <w:start w:w="120" w:type="dxa"/>
              <w:bottom w:w="85" w:type="dxa"/>
              <w:end w:w="120" w:type="dxa"/>
              <w:left w:w="85" w:type="dxa"/>
              <w:right w:w="85" w:type="dxa"/>
            </w:tcMar>
            <w:vAlign w:val="center"/>
          </w:tcPr>
          <w:p>
            <w:pPr>
              <w:keepNext/>
              <w:spacing w:after="60" w:line="252" w:lineRule="auto"/>
              <w:jc w:val="center"/>
            </w:pPr>
            <w:r>
              <w:rPr>
                <w:b/>
                <w:color w:val="000000"/>
                <w:sz w:val="16"/>
              </w:rPr>
              <w:t>Что необходимо утвердить</w:t>
            </w:r>
          </w:p>
        </w:tc>
      </w:tr>
      <w:tr>
        <w:trPr>
          <w:cantSplit/>
        </w:trPr>
        <w:tc>
          <w:tcPr>
            <w:tcW w:type="dxa" w:w="243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Редакция Bitrix24</w:t>
            </w:r>
          </w:p>
        </w:tc>
        <w:tc>
          <w:tcPr>
            <w:tcW w:type="dxa" w:w="7200"/>
            <w:tcMar>
              <w:top w:w="85" w:type="dxa"/>
              <w:start w:w="120" w:type="dxa"/>
              <w:bottom w:w="85" w:type="dxa"/>
              <w:end w:w="120" w:type="dxa"/>
              <w:left w:w="85" w:type="dxa"/>
              <w:right w:w="85" w:type="dxa"/>
            </w:tcMar>
            <w:vAlign w:val="center"/>
            <w:shd w:fill="FFFFFF"/>
          </w:tcPr>
          <w:p>
            <w:pPr>
              <w:spacing w:after="60" w:line="252" w:lineRule="auto"/>
            </w:pPr>
            <w:r>
              <w:rPr>
                <w:color w:val="000000"/>
                <w:sz w:val="20"/>
              </w:rPr>
              <w:t>Облачный Bitrix24, тариф «Стандартный». Используются CRM, до 10 воронок, роботы CRM, задачи, права CRM, REST/webhooks и BI-конструктор. Не использовать бизнес-процессы, Списки, регулярные задачи и расширенные права на проекты.</w:t>
            </w:r>
          </w:p>
        </w:tc>
      </w:tr>
      <w:tr>
        <w:trPr>
          <w:cantSplit/>
        </w:trPr>
        <w:tc>
          <w:tcPr>
            <w:tcW w:type="dxa" w:w="243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Лиды</w:t>
            </w:r>
          </w:p>
        </w:tc>
        <w:tc>
          <w:tcPr>
            <w:tcW w:type="dxa" w:w="7200"/>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Рабочий сайт — прямое создание Сделки через Cloud Run. Классический Лид допустим для отдельного канала; схема фиксируется в карте сущностей, без параллельных дублей.</w:t>
            </w:r>
          </w:p>
        </w:tc>
      </w:tr>
      <w:tr>
        <w:trPr>
          <w:cantSplit/>
        </w:trPr>
        <w:tc>
          <w:tcPr>
            <w:tcW w:type="dxa" w:w="243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Счета и оплаты</w:t>
            </w:r>
          </w:p>
        </w:tc>
        <w:tc>
          <w:tcPr>
            <w:tcW w:type="dxa" w:w="7200"/>
            <w:tcMar>
              <w:top w:w="85" w:type="dxa"/>
              <w:start w:w="120" w:type="dxa"/>
              <w:bottom w:w="85" w:type="dxa"/>
              <w:end w:w="120" w:type="dxa"/>
              <w:left w:w="85" w:type="dxa"/>
              <w:right w:w="85" w:type="dxa"/>
            </w:tcMar>
            <w:vAlign w:val="center"/>
            <w:shd w:fill="FFFFFF"/>
          </w:tcPr>
          <w:p>
            <w:pPr>
              <w:spacing w:after="60" w:line="252" w:lineRule="auto"/>
            </w:pPr>
            <w:r>
              <w:rPr>
                <w:color w:val="000000"/>
              </w:rPr>
              <w:t>Движение денег подтверждает банк, документ/счёт — 1С либо подтверждённый юридический документ; CRM хранит отражённые статус и связь. Не суммировать отражения одной оплаты из разных систем.</w:t>
            </w:r>
          </w:p>
        </w:tc>
      </w:tr>
      <w:tr>
        <w:trPr>
          <w:cantSplit/>
        </w:trPr>
        <w:tc>
          <w:tcPr>
            <w:tcW w:type="dxa" w:w="243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Отчеты</w:t>
            </w:r>
          </w:p>
        </w:tc>
        <w:tc>
          <w:tcPr>
            <w:tcW w:type="dxa" w:w="7200"/>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Форма и шаблон отчета, способ подписания, получатели и срок отправки.</w:t>
            </w:r>
          </w:p>
        </w:tc>
      </w:tr>
      <w:tr>
        <w:trPr>
          <w:cantSplit/>
        </w:trPr>
        <w:tc>
          <w:tcPr>
            <w:tcW w:type="dxa" w:w="243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Чек-листы</w:t>
            </w:r>
          </w:p>
        </w:tc>
        <w:tc>
          <w:tcPr>
            <w:tcW w:type="dxa" w:w="7200"/>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Финальный технический состав по типам систем, договорам и нормативным требованиям; обязательность фото/подписи.</w:t>
            </w:r>
          </w:p>
        </w:tc>
      </w:tr>
      <w:tr>
        <w:trPr>
          <w:cantSplit/>
        </w:trPr>
        <w:tc>
          <w:tcPr>
            <w:tcW w:type="dxa" w:w="243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Рабочее время и SLA</w:t>
            </w:r>
          </w:p>
        </w:tc>
        <w:tc>
          <w:tcPr>
            <w:tcW w:type="dxa" w:w="7200"/>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Календарь, праздники, дежурства и правила аварийных обращений.</w:t>
            </w:r>
          </w:p>
        </w:tc>
      </w:tr>
      <w:tr>
        <w:trPr>
          <w:cantSplit/>
        </w:trPr>
        <w:tc>
          <w:tcPr>
            <w:tcW w:type="dxa" w:w="243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Экономика</w:t>
            </w:r>
          </w:p>
        </w:tc>
        <w:tc>
          <w:tcPr>
            <w:tcW w:type="dxa" w:w="7200"/>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Метод расчета валовой прибыли, рекламных расходов, MRR и даты признания выручки.</w:t>
            </w:r>
          </w:p>
        </w:tc>
      </w:tr>
      <w:tr>
        <w:trPr>
          <w:cantSplit/>
        </w:trPr>
        <w:tc>
          <w:tcPr>
            <w:tcW w:type="dxa" w:w="2438"/>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Интеграции</w:t>
            </w:r>
          </w:p>
        </w:tc>
        <w:tc>
          <w:tcPr>
            <w:tcW w:type="dxa" w:w="7200"/>
            <w:tcMar>
              <w:top w:w="85" w:type="dxa"/>
              <w:start w:w="120" w:type="dxa"/>
              <w:bottom w:w="85" w:type="dxa"/>
              <w:end w:w="120" w:type="dxa"/>
              <w:left w:w="85" w:type="dxa"/>
              <w:right w:w="85" w:type="dxa"/>
            </w:tcMar>
            <w:vAlign w:val="center"/>
            <w:shd w:fill="FFFFFF"/>
          </w:tcPr>
          <w:p>
            <w:pPr>
              <w:spacing w:after="60" w:line="252" w:lineRule="auto"/>
            </w:pPr>
            <w:r>
              <w:rPr>
                <w:color w:val="000000"/>
                <w:sz w:val="16"/>
              </w:rPr>
              <w:t>Провайдер телефонии/call-tracking, сайт/CMS, почта, WhatsApp, учетная система и владельцы доступов.</w:t>
            </w:r>
          </w:p>
        </w:tc>
      </w:tr>
    </w:tbl>
    <w:p>
      <w:pPr>
        <w:widowControl/>
        <w:spacing w:after="20"/>
      </w:pPr>
    </w:p>
    <w:p>
      <w:pPr>
        <w:pStyle w:val="Heading1"/>
      </w:pPr>
      <w:r>
        <w:rPr>
          <w:color w:val="000000"/>
          <w:u w:val="none"/>
        </w:rPr>
        <w:t>18 Техническая спецификация аналитического контура</w:t>
      </w:r>
    </w:p>
    <w:p>
      <w:r>
        <w:t>Этот раздел устанавливает единый контракт данных для сайта, Cloud Run, BigQuery, Bitrix24, GA4, Google Ads и сервисов коллтрекинга. Технические коды ниже являются каноническими: создание альтернативных полей с тем же смыслом не допускается.</w:t>
      </w:r>
    </w:p>
    <w:p>
      <w:pPr>
        <w:pStyle w:val="Heading2"/>
      </w:pPr>
      <w:r>
        <w:rPr>
          <w:color w:val="000000"/>
          <w:u w:val="none"/>
        </w:rPr>
        <w:t>18.1 Архитектура и источники истины</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rPr>
          <w:tblHeader w:val="true"/>
          <w:cantSplit/>
          <w:tblHeader/>
        </w:trPr>
        <w:tc>
          <w:tcPr>
            <w:tcW w:type="dxa" w:w="3362"/>
            <w:shd w:fill="E7EBEF"/>
            <w:vAlign w:val="center"/>
            <w:tcMar>
              <w:top w:w="85" w:type="dxa"/>
              <w:start w:w="110" w:type="dxa"/>
              <w:bottom w:w="85" w:type="dxa"/>
              <w:end w:w="110" w:type="dxa"/>
              <w:left w:w="85" w:type="dxa"/>
              <w:right w:w="85" w:type="dxa"/>
            </w:tcMar>
          </w:tcPr>
          <w:p>
            <w:pPr>
              <w:keepNext/>
              <w:spacing w:after="60" w:line="252" w:lineRule="auto"/>
            </w:pPr>
            <w:r>
              <w:rPr>
                <w:b/>
                <w:color w:val="000000"/>
                <w:sz w:val="18"/>
              </w:rPr>
              <w:t>Компонент</w:t>
            </w:r>
          </w:p>
        </w:tc>
        <w:tc>
          <w:tcPr>
            <w:tcW w:type="dxa" w:w="3362"/>
            <w:shd w:fill="E7EBEF"/>
            <w:vAlign w:val="center"/>
            <w:tcMar>
              <w:top w:w="85" w:type="dxa"/>
              <w:start w:w="110" w:type="dxa"/>
              <w:bottom w:w="85" w:type="dxa"/>
              <w:end w:w="110" w:type="dxa"/>
              <w:left w:w="85" w:type="dxa"/>
              <w:right w:w="85" w:type="dxa"/>
            </w:tcMar>
          </w:tcPr>
          <w:p>
            <w:pPr>
              <w:keepNext/>
              <w:spacing w:after="60" w:line="252" w:lineRule="auto"/>
            </w:pPr>
            <w:r>
              <w:rPr>
                <w:b/>
                <w:color w:val="000000"/>
                <w:sz w:val="18"/>
              </w:rPr>
              <w:t>Назначение</w:t>
            </w:r>
          </w:p>
        </w:tc>
        <w:tc>
          <w:tcPr>
            <w:tcW w:type="dxa" w:w="3362"/>
            <w:shd w:fill="E7EBEF"/>
            <w:vAlign w:val="center"/>
            <w:tcMar>
              <w:top w:w="85" w:type="dxa"/>
              <w:start w:w="110" w:type="dxa"/>
              <w:bottom w:w="85" w:type="dxa"/>
              <w:end w:w="110" w:type="dxa"/>
              <w:left w:w="85" w:type="dxa"/>
              <w:right w:w="85" w:type="dxa"/>
            </w:tcMar>
          </w:tcPr>
          <w:p>
            <w:pPr>
              <w:keepNext/>
              <w:spacing w:after="60" w:line="252" w:lineRule="auto"/>
            </w:pPr>
            <w:r>
              <w:rPr>
                <w:b/>
                <w:color w:val="000000"/>
                <w:sz w:val="18"/>
              </w:rPr>
              <w:t>Источник истины</w:t>
            </w:r>
          </w:p>
        </w:tc>
      </w:tr>
      <w:tr>
        <w:trPr>
          <w:cantSplit/>
        </w:trPr>
        <w:tc>
          <w:tcPr>
            <w:tcW w:type="dxa" w:w="170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Tilda или CMS</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Формирует веб-событие и передает параметры визита и формы.</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Точка входа, UTM, click ID, Client ID, CTA и ответы квиза.</w:t>
            </w:r>
          </w:p>
        </w:tc>
      </w:tr>
      <w:tr>
        <w:trPr>
          <w:cantSplit/>
        </w:trPr>
        <w:tc>
          <w:tcPr>
            <w:tcW w:type="dxa" w:w="170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Cloud Run webhook</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Валидирует, нормализует, обогащает, сохраняет event_id, создает его при отсутствии и блокирует повторы.</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received_at, IP/география, журнал приема и статус доставки.</w:t>
            </w:r>
          </w:p>
        </w:tc>
      </w:tr>
      <w:tr>
        <w:trPr>
          <w:cantSplit/>
        </w:trPr>
        <w:tc>
          <w:tcPr>
            <w:tcW w:type="dxa" w:w="170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BigQuery</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Хранит сырые и нормализованные события, рекламные расходы и очередь офлайн-конверсий.</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rPr>
              <w:t>Существующий журнал событий и рекламных данных; локальное ядро финансов использует согласованный импорт, сохраняя RAW и источник.</w:t>
            </w:r>
          </w:p>
        </w:tc>
      </w:tr>
      <w:tr>
        <w:trPr>
          <w:cantSplit/>
        </w:trPr>
        <w:tc>
          <w:tcPr>
            <w:tcW w:type="dxa" w:w="170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Bitrix24</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Хранит клиента, объект, квалификацию, стадии, суммы, работы, счета и оплаты.</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rPr>
              <w:t>Операционные события, связи, договорные условия; движение денег/стоимость подтверждаются банком/1С.</w:t>
            </w:r>
          </w:p>
        </w:tc>
      </w:tr>
      <w:tr>
        <w:trPr>
          <w:cantSplit/>
        </w:trPr>
        <w:tc>
          <w:tcPr>
            <w:tcW w:type="dxa" w:w="170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GA4</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Анализирует поведение и согласованные веб- и CRM-события.</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Веб-аналитика; без персональных данных.</w:t>
            </w:r>
          </w:p>
        </w:tc>
      </w:tr>
      <w:tr>
        <w:trPr>
          <w:cantSplit/>
        </w:trPr>
        <w:tc>
          <w:tcPr>
            <w:tcW w:type="dxa" w:w="170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Google Ads</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Получает Primary и Secondary conversions и предоставляет расходы.</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Оптимизация кампаний и рекламная экономика.</w:t>
            </w:r>
          </w:p>
        </w:tc>
      </w:tr>
      <w:tr>
        <w:trPr>
          <w:cantSplit/>
        </w:trPr>
        <w:tc>
          <w:tcPr>
            <w:tcW w:type="dxa" w:w="170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Коллтрекинг</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Связывает динамический номер, звонок, источник, сессию и запись.</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Телефонные обращения и качество звонков.</w:t>
            </w:r>
          </w:p>
        </w:tc>
      </w:tr>
    </w:tbl>
    <w:p>
      <w:pPr>
        <w:spacing w:after="0"/>
      </w:pPr>
    </w:p>
    <w:p>
      <w:r>
        <w:t>Рабочий вход сайта — Tilda/CMS → Cloud Run с прямым созданием сделки и журналом BigQuery. Bitrix24 → crm-events → BigQuery сохраняет подтверждённые события; отправка в GA4/Google Ads выполняется отдельно после тестов и проверки согласий. Локальная система читает CRM, банк, 1С и согласованные аналитические наборы; расчёт не требует доступности облака после принятого импорта.</w:t>
      </w:r>
    </w:p>
    <w:p>
      <w:pPr>
        <w:pStyle w:val="Heading2"/>
      </w:pPr>
      <w:r>
        <w:rPr>
          <w:color w:val="000000"/>
          <w:u w:val="none"/>
        </w:rPr>
        <w:t>18.2 Канонический реестр полей</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1"/>
        <w:gridCol w:w="2521"/>
        <w:gridCol w:w="2521"/>
        <w:gridCol w:w="2521"/>
      </w:tblGrid>
      <w:tr>
        <w:trPr>
          <w:tblHeader w:val="true"/>
          <w:cantSplit/>
          <w:tblHeader/>
        </w:trPr>
        <w:tc>
          <w:tcPr>
            <w:tcW w:type="dxa" w:w="2521"/>
            <w:shd w:fill="E7EBEF"/>
            <w:vAlign w:val="center"/>
            <w:tcMar>
              <w:top w:w="85" w:type="dxa"/>
              <w:start w:w="110" w:type="dxa"/>
              <w:bottom w:w="85" w:type="dxa"/>
              <w:end w:w="110" w:type="dxa"/>
              <w:left w:w="85" w:type="dxa"/>
              <w:right w:w="85" w:type="dxa"/>
            </w:tcMar>
          </w:tcPr>
          <w:p>
            <w:pPr>
              <w:keepNext/>
              <w:spacing w:after="60" w:line="252" w:lineRule="auto"/>
            </w:pPr>
            <w:r>
              <w:rPr>
                <w:b/>
                <w:color w:val="000000"/>
                <w:sz w:val="18"/>
              </w:rPr>
              <w:t>Поле формы или API</w:t>
            </w:r>
          </w:p>
        </w:tc>
        <w:tc>
          <w:tcPr>
            <w:tcW w:type="dxa" w:w="2521"/>
            <w:shd w:fill="E7EBEF"/>
            <w:vAlign w:val="center"/>
            <w:tcMar>
              <w:top w:w="85" w:type="dxa"/>
              <w:start w:w="110" w:type="dxa"/>
              <w:bottom w:w="85" w:type="dxa"/>
              <w:end w:w="110" w:type="dxa"/>
              <w:left w:w="85" w:type="dxa"/>
              <w:right w:w="85" w:type="dxa"/>
            </w:tcMar>
          </w:tcPr>
          <w:p>
            <w:pPr>
              <w:keepNext/>
              <w:spacing w:after="60" w:line="252" w:lineRule="auto"/>
            </w:pPr>
            <w:r>
              <w:rPr>
                <w:b/>
                <w:color w:val="000000"/>
                <w:sz w:val="18"/>
              </w:rPr>
              <w:t>BigQuery</w:t>
            </w:r>
          </w:p>
        </w:tc>
        <w:tc>
          <w:tcPr>
            <w:tcW w:type="dxa" w:w="2521"/>
            <w:shd w:fill="E7EBEF"/>
            <w:vAlign w:val="center"/>
            <w:tcMar>
              <w:top w:w="85" w:type="dxa"/>
              <w:start w:w="110" w:type="dxa"/>
              <w:bottom w:w="85" w:type="dxa"/>
              <w:end w:w="110" w:type="dxa"/>
              <w:left w:w="85" w:type="dxa"/>
              <w:right w:w="85" w:type="dxa"/>
            </w:tcMar>
          </w:tcPr>
          <w:p>
            <w:pPr>
              <w:keepNext/>
              <w:spacing w:after="60" w:line="252" w:lineRule="auto"/>
            </w:pPr>
            <w:r>
              <w:rPr>
                <w:b/>
                <w:color w:val="000000"/>
                <w:sz w:val="18"/>
              </w:rPr>
              <w:t>Bitrix24</w:t>
            </w:r>
          </w:p>
        </w:tc>
        <w:tc>
          <w:tcPr>
            <w:tcW w:type="dxa" w:w="2521"/>
            <w:shd w:fill="E7EBEF"/>
            <w:vAlign w:val="center"/>
            <w:tcMar>
              <w:top w:w="85" w:type="dxa"/>
              <w:start w:w="110" w:type="dxa"/>
              <w:bottom w:w="85" w:type="dxa"/>
              <w:end w:w="110" w:type="dxa"/>
              <w:left w:w="85" w:type="dxa"/>
              <w:right w:w="85" w:type="dxa"/>
            </w:tcMar>
          </w:tcPr>
          <w:p>
            <w:pPr>
              <w:keepNext/>
              <w:spacing w:after="60" w:line="252" w:lineRule="auto"/>
            </w:pPr>
            <w:r>
              <w:rPr>
                <w:b/>
                <w:color w:val="000000"/>
                <w:sz w:val="18"/>
              </w:rPr>
              <w:t>Правило</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event_id</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event_id</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UF_CRM_EVENT_ID</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Уникальный ключ события; обязателен.</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event_name</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event_name</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UF_CRM_EVENT_NAME</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Код события из утвержденного справочника.</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schema_version</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schema_version</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UF_CRM_SCHEMA_VERSION</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Версия контракта данных, начальное значение 2.1.</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visitor_id</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visitor_id</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UF_CRM_VISITOR_ID</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Анонимный ID посетителя.</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20"/>
              </w:rPr>
              <w:t>ga_session_id</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20"/>
              </w:rPr>
              <w:t>ga_session_id</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20"/>
              </w:rPr>
              <w:t>UF_CRM_GA_SESSION_ID</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Анонимный ID сессии.</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ga_client_id</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ga_client_id</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UF_CRM_GA_CLIENT_ID</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GA4 Client ID; использовать только UF_CRM_GA_CLIENT_ID.</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utm_source/medium/campaign/content/term</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utm_*</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UF_CRM_FIRST_UTM_* и UF_CRM_LAST_UTM_*</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First-touch не изменяется; last-touch обновляется.</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gclid/gbraid/wbraid/yclid</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одноименные</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20"/>
              </w:rPr>
              <w:t>UF_CRM_GCLID/UF_CRM_GBRAID/UF_CRM_WBRAID/UF_CRM_YCLID/UF_CRM_DCLID/UF_CRM_FBCLID/UF_CRM_GAD_SOURCE</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Хранить ID и timestamp получения.</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20"/>
              </w:rPr>
              <w:t>first_landing_page</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20"/>
              </w:rPr>
              <w:t>first_landing_page</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UF_CRM_FIRST_LANDING</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Первая посадочная страница.</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page_url/page_title</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page_url/page_title</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UF_CRM_PAGE_URL/UF_CRM_PAGE_TITLE</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Страница отправки обращения.</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first_referrer</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first_referrer</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UF_CRM_FIRST_REFERRER</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Источник перехода первого визита; direct хранить явно.</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last_referrer</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last_referrer</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UF_CRM_LAST_REFERRER</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Источник перехода последнего визита; direct хранить явно.</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lead_source_block</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lead_source_block</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UF_CRM_ENTRY_POINT</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ID блока Tilda либо код источника формы.</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cta_location/cta_text</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cta_location/cta_text</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UF_CRM_CTA_LOCATION/UF_CRM_CTA_TEXT</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Расположение и текст CTA.</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service_type</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service_type</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UF_CRM_SERVICE_TYPE</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rPr>
              <w:t>Технический service_type сохраняется в исходном payload. UF_CRM_SERVICE_TYPE хранит утверждённое CRM-значение услуги, например «Пожарный аудит» для fire_audit. Тип/ID значений и сценарий маршрутизации проверяются в карте; исходная услуга сохраняется отдельно от последующей.</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object_type/object_area</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object_type/area</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UF_CRM_OBJECT_TYPE/UF_CRM_OBJECT_AREA</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В формах допускается object_area, в BigQuery хранить area.</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project_exists</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project_available</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UF_CRM_PROJECT_AVAILABLE</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Наличие проектной документации.</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device_type/os/platform</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одноименные</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UF_CRM_DEVICE_TYPE/UF_CRM_DEVICE_OS/UF_CRM_PLATFORM</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Технический контекст визита.</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time_on_page_seconds/max_scroll_percent</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одноименные</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UF_CRM_TIME_ON_PAGE_SECONDS/UF_CRM_SCROLL_DEPTH_PERCENT</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Поведение до отправки формы.</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is_returning_visitor</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is_returning_visitor</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UF_CRM_VISITOR_TYPE</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Признак первого или повторного визита.</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call_id/call_source/call_recording_url</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одноименные</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20"/>
              </w:rPr>
              <w:t>UF_CRM_CALL_ID/UF_CRM_CALL_SOURCE/UF_CRM_CALL_RECORDING_URL</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Параметры телефонного обращения.</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received_at/ip_hash/geo_*</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одноименные</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Технические поля интеграции</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Формируются сервером; IP в рекламные системы не передается.</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raw_payload</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raw_payload</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Не выводить пользователям</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Исходное тело события для диагностики с ограниченным сроком хранения.</w:t>
            </w:r>
          </w:p>
        </w:tc>
      </w:tr>
      <w:tr>
        <w:trPr>
          <w:cantSplit/>
        </w:trPr>
        <w:tc>
          <w:tcPr>
            <w:tcW w:type="dxa" w:w="2154"/>
            <w:vAlign w:val="center"/>
            <w:shd w:fill="FFFFFF"/>
            <w:tcMar>
              <w:top w:w="85" w:type="dxa"/>
              <w:start w:w="110" w:type="dxa"/>
              <w:bottom w:w="85" w:type="dxa"/>
              <w:end w:w="110" w:type="dxa"/>
              <w:left w:w="85" w:type="dxa"/>
              <w:right w:w="85" w:type="dxa"/>
            </w:tcMar>
          </w:tcPr>
          <w:p>
            <w:pPr>
              <w:spacing w:after="60" w:line="252" w:lineRule="auto"/>
            </w:pPr>
            <w:r>
              <w:rPr>
                <w:color w:val="000000"/>
                <w:sz w:val="17"/>
              </w:rPr>
              <w:t>client_status</w:t>
            </w:r>
          </w:p>
        </w:tc>
        <w:tc>
          <w:tcPr>
            <w:tcW w:type="dxa" w:w="1984"/>
            <w:vAlign w:val="center"/>
            <w:shd w:fill="FFFFFF"/>
            <w:tcMar>
              <w:top w:w="85" w:type="dxa"/>
              <w:start w:w="110" w:type="dxa"/>
              <w:bottom w:w="85" w:type="dxa"/>
              <w:end w:w="110" w:type="dxa"/>
              <w:left w:w="85" w:type="dxa"/>
              <w:right w:w="85" w:type="dxa"/>
            </w:tcMar>
          </w:tcPr>
          <w:p>
            <w:pPr>
              <w:spacing w:after="60" w:line="252" w:lineRule="auto"/>
            </w:pPr>
            <w:r>
              <w:rPr>
                <w:color w:val="000000"/>
                <w:sz w:val="17"/>
              </w:rPr>
              <w:t>client_status</w:t>
            </w:r>
          </w:p>
        </w:tc>
        <w:tc>
          <w:tcPr>
            <w:tcW w:type="dxa" w:w="2494"/>
            <w:vAlign w:val="center"/>
            <w:shd w:fill="FFFFFF"/>
            <w:tcMar>
              <w:top w:w="85" w:type="dxa"/>
              <w:start w:w="110" w:type="dxa"/>
              <w:bottom w:w="85" w:type="dxa"/>
              <w:end w:w="110" w:type="dxa"/>
              <w:left w:w="85" w:type="dxa"/>
              <w:right w:w="85" w:type="dxa"/>
            </w:tcMar>
          </w:tcPr>
          <w:p>
            <w:pPr>
              <w:spacing w:after="60" w:line="252" w:lineRule="auto"/>
            </w:pPr>
            <w:r>
              <w:rPr>
                <w:color w:val="000000"/>
                <w:sz w:val="17"/>
              </w:rPr>
              <w:t>UF_CRM_1789642172868</w:t>
            </w:r>
          </w:p>
        </w:tc>
        <w:tc>
          <w:tcPr>
            <w:tcW w:type="dxa" w:w="2381"/>
            <w:vAlign w:val="center"/>
            <w:shd w:fill="FFFFFF"/>
            <w:tcMar>
              <w:top w:w="85" w:type="dxa"/>
              <w:start w:w="110" w:type="dxa"/>
              <w:bottom w:w="85" w:type="dxa"/>
              <w:end w:w="110" w:type="dxa"/>
              <w:left w:w="85" w:type="dxa"/>
              <w:right w:w="85" w:type="dxa"/>
            </w:tcMar>
          </w:tcPr>
          <w:p>
            <w:pPr>
              <w:spacing w:after="60" w:line="252" w:lineRule="auto"/>
            </w:pPr>
            <w:r>
              <w:rPr>
                <w:color w:val="000000"/>
              </w:rPr>
              <w:t>Производный статус компании по подтверждённым договорам и карте системных ID. Совпадение БИН/названия без проверки конфликта не разрешает объединение. Комментарий и основание обязательны для ручной корректировки.</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client_status_comment</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client_status_comment</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UF_CRM_1789642304955</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Комментарий к статусу «На паузе» или «Бывший клиент» — причина и дата изменения; обязателен при этих статусах.</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last_landing_page</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last_landing_page</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UF_CRM_LAST_LANDING</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Последняя посадочная страница текущего визита (обновляется, в отличие от UF_CRM_PAGE_URL — страницы фактической отправки обращения).</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page_path</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page_path</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UF_CRM_PAGE_PATH</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Путь страницы отправки обращения без домена.</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ga_session_number</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ga_session_number</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UF_CRM_GA_SESSION_NUMBER</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Номер сессии GA4, если доступен; обязателен по единому контракту данных v1.1.</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form_name / form_location</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form_name / form_location</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UF_CRM_FORM_NAME / UF_CRM_FORM_LOCATION</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Понятное название формы и её расположение на странице (hero/footer/popup/calculator).</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first_visit_at / last_visit_at</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first_visit_at / last_visit_at</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UF_CRM_FIRST_VISIT_AT / UF_CRM_LAST_VISIT_AT</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Дата и время первого и последнего визита; требуется ТЗ аналитики страниц, §16.</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consent_analytics / consent_ads</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consent_analytics / consent_ads</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UF_CRM_CONSENT_ANALYTICS / UF_CRM_CONSENT_ADS</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Согласие Consent Mode v2 по категориям analytics/ads на момент обращения.</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consent_timestamp / consent_version</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consent_timestamp / consent_version</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UF_CRM_CONSENT_TIMESTAMP / UF_CRM_CONSENT_VERSION</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Дата и версия согласия на обработку данных.</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ICP: тип персоны (сценарий 1-5)</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icp_type</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UF_CRM_ICP_TYPE</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Список: ICP-1 (ТО) / ICP-2 (Смена подрядчика) / ICP-3 (Новый объект) / ICP-4 (Неисправность/модернизация) / ICP-5 (Аудит/проверка) / ICP-C. Источник: медиаплан, разделы 23-26.</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(не передаётся с сайта; вычисляется внутри CRM)</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UF_CRM_ICP_SEGMENT</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Класс приоритета A/B/C — производная величина от UF_CRM_ICP_SCORE (см. раздел 5: A ≥ 70, B 50–69, C менее 50). Интерфейсный ярлык «ICP: класс». Заполняется и пересчитывается только роботами, вручную не редактируется. Отдельная сущность от UF_CRM_ICP_TYPE (сценарий клиента) — поля не путать и не дублировать. Основание оценки хранится в UF_CRM_ICP_REASON («ICP: основание оценки», строка): заполняется роботом вместе с баллом и классом, вручную не редактируется.</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ICP: скоринг и роль в закупке</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icp_score / buying_role</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UF_CRM_ICP_SCORE / UF_CRM_BUYING_ROLE</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Автоскоринг 0-100 (формула — раздел 5) и роль контакта: ЛПР/влияющий/procurement/технический/инициатор.</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ICP: число объектов, действующая АПС</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object_count / aps_exists</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UF_CRM_OBJECT_COUNT / UF_CRM_APS_EXISTS</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Количество объектов клиента и признак действующей АПС на объекте.</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ICP: текущий подрядчик и окончание договора</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current_contractor / contract_end</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UF_CRM_CURRENT_CONTRACTOR / UF_CRM_CURRENT_CONTRACTOR_END</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Признак текущего подрядчика (не Pozharnik) и дата окончания его договора — основа тега «окно смены подрядчика».</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ICP: триггер и боли клиента</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trigger / pain</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UF_CRM_TRIGGER / UF_CRM_PAIN</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Триггер обращения (договор/недовольство/неисправность/проверка/стройка/реконструкция/модернизация) и множественный список болей.</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ICP: следующий шаг</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next_step / next_step_date</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UF_CRM_NEXT_STEP / UF_CRM_NEXT_STEP_DATE</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Следующий шаг по сделке и контрольная дата/время его выполнения.</w:t>
            </w:r>
          </w:p>
        </w:tc>
      </w:tr>
      <w:tr>
        <w:trPr>
          <w:cantSplit/>
        </w:trPr>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ICP: экономика сделки</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mrr / gross_profit</w:t>
            </w:r>
          </w:p>
        </w:tc>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UF_CRM_MRR / UF_CRM_GROSS_PROFIT</w:t>
            </w:r>
          </w:p>
        </w:tc>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rPr>
              <w:t>Договорный MRR и подтверждённая/оценочная прибыль имеют разные источники. Расчёт финансов и статус достоверности — по управленческой методике; не извлекать прибыль из оплаты и не увеличивать MRR каждой работой.</w:t>
            </w:r>
          </w:p>
        </w:tc>
      </w:tr>
      <w:tr>
        <w:trPr>
          <w:cantSplit/>
        </w:trPr>
        <w:tc>
          <w:tcPr>
            <w:tcW w:type="dxa" w:w="2521"/>
            <w:vAlign w:val="center"/>
            <w:shd w:fill="FFFFFF"/>
            <w:tcMar>
              <w:top w:w="85" w:type="dxa"/>
              <w:bottom w:w="85" w:type="dxa"/>
              <w:left w:w="85" w:type="dxa"/>
              <w:right w:w="85" w:type="dxa"/>
            </w:tcMar>
          </w:tcPr>
          <w:p>
            <w:pPr>
              <w:spacing w:after="60" w:line="252" w:lineRule="auto"/>
            </w:pPr>
            <w:r>
              <w:rPr>
                <w:color w:val="000000"/>
                <w:sz w:val="20"/>
              </w:rPr>
              <w:t>next_service_date</w:t>
            </w:r>
          </w:p>
        </w:tc>
        <w:tc>
          <w:tcPr>
            <w:tcW w:type="dxa" w:w="2521"/>
            <w:vAlign w:val="center"/>
            <w:shd w:fill="FFFFFF"/>
            <w:tcMar>
              <w:top w:w="85" w:type="dxa"/>
              <w:bottom w:w="85" w:type="dxa"/>
              <w:left w:w="85" w:type="dxa"/>
              <w:right w:w="85" w:type="dxa"/>
            </w:tcMar>
          </w:tcPr>
          <w:p>
            <w:pPr>
              <w:spacing w:after="60" w:line="252" w:lineRule="auto"/>
            </w:pPr>
            <w:r>
              <w:rPr>
                <w:color w:val="000000"/>
                <w:sz w:val="20"/>
              </w:rPr>
              <w:t>next_service_date</w:t>
            </w:r>
          </w:p>
        </w:tc>
        <w:tc>
          <w:tcPr>
            <w:tcW w:type="dxa" w:w="2521"/>
            <w:vAlign w:val="center"/>
            <w:shd w:fill="FFFFFF"/>
            <w:tcMar>
              <w:top w:w="85" w:type="dxa"/>
              <w:bottom w:w="85" w:type="dxa"/>
              <w:left w:w="85" w:type="dxa"/>
              <w:right w:w="85" w:type="dxa"/>
            </w:tcMar>
          </w:tcPr>
          <w:p>
            <w:pPr>
              <w:spacing w:after="60" w:line="252" w:lineRule="auto"/>
            </w:pPr>
            <w:r>
              <w:rPr>
                <w:color w:val="000000"/>
                <w:sz w:val="20"/>
              </w:rPr>
              <w:t>UF_CRM_NEXT_SERVICE_DATE</w:t>
            </w:r>
          </w:p>
        </w:tc>
        <w:tc>
          <w:tcPr>
            <w:tcW w:type="dxa" w:w="2521"/>
            <w:vAlign w:val="center"/>
            <w:shd w:fill="FFFFFF"/>
            <w:tcMar>
              <w:top w:w="85" w:type="dxa"/>
              <w:bottom w:w="85" w:type="dxa"/>
              <w:left w:w="85" w:type="dxa"/>
              <w:right w:w="85" w:type="dxa"/>
            </w:tcMar>
          </w:tcPr>
          <w:p>
            <w:pPr>
              <w:spacing w:after="60" w:line="252" w:lineRule="auto"/>
            </w:pPr>
            <w:r>
              <w:rPr>
                <w:color w:val="000000"/>
                <w:sz w:val="20"/>
              </w:rPr>
              <w:t>Следующая плановая дата обслуживания. После создания плановой работы рассчитывается новая дата по периодичности договора; Cloud Scheduler/Cloud Run использует поле только для создания работы с защитой от дублей.</w:t>
            </w:r>
          </w:p>
        </w:tc>
      </w:tr>
    </w:tbl>
    <w:p>
      <w:pPr>
        <w:spacing w:after="0"/>
      </w:pPr>
    </w:p>
    <w:p>
      <w:pPr>
        <w:pStyle w:val="Heading2"/>
      </w:pPr>
      <w:r>
        <w:rPr>
          <w:color w:val="000000"/>
          <w:u w:val="none"/>
        </w:rPr>
        <w:t>18.3 События и конверсии</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7"/>
        <w:gridCol w:w="2017"/>
        <w:gridCol w:w="2017"/>
        <w:gridCol w:w="2017"/>
        <w:gridCol w:w="2017"/>
      </w:tblGrid>
      <w:tr>
        <w:trPr>
          <w:tblHeader w:val="true"/>
          <w:cantSplit/>
          <w:tblHeader/>
        </w:trPr>
        <w:tc>
          <w:tcPr>
            <w:tcW w:type="dxa" w:w="2017"/>
            <w:shd w:fill="E7EBEF"/>
            <w:vAlign w:val="center"/>
            <w:tcMar>
              <w:top w:w="85" w:type="dxa"/>
              <w:start w:w="110" w:type="dxa"/>
              <w:bottom w:w="85" w:type="dxa"/>
              <w:end w:w="110" w:type="dxa"/>
              <w:left w:w="85" w:type="dxa"/>
              <w:right w:w="85" w:type="dxa"/>
            </w:tcMar>
          </w:tcPr>
          <w:p>
            <w:pPr>
              <w:keepNext/>
              <w:spacing w:after="60" w:line="252" w:lineRule="auto"/>
            </w:pPr>
            <w:r>
              <w:rPr>
                <w:b/>
                <w:color w:val="000000"/>
                <w:sz w:val="18"/>
              </w:rPr>
              <w:t>Событие</w:t>
            </w:r>
          </w:p>
        </w:tc>
        <w:tc>
          <w:tcPr>
            <w:tcW w:type="dxa" w:w="2017"/>
            <w:shd w:fill="E7EBEF"/>
            <w:vAlign w:val="center"/>
            <w:tcMar>
              <w:top w:w="85" w:type="dxa"/>
              <w:start w:w="110" w:type="dxa"/>
              <w:bottom w:w="85" w:type="dxa"/>
              <w:end w:w="110" w:type="dxa"/>
              <w:left w:w="85" w:type="dxa"/>
              <w:right w:w="85" w:type="dxa"/>
            </w:tcMar>
          </w:tcPr>
          <w:p>
            <w:pPr>
              <w:keepNext/>
              <w:spacing w:after="60" w:line="252" w:lineRule="auto"/>
            </w:pPr>
            <w:r>
              <w:rPr>
                <w:b/>
                <w:color w:val="000000"/>
                <w:sz w:val="18"/>
              </w:rPr>
              <w:t>Источник истины</w:t>
            </w:r>
          </w:p>
        </w:tc>
        <w:tc>
          <w:tcPr>
            <w:tcW w:type="dxa" w:w="2017"/>
            <w:shd w:fill="E7EBEF"/>
            <w:vAlign w:val="center"/>
            <w:tcMar>
              <w:top w:w="85" w:type="dxa"/>
              <w:start w:w="110" w:type="dxa"/>
              <w:bottom w:w="85" w:type="dxa"/>
              <w:end w:w="110" w:type="dxa"/>
              <w:left w:w="85" w:type="dxa"/>
              <w:right w:w="85" w:type="dxa"/>
            </w:tcMar>
          </w:tcPr>
          <w:p>
            <w:pPr>
              <w:keepNext/>
              <w:spacing w:after="60" w:line="252" w:lineRule="auto"/>
            </w:pPr>
            <w:r>
              <w:rPr>
                <w:b/>
                <w:color w:val="000000"/>
                <w:sz w:val="18"/>
              </w:rPr>
              <w:t>Роль</w:t>
            </w:r>
          </w:p>
        </w:tc>
        <w:tc>
          <w:tcPr>
            <w:tcW w:type="dxa" w:w="2017"/>
            <w:shd w:fill="E7EBEF"/>
            <w:vAlign w:val="center"/>
            <w:tcMar>
              <w:top w:w="85" w:type="dxa"/>
              <w:start w:w="110" w:type="dxa"/>
              <w:bottom w:w="85" w:type="dxa"/>
              <w:end w:w="110" w:type="dxa"/>
              <w:left w:w="85" w:type="dxa"/>
              <w:right w:w="85" w:type="dxa"/>
            </w:tcMar>
          </w:tcPr>
          <w:p>
            <w:pPr>
              <w:keepNext/>
              <w:spacing w:after="60" w:line="252" w:lineRule="auto"/>
            </w:pPr>
            <w:r>
              <w:rPr>
                <w:b/>
                <w:color w:val="000000"/>
                <w:sz w:val="18"/>
              </w:rPr>
              <w:t>Обязательные параметры</w:t>
            </w:r>
          </w:p>
        </w:tc>
        <w:tc>
          <w:tcPr>
            <w:tcW w:type="dxa" w:w="2017"/>
            <w:shd w:fill="E7EBEF"/>
            <w:vAlign w:val="center"/>
            <w:tcMar>
              <w:top w:w="85" w:type="dxa"/>
              <w:start w:w="110" w:type="dxa"/>
              <w:bottom w:w="85" w:type="dxa"/>
              <w:end w:w="110" w:type="dxa"/>
              <w:left w:w="85" w:type="dxa"/>
              <w:right w:w="85" w:type="dxa"/>
            </w:tcMar>
          </w:tcPr>
          <w:p>
            <w:pPr>
              <w:keepNext/>
              <w:spacing w:after="60" w:line="252" w:lineRule="auto"/>
            </w:pPr>
            <w:r>
              <w:rPr>
                <w:b/>
                <w:color w:val="000000"/>
                <w:sz w:val="18"/>
              </w:rPr>
              <w:t>Дедупликация</w:t>
            </w:r>
          </w:p>
        </w:tc>
      </w:tr>
      <w:tr>
        <w:trPr>
          <w:cantSplit/>
        </w:trPr>
        <w:tc>
          <w:tcPr>
            <w:tcW w:type="dxa" w:w="170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pz_cta_click</w:t>
            </w:r>
          </w:p>
        </w:tc>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GTM/dataLayer</w:t>
            </w:r>
          </w:p>
        </w:tc>
        <w:tc>
          <w:tcPr>
            <w:tcW w:type="dxa" w:w="1587"/>
            <w:vAlign w:val="center"/>
            <w:tcMar>
              <w:top w:w="85" w:type="dxa"/>
              <w:start w:w="110" w:type="dxa"/>
              <w:bottom w:w="85" w:type="dxa"/>
              <w:end w:w="110" w:type="dxa"/>
              <w:left w:w="85" w:type="dxa"/>
              <w:right w:w="85" w:type="dxa"/>
            </w:tcMar>
            <w:shd w:fill="FFFFFF"/>
          </w:tcPr>
          <w:p>
            <w:pPr>
              <w:spacing w:after="60" w:line="252" w:lineRule="auto"/>
            </w:pPr>
            <w:r>
              <w:rPr>
                <w:color w:val="000000"/>
                <w:sz w:val="17"/>
              </w:rPr>
              <w:t>Secondary</w:t>
            </w:r>
          </w:p>
        </w:tc>
        <w:tc>
          <w:tcPr>
            <w:tcW w:type="dxa" w:w="266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CTA, страница, service_type, session_id</w:t>
            </w:r>
          </w:p>
        </w:tc>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event_id</w:t>
            </w:r>
          </w:p>
        </w:tc>
      </w:tr>
      <w:tr>
        <w:trPr>
          <w:cantSplit/>
        </w:trPr>
        <w:tc>
          <w:tcPr>
            <w:tcW w:type="dxa" w:w="170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pz_form_start</w:t>
            </w:r>
          </w:p>
        </w:tc>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GTM/dataLayer</w:t>
            </w:r>
          </w:p>
        </w:tc>
        <w:tc>
          <w:tcPr>
            <w:tcW w:type="dxa" w:w="1587"/>
            <w:vAlign w:val="center"/>
            <w:tcMar>
              <w:top w:w="85" w:type="dxa"/>
              <w:start w:w="110" w:type="dxa"/>
              <w:bottom w:w="85" w:type="dxa"/>
              <w:end w:w="110" w:type="dxa"/>
              <w:left w:w="85" w:type="dxa"/>
              <w:right w:w="85" w:type="dxa"/>
            </w:tcMar>
            <w:shd w:fill="FFFFFF"/>
          </w:tcPr>
          <w:p>
            <w:pPr>
              <w:spacing w:after="60" w:line="252" w:lineRule="auto"/>
            </w:pPr>
            <w:r>
              <w:rPr>
                <w:color w:val="000000"/>
                <w:sz w:val="17"/>
              </w:rPr>
              <w:t>Secondary</w:t>
            </w:r>
          </w:p>
        </w:tc>
        <w:tc>
          <w:tcPr>
            <w:tcW w:type="dxa" w:w="266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form_id, page_url, service_type</w:t>
            </w:r>
          </w:p>
        </w:tc>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event_id</w:t>
            </w:r>
          </w:p>
        </w:tc>
      </w:tr>
      <w:tr>
        <w:trPr>
          <w:cantSplit/>
        </w:trPr>
        <w:tc>
          <w:tcPr>
            <w:tcW w:type="dxa" w:w="170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pz_form_submit</w:t>
            </w:r>
          </w:p>
        </w:tc>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GTM/dataLayer</w:t>
            </w:r>
          </w:p>
        </w:tc>
        <w:tc>
          <w:tcPr>
            <w:tcW w:type="dxa" w:w="1587"/>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Диагностическое</w:t>
            </w:r>
          </w:p>
        </w:tc>
        <w:tc>
          <w:tcPr>
            <w:tcW w:type="dxa" w:w="266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form_id, session_id</w:t>
            </w:r>
          </w:p>
        </w:tc>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event_id</w:t>
            </w:r>
          </w:p>
        </w:tc>
      </w:tr>
      <w:tr>
        <w:trPr>
          <w:cantSplit/>
        </w:trPr>
        <w:tc>
          <w:tcPr>
            <w:tcW w:type="dxa" w:w="170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pz_form_success</w:t>
            </w:r>
          </w:p>
        </w:tc>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Tilda/GTM</w:t>
            </w:r>
          </w:p>
        </w:tc>
        <w:tc>
          <w:tcPr>
            <w:tcW w:type="dxa" w:w="1587"/>
            <w:vAlign w:val="center"/>
            <w:tcMar>
              <w:top w:w="85" w:type="dxa"/>
              <w:start w:w="110" w:type="dxa"/>
              <w:bottom w:w="85" w:type="dxa"/>
              <w:end w:w="110" w:type="dxa"/>
              <w:left w:w="85" w:type="dxa"/>
              <w:right w:w="85" w:type="dxa"/>
            </w:tcMar>
            <w:shd w:fill="FFFFFF"/>
          </w:tcPr>
          <w:p>
            <w:pPr>
              <w:spacing w:after="60" w:line="252" w:lineRule="auto"/>
            </w:pPr>
            <w:r>
              <w:rPr>
                <w:color w:val="000000"/>
                <w:sz w:val="17"/>
              </w:rPr>
              <w:t>Secondary; источник lead_created</w:t>
            </w:r>
          </w:p>
        </w:tc>
        <w:tc>
          <w:tcPr>
            <w:tcW w:type="dxa" w:w="266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form_id, UTM, click ID, Client ID</w:t>
            </w:r>
          </w:p>
        </w:tc>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event_id</w:t>
            </w:r>
          </w:p>
        </w:tc>
      </w:tr>
      <w:tr>
        <w:trPr>
          <w:cantSplit/>
        </w:trPr>
        <w:tc>
          <w:tcPr>
            <w:tcW w:type="dxa" w:w="170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lead_created</w:t>
            </w:r>
          </w:p>
        </w:tc>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Bitrix24 после валидного создания</w:t>
            </w:r>
          </w:p>
        </w:tc>
        <w:tc>
          <w:tcPr>
            <w:tcW w:type="dxa" w:w="1587"/>
            <w:vAlign w:val="center"/>
            <w:tcMar>
              <w:top w:w="85" w:type="dxa"/>
              <w:start w:w="110" w:type="dxa"/>
              <w:bottom w:w="85" w:type="dxa"/>
              <w:end w:w="110" w:type="dxa"/>
              <w:left w:w="85" w:type="dxa"/>
              <w:right w:w="85" w:type="dxa"/>
            </w:tcMar>
            <w:shd w:fill="FFFFFF"/>
          </w:tcPr>
          <w:p>
            <w:pPr>
              <w:spacing w:after="60" w:line="252" w:lineRule="auto"/>
            </w:pPr>
            <w:r>
              <w:rPr>
                <w:color w:val="000000"/>
                <w:sz w:val="17"/>
              </w:rPr>
              <w:t>Secondary</w:t>
            </w:r>
          </w:p>
        </w:tc>
        <w:tc>
          <w:tcPr>
            <w:tcW w:type="dxa" w:w="266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CRM ID, source, campaign, landing, service_type</w:t>
            </w:r>
          </w:p>
        </w:tc>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ENTITY_ID + EVENT_NAME + VERSION</w:t>
            </w:r>
          </w:p>
        </w:tc>
      </w:tr>
      <w:tr>
        <w:trPr>
          <w:cantSplit/>
        </w:trPr>
        <w:tc>
          <w:tcPr>
            <w:tcW w:type="dxa" w:w="170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qualified_lead</w:t>
            </w:r>
          </w:p>
        </w:tc>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Bitrix24 после ICP</w:t>
            </w:r>
          </w:p>
        </w:tc>
        <w:tc>
          <w:tcPr>
            <w:tcW w:type="dxa" w:w="1587"/>
            <w:vAlign w:val="center"/>
            <w:tcMar>
              <w:top w:w="85" w:type="dxa"/>
              <w:start w:w="110" w:type="dxa"/>
              <w:bottom w:w="85" w:type="dxa"/>
              <w:end w:w="110" w:type="dxa"/>
              <w:left w:w="85" w:type="dxa"/>
              <w:right w:w="85" w:type="dxa"/>
            </w:tcMar>
            <w:shd w:fill="FFFFFF"/>
          </w:tcPr>
          <w:p>
            <w:pPr>
              <w:spacing w:after="60" w:line="252" w:lineRule="auto"/>
            </w:pPr>
            <w:r>
              <w:rPr>
                <w:color w:val="000000"/>
                <w:sz w:val="17"/>
              </w:rPr>
              <w:t>Primary при ICP A/B</w:t>
            </w:r>
          </w:p>
        </w:tc>
        <w:tc>
          <w:tcPr>
            <w:tcW w:type="dxa" w:w="266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score, class, object_type, area, service_type</w:t>
            </w:r>
          </w:p>
        </w:tc>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ENTITY_ID + EVENT_NAME + VERSION</w:t>
            </w:r>
          </w:p>
        </w:tc>
      </w:tr>
      <w:tr>
        <w:trPr>
          <w:cantSplit/>
        </w:trPr>
        <w:tc>
          <w:tcPr>
            <w:tcW w:type="dxa" w:w="170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visit_scheduled</w:t>
            </w:r>
          </w:p>
        </w:tc>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Bitrix24</w:t>
            </w:r>
          </w:p>
        </w:tc>
        <w:tc>
          <w:tcPr>
            <w:tcW w:type="dxa" w:w="1587"/>
            <w:vAlign w:val="center"/>
            <w:tcMar>
              <w:top w:w="85" w:type="dxa"/>
              <w:start w:w="110" w:type="dxa"/>
              <w:bottom w:w="85" w:type="dxa"/>
              <w:end w:w="110" w:type="dxa"/>
              <w:left w:w="85" w:type="dxa"/>
              <w:right w:w="85" w:type="dxa"/>
            </w:tcMar>
            <w:shd w:fill="FFFFFF"/>
          </w:tcPr>
          <w:p>
            <w:pPr>
              <w:spacing w:after="60" w:line="252" w:lineRule="auto"/>
            </w:pPr>
            <w:r>
              <w:rPr>
                <w:color w:val="000000"/>
                <w:sz w:val="17"/>
              </w:rPr>
              <w:t>Primary</w:t>
            </w:r>
          </w:p>
        </w:tc>
        <w:tc>
          <w:tcPr>
            <w:tcW w:type="dxa" w:w="266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object_id, planned_at, funnel</w:t>
            </w:r>
          </w:p>
        </w:tc>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ENTITY_ID + EVENT_NAME + VERSION</w:t>
            </w:r>
          </w:p>
        </w:tc>
      </w:tr>
      <w:tr>
        <w:trPr>
          <w:cantSplit/>
        </w:trPr>
        <w:tc>
          <w:tcPr>
            <w:tcW w:type="dxa" w:w="170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visit_done</w:t>
            </w:r>
          </w:p>
        </w:tc>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Bitrix24</w:t>
            </w:r>
          </w:p>
        </w:tc>
        <w:tc>
          <w:tcPr>
            <w:tcW w:type="dxa" w:w="1587"/>
            <w:vAlign w:val="center"/>
            <w:tcMar>
              <w:top w:w="85" w:type="dxa"/>
              <w:start w:w="110" w:type="dxa"/>
              <w:bottom w:w="85" w:type="dxa"/>
              <w:end w:w="110" w:type="dxa"/>
              <w:left w:w="85" w:type="dxa"/>
              <w:right w:w="85" w:type="dxa"/>
            </w:tcMar>
            <w:shd w:fill="FFFFFF"/>
          </w:tcPr>
          <w:p>
            <w:pPr>
              <w:spacing w:after="60" w:line="252" w:lineRule="auto"/>
            </w:pPr>
            <w:r>
              <w:rPr>
                <w:color w:val="000000"/>
                <w:sz w:val="17"/>
              </w:rPr>
              <w:t>Primary</w:t>
            </w:r>
          </w:p>
        </w:tc>
        <w:tc>
          <w:tcPr>
            <w:tcW w:type="dxa" w:w="266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visit_id, result, defect_count</w:t>
            </w:r>
          </w:p>
        </w:tc>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ENTITY_ID + EVENT_NAME + VERSION</w:t>
            </w:r>
          </w:p>
        </w:tc>
      </w:tr>
      <w:tr>
        <w:trPr>
          <w:cantSplit/>
        </w:trPr>
        <w:tc>
          <w:tcPr>
            <w:tcW w:type="dxa" w:w="170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quote_sent</w:t>
            </w:r>
          </w:p>
        </w:tc>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Bitrix24 после фактической отправки</w:t>
            </w:r>
          </w:p>
        </w:tc>
        <w:tc>
          <w:tcPr>
            <w:tcW w:type="dxa" w:w="1587"/>
            <w:vAlign w:val="center"/>
            <w:tcMar>
              <w:top w:w="85" w:type="dxa"/>
              <w:start w:w="110" w:type="dxa"/>
              <w:bottom w:w="85" w:type="dxa"/>
              <w:end w:w="110" w:type="dxa"/>
              <w:left w:w="85" w:type="dxa"/>
              <w:right w:w="85" w:type="dxa"/>
            </w:tcMar>
            <w:shd w:fill="FFFFFF"/>
          </w:tcPr>
          <w:p>
            <w:pPr>
              <w:spacing w:after="60" w:line="252" w:lineRule="auto"/>
            </w:pPr>
            <w:r>
              <w:rPr>
                <w:color w:val="000000"/>
                <w:sz w:val="17"/>
              </w:rPr>
              <w:t>Primary</w:t>
            </w:r>
          </w:p>
        </w:tc>
        <w:tc>
          <w:tcPr>
            <w:tcW w:type="dxa" w:w="266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value, currency, service_type, deal_id</w:t>
            </w:r>
          </w:p>
        </w:tc>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ENTITY_ID + EVENT_NAME + VERSION</w:t>
            </w:r>
          </w:p>
        </w:tc>
      </w:tr>
      <w:tr>
        <w:trPr>
          <w:cantSplit/>
        </w:trPr>
        <w:tc>
          <w:tcPr>
            <w:tcW w:type="dxa" w:w="170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invoice_issued</w:t>
            </w:r>
          </w:p>
        </w:tc>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20"/>
              </w:rPr>
              <w:t>Bitrix24</w:t>
            </w:r>
          </w:p>
        </w:tc>
        <w:tc>
          <w:tcPr>
            <w:tcW w:type="dxa" w:w="1587"/>
            <w:vAlign w:val="center"/>
            <w:tcMar>
              <w:top w:w="85" w:type="dxa"/>
              <w:start w:w="110" w:type="dxa"/>
              <w:bottom w:w="85" w:type="dxa"/>
              <w:end w:w="110" w:type="dxa"/>
              <w:left w:w="85" w:type="dxa"/>
              <w:right w:w="85" w:type="dxa"/>
            </w:tcMar>
            <w:shd w:fill="FFFFFF"/>
          </w:tcPr>
          <w:p>
            <w:pPr>
              <w:spacing w:after="60" w:line="252" w:lineRule="auto"/>
            </w:pPr>
            <w:r>
              <w:rPr>
                <w:color w:val="000000"/>
                <w:sz w:val="17"/>
              </w:rPr>
              <w:t>Secondary</w:t>
            </w:r>
          </w:p>
        </w:tc>
        <w:tc>
          <w:tcPr>
            <w:tcW w:type="dxa" w:w="266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invoice_id, value, equipment_value</w:t>
            </w:r>
          </w:p>
        </w:tc>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ENTITY_ID + EVENT_NAME + VERSION</w:t>
            </w:r>
          </w:p>
        </w:tc>
      </w:tr>
      <w:tr>
        <w:trPr>
          <w:cantSplit/>
        </w:trPr>
        <w:tc>
          <w:tcPr>
            <w:tcW w:type="dxa" w:w="170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payment_received</w:t>
            </w:r>
          </w:p>
        </w:tc>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rPr>
              <w:t>Подтверждённый платёж банка; операционное отражение в CRM с основанием. Модель ручного подтверждения/1С до банка маркируется предварительной.</w:t>
            </w:r>
          </w:p>
        </w:tc>
        <w:tc>
          <w:tcPr>
            <w:tcW w:type="dxa" w:w="1587"/>
            <w:vAlign w:val="center"/>
            <w:tcMar>
              <w:top w:w="85" w:type="dxa"/>
              <w:start w:w="110" w:type="dxa"/>
              <w:bottom w:w="85" w:type="dxa"/>
              <w:end w:w="110" w:type="dxa"/>
              <w:left w:w="85" w:type="dxa"/>
              <w:right w:w="85" w:type="dxa"/>
            </w:tcMar>
            <w:shd w:fill="FFFFFF"/>
          </w:tcPr>
          <w:p>
            <w:pPr>
              <w:spacing w:after="60" w:line="252" w:lineRule="auto"/>
            </w:pPr>
            <w:r>
              <w:rPr>
                <w:color w:val="000000"/>
                <w:sz w:val="17"/>
              </w:rPr>
              <w:t>Primary</w:t>
            </w:r>
          </w:p>
        </w:tc>
        <w:tc>
          <w:tcPr>
            <w:tcW w:type="dxa" w:w="266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paid_value, payment_at, invoice_id</w:t>
            </w:r>
          </w:p>
        </w:tc>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rPr>
              <w:t>PAYMENT_ID + EVENT_NAME + BUSINESS_REVISION; разные частичные платежи не подавляются ключом одной сделки.</w:t>
            </w:r>
          </w:p>
        </w:tc>
      </w:tr>
      <w:tr>
        <w:trPr>
          <w:cantSplit/>
        </w:trPr>
        <w:tc>
          <w:tcPr>
            <w:tcW w:type="dxa" w:w="170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contract_won</w:t>
            </w:r>
          </w:p>
        </w:tc>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Bitrix24</w:t>
            </w:r>
          </w:p>
        </w:tc>
        <w:tc>
          <w:tcPr>
            <w:tcW w:type="dxa" w:w="1587"/>
            <w:vAlign w:val="center"/>
            <w:tcMar>
              <w:top w:w="85" w:type="dxa"/>
              <w:start w:w="110" w:type="dxa"/>
              <w:bottom w:w="85" w:type="dxa"/>
              <w:end w:w="110" w:type="dxa"/>
              <w:left w:w="85" w:type="dxa"/>
              <w:right w:w="85" w:type="dxa"/>
            </w:tcMar>
            <w:shd w:fill="FFFFFF"/>
          </w:tcPr>
          <w:p>
            <w:pPr>
              <w:spacing w:after="60" w:line="252" w:lineRule="auto"/>
            </w:pPr>
            <w:r>
              <w:rPr>
                <w:color w:val="000000"/>
                <w:sz w:val="17"/>
              </w:rPr>
              <w:t>Primary</w:t>
            </w:r>
          </w:p>
        </w:tc>
        <w:tc>
          <w:tcPr>
            <w:tcW w:type="dxa" w:w="266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value, KZT, gross_profit, MRR, service_type</w:t>
            </w:r>
          </w:p>
        </w:tc>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ENTITY_ID + EVENT_NAME + VERSION</w:t>
            </w:r>
          </w:p>
        </w:tc>
      </w:tr>
      <w:tr>
        <w:trPr>
          <w:cantSplit/>
        </w:trPr>
        <w:tc>
          <w:tcPr>
            <w:tcW w:type="dxa" w:w="170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work_completed</w:t>
            </w:r>
          </w:p>
        </w:tc>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Bitrix24 после отправки отчета</w:t>
            </w:r>
          </w:p>
        </w:tc>
        <w:tc>
          <w:tcPr>
            <w:tcW w:type="dxa" w:w="1587"/>
            <w:vAlign w:val="center"/>
            <w:tcMar>
              <w:top w:w="85" w:type="dxa"/>
              <w:start w:w="110" w:type="dxa"/>
              <w:bottom w:w="85" w:type="dxa"/>
              <w:end w:w="110" w:type="dxa"/>
              <w:left w:w="85" w:type="dxa"/>
              <w:right w:w="85" w:type="dxa"/>
            </w:tcMar>
            <w:shd w:fill="FFFFFF"/>
          </w:tcPr>
          <w:p>
            <w:pPr>
              <w:spacing w:after="60" w:line="252" w:lineRule="auto"/>
            </w:pPr>
            <w:r>
              <w:rPr>
                <w:color w:val="000000"/>
                <w:sz w:val="17"/>
              </w:rPr>
              <w:t>Secondary</w:t>
            </w:r>
          </w:p>
        </w:tc>
        <w:tc>
          <w:tcPr>
            <w:tcW w:type="dxa" w:w="266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work_type, duration, defects, replacements</w:t>
            </w:r>
          </w:p>
        </w:tc>
        <w:tc>
          <w:tcPr>
            <w:tcW w:type="dxa" w:w="215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ENTITY_ID + EVENT_NAME + VERSION</w:t>
            </w:r>
          </w:p>
        </w:tc>
      </w:tr>
    </w:tbl>
    <w:p>
      <w:pPr>
        <w:spacing w:after="0"/>
      </w:pPr>
    </w:p>
    <w:p>
      <w:r>
        <w:t>Событие считается сформированным только после выполнения бизнес-условия, а не по клику на кнопку. При временной ошибке доставки применяется очередь повторов; успешная отправка фиксируется timestamp, внешним response ID и версией события.</w:t>
      </w:r>
    </w:p>
    <w:p>
      <w:pPr>
        <w:pStyle w:val="Heading2"/>
      </w:pPr>
      <w:r>
        <w:rPr>
          <w:color w:val="000000"/>
          <w:u w:val="none"/>
        </w:rPr>
        <w:t>18.4 BigQuery и качество данных</w:t>
      </w:r>
    </w:p>
    <w:p>
      <w:pPr>
        <w:pStyle w:val="ListBullet"/>
      </w:pPr>
      <w:r>
        <w:t>Основная таблица: pozharnik_leads.tilda_leads; очередь офлайн-конверсий: pozharnik_leads.google_ads_conversions.</w:t>
      </w:r>
    </w:p>
    <w:p>
      <w:pPr>
        <w:pStyle w:val="ListBullet"/>
      </w:pPr>
      <w:r>
        <w:t>Обязательные технические поля: event_id, event_name, schema_version, received_at, source_system, payload_json или raw_payload, processing_status и error_message.</w:t>
      </w:r>
    </w:p>
    <w:p>
      <w:pPr>
        <w:pStyle w:val="ListBullet"/>
      </w:pPr>
      <w:r>
        <w:t>Уникальность входящего события: source_system + event_id. Для старых форм резервный ключ: tilda_tranid + form_id.</w:t>
      </w:r>
    </w:p>
    <w:p>
      <w:pPr>
        <w:pStyle w:val="ListBullet"/>
      </w:pPr>
      <w:r>
        <w:t>Ошибочные записи не удаляются: они помещаются в журнал ошибок с возможностью повторной обработки.</w:t>
      </w:r>
    </w:p>
    <w:p>
      <w:pPr>
        <w:pStyle w:val="ListBullet"/>
      </w:pPr>
      <w:r>
        <w:t>В BI используется единый часовой пояс Asia/Qyzylorda; техническое хранение времени — UTC в ISO 8601 с зоной.</w:t>
      </w:r>
    </w:p>
    <w:p>
      <w:pPr>
        <w:pStyle w:val="ListBullet"/>
      </w:pPr>
      <w:r>
        <w:t>Изменение схемы выполняется только с повышением schema_version и обратной совместимостью действующих страниц.</w:t>
      </w:r>
    </w:p>
    <w:p>
      <w:pPr>
        <w:pStyle w:val="Heading2"/>
      </w:pPr>
      <w:r>
        <w:rPr>
          <w:color w:val="000000"/>
          <w:u w:val="none"/>
        </w:rPr>
        <w:t>18.5 Google Ads и рекламные расходы</w:t>
      </w:r>
    </w:p>
    <w:p>
      <w:pPr>
        <w:pStyle w:val="ListBullet"/>
      </w:pPr>
      <w:r>
        <w:t>Ежедневно импортировать расходы, показы, клики, кампанию, группу объявлений, устройство и дату из Google Ads в BigQuery.</w:t>
      </w:r>
    </w:p>
    <w:p>
      <w:pPr>
        <w:pStyle w:val="ListBullet"/>
      </w:pPr>
      <w:r>
        <w:t>Для офлайн-конверсии хранить gclid/gbraid/wbraid, время клика или первого взаимодействия, conversion_time, conversion_name, value, currency_code KZT и order_id/event_id.</w:t>
      </w:r>
    </w:p>
    <w:p>
      <w:pPr>
        <w:pStyle w:val="ListBullet"/>
      </w:pPr>
      <w:r>
        <w:t>Если click ID отсутствует, событие остается доступным для CRM-аналитики, но не отправляется как Google Ads click conversion.</w:t>
      </w:r>
    </w:p>
    <w:p>
      <w:pPr>
        <w:pStyle w:val="ListBullet"/>
      </w:pPr>
      <w:r>
        <w:t>Primary conversions: qualified_lead ICP A/B, visit_scheduled, visit_done, quote_sent, payment_received и contract_won после утверждения стратегии ставок. Микроконверсии — Secondary.</w:t>
      </w:r>
    </w:p>
    <w:p>
      <w:pPr>
        <w:pStyle w:val="ListBullet"/>
      </w:pPr>
      <w:r>
        <w:t>Перед публикацией изменения конверсий тестируются на отдельной записи и сверяются по response ID Google Ads и строке очереди BigQuery.</w:t>
      </w:r>
    </w:p>
    <w:p>
      <w:pPr>
        <w:pStyle w:val="Heading2"/>
      </w:pPr>
      <w:r>
        <w:rPr>
          <w:color w:val="000000"/>
          <w:u w:val="none"/>
        </w:rPr>
        <w:t>18.6 Коллтрекинг и обращения вне сайта</w:t>
      </w:r>
    </w:p>
    <w:p>
      <w:pPr>
        <w:pStyle w:val="ListBullet"/>
      </w:pPr>
      <w:r>
        <w:t>Коллтрекинг передает call_id, подменный номер, исходный номер в защищенное поле CRM, source/medium/campaign, landing, session_id, время, длительность, статус и ссылку на запись.</w:t>
      </w:r>
    </w:p>
    <w:p>
      <w:pPr>
        <w:pStyle w:val="ListBullet"/>
      </w:pPr>
      <w:r>
        <w:t>Telegram, email, WhatsApp и ручной ввод используют тот же event_id, source_system и справочник service_type.</w:t>
      </w:r>
    </w:p>
    <w:p>
      <w:pPr>
        <w:pStyle w:val="ListBullet"/>
      </w:pPr>
      <w:r>
        <w:t>При совпадении телефона или email обращение связывается с существующим контактом; first-touch не изменяется, last-touch обновляется.</w:t>
      </w:r>
    </w:p>
    <w:p>
      <w:pPr>
        <w:pStyle w:val="ListBullet"/>
      </w:pPr>
      <w:r>
        <w:t>Запись звонка доступна только ролям с соответствующими правами и не передается в GA4, GTM или Google Ads.</w:t>
      </w:r>
    </w:p>
    <w:p>
      <w:pPr>
        <w:pStyle w:val="Heading2"/>
      </w:pPr>
      <w:r>
        <w:rPr>
          <w:color w:val="000000"/>
          <w:u w:val="none"/>
        </w:rPr>
        <w:t>18.7 Персональные данные и безопасность</w:t>
      </w:r>
    </w:p>
    <w:p>
      <w:pPr>
        <w:pStyle w:val="ListBullet"/>
      </w:pPr>
      <w:r>
        <w:t>Запрещено передавать в GA4, GTM и Google Ads имя, телефон, email, БИН, точный адрес, запись звонка и свободный комментарий клиента.</w:t>
      </w:r>
    </w:p>
    <w:p>
      <w:pPr>
        <w:pStyle w:val="ListBullet"/>
      </w:pPr>
      <w:r>
        <w:t>IP определяется только на серверной стороне. Для аналитики использовать ip_hash; сохранение полного IP и GeoIP включается только после утверждения политики конфиденциальности.</w:t>
      </w:r>
    </w:p>
    <w:p>
      <w:pPr>
        <w:pStyle w:val="ListBullet"/>
      </w:pPr>
      <w:r>
        <w:t>raw_payload доступен только техническому администратору и хранится не более 90 дней, если иной срок не утвержден владельцем данных.</w:t>
      </w:r>
    </w:p>
    <w:p>
      <w:pPr>
        <w:pStyle w:val="ListBullet"/>
      </w:pPr>
      <w:r>
        <w:t>Секреты webhook, REST и API хранятся в переменных окружения или менеджере секретов и не размещаются в коде страниц или документации для пользователей.</w:t>
      </w:r>
    </w:p>
    <w:p>
      <w:pPr>
        <w:pStyle w:val="ListBullet"/>
      </w:pPr>
      <w:r>
        <w:t>Доступы интеграций предоставляются отдельным техническим пользователям по принципу минимальных прав; операции и ошибки журналируются.</w:t>
      </w:r>
    </w:p>
    <w:p>
      <w:pPr>
        <w:pStyle w:val="Heading2"/>
      </w:pPr>
      <w:r>
        <w:rPr>
          <w:color w:val="000000"/>
          <w:u w:val="none"/>
        </w:rPr>
        <w:t>18.8 Дополнительные приемочные испытания</w:t>
      </w:r>
    </w:p>
    <w:p>
      <w:r>
        <w:t>Тест 16. Все канонические поля одной тестовой формы совпадают по значениям в Tilda payload, BigQuery и Bitrix24.</w:t>
      </w:r>
    </w:p>
    <w:p>
      <w:r>
        <w:t>Тест 17. GCLID, GBRAID, WBRAID и YCLID сохраняются вместе со временем получения; YM Client ID и GA Client ID доступны для связи визита.</w:t>
      </w:r>
    </w:p>
    <w:p>
      <w:r>
        <w:t>Тест 18. Повторная отправка одинакового event_id не создает вторую строку события, сделку, задачу или офлайн-конверсию.</w:t>
      </w:r>
    </w:p>
    <w:p>
      <w:r>
        <w:t>Тест 19. События pz_* видны в GTM Preview и GA4 DebugView, но персональные данные в параметрах отсутствуют.</w:t>
      </w:r>
    </w:p>
    <w:p>
      <w:r>
        <w:t>Тест 20. Расходы Google Ads за контрольный день совпадают с кабинетом; CPL, CAC и стоимость выезда рассчитываются без деления на ноль.</w:t>
      </w:r>
    </w:p>
    <w:p>
      <w:r>
        <w:t>Тест 21. Тестовый звонок связывается с источником, сессией и CRM-карточкой; запись недоступна неуполномоченной роли.</w:t>
      </w:r>
    </w:p>
    <w:p>
      <w:r>
        <w:t>Тест 22. Ошибка Bitrix24 или Google Ads попадает в журнал и успешно обрабатывается повторно без дубля.</w:t>
      </w:r>
    </w:p>
    <w:p>
      <w:r>
        <w:t>Тест 23. Экспорт тестового события содержит event_id, schema_version, timestamps, source_system и все связи для независимой сверки.</w:t>
      </w:r>
    </w:p>
    <w:p/>
    <w:p>
      <w:pPr/>
      <w:r>
        <w:t>Тест 24. ICP-score и класс A/B/C пересчитываются без бизнес-процесса; UF_CRM_ICP_TYPE, UF_CRM_ICP_SCORE и UF_CRM_ICP_SEGMENT не смешиваются и не дублируются.</w:t>
      </w:r>
    </w:p>
    <w:p/>
    <w:p>
      <w:pPr/>
      <w:r>
        <w:t>Тест 25. Просроченный SLA создает одно уведомление или задачу, а повторный запуск планировщика не создает дубль.</w:t>
      </w:r>
    </w:p>
    <w:p/>
    <w:p>
      <w:pPr/>
      <w:r>
        <w:t>Тест 26. Наступление UF_CRM_NEXT_SERVICE_DATE создает одну плановую работу ТО и следующую дату обслуживания; повторный запуск идемпотентен.</w:t>
      </w:r>
    </w:p>
    <w:p/>
    <w:p>
      <w:pPr/>
      <w:r>
        <w:t>Тест 27. Техник видит только назначенные ему сделки и задачи; коммерческая экономика и рекламные расходы недоступны через права CRM и не размещаются в проектах.</w:t>
      </w:r>
    </w:p>
    <w:p>
      <w:pPr/>
      <w:r>
        <w:t>Тест 28. Два техника принимают свои задачи по одному объекту в разное время и завершают в разное время; в сделке без ручного ввода появляются самое раннее начало, самое позднее окончание, число техников 2 и человеко-часы, равные сумме их интервалов.</w:t>
      </w:r>
    </w:p>
    <w:p>
      <w:pPr/>
      <w:r>
        <w:t>Тест 29. Техник закрывает свою задачу раньше остальных (срочный вызов), и его интервал закрывается независимо; при выходе сделки со стадии «В работе» незавершенные интервалы закрываются автоматически с пометкой; повторный запуск расчета не меняет итог.</w:t>
      </w:r>
    </w:p>
    <w:p>
      <w:pPr>
        <w:pStyle w:val="Heading1"/>
        <w:pageBreakBefore/>
      </w:pPr>
      <w:r>
        <w:rPr>
          <w:color w:val="000000"/>
          <w:u w:val="none"/>
        </w:rPr>
        <w:t>19 Зафиксированные решения редакции 1.3–1.9</w:t>
      </w:r>
    </w:p>
    <w:p>
      <w:r>
        <w:t>Этот раздел сохраняет историю решений до редакции 1.16. Для реализации на тарифе «Стандартный» приоритет имеет раздел 21; он отменяет противоречащие ему формулировки предыдущих разделов. Канонические технические наименования определяются приложением «Единый контракт данных Pozharnik v1.0».</w:t>
      </w:r>
    </w:p>
    <w:p>
      <w:pPr>
        <w:pStyle w:val="ListBullet"/>
      </w:pPr>
      <w:r>
        <w:t>Обследование, продажи, монтаж, проектирование, аварийные работы и обслуживание текущих клиентов ведутся в отдельных воронках сделок без создания дополнительных CRM-сущностей.</w:t>
      </w:r>
    </w:p>
    <w:p>
      <w:pPr>
        <w:pStyle w:val="ListBullet"/>
      </w:pPr>
      <w:r>
        <w:t>Ответственный по сделке — координатор. Исполнителя на всю работу или отдельный этап назначает координатор.</w:t>
      </w:r>
    </w:p>
    <w:p>
      <w:pPr>
        <w:pStyle w:val="ListBullet"/>
      </w:pPr>
      <w:r>
        <w:t>Историческое решение об оплате в Bitrix24 заменено редакцией 1.24: банк подтверждает деньги, 1С — документы, CRM отражает подтверждённый статус с ссылкой на источник. Ручная отметка без основания остаётся предварительной.</w:t>
      </w:r>
      <w:r>
        <w:rPr>
          <w:rStyle w:val="CommentReference"/>
        </w:rPr>
      </w:r>
    </w:p>
    <w:p>
      <w:pPr>
        <w:pStyle w:val="ListBullet"/>
      </w:pPr>
      <w:r>
        <w:t>Переход в стадию «Счет отправлен» считается выполнением задачи координатора и не блокируется отсутствием счета Bitrix24. Разрешено приложить счет 1С.</w:t>
      </w:r>
    </w:p>
    <w:p>
      <w:pPr>
        <w:pStyle w:val="ListBullet"/>
      </w:pPr>
      <w:r>
        <w:t>Канонический event_id создается на странице и сохраняется Cloud Run; Cloud Run создает его только при отсутствии.</w:t>
      </w:r>
    </w:p>
    <w:p>
      <w:pPr>
        <w:pStyle w:val="ListBullet"/>
      </w:pPr>
      <w:r>
        <w:t>Для новых полей используется только префикс UF_CRM_. Поля-дубли без этого префикса не создавать.</w:t>
      </w:r>
    </w:p>
    <w:p>
      <w:pPr>
        <w:pStyle w:val="ListBullet"/>
      </w:pPr>
      <w:r>
        <w:t>Редакция 1.4: добавлен единый справочник «Статус клиента» на уровне компании (см. 4.1, 18.2) — ТО АПС, ТО АПС + Аутсорсинг, Проектирование, Монтаж, Согласование, Бывший клиент, Свободный. Статус пересчитывается автоматически роботом по активным сделкам воронок и не редактируется вручную, кроме перевода в «Бывший клиент» с обязательным комментарием ответственного.</w:t>
      </w:r>
    </w:p>
    <w:p>
      <w:pPr>
        <w:pStyle w:val="ListBullet"/>
      </w:pPr>
      <w:r>
        <w:t>Редакция 1.5: уточнены правила статуса клиента (см. 4.1) — «ТО АПС» присваивается по факту исполняемой сделки в воронке «Обслуживание текущих клиентов» и является приоритетным статусом, не меняющимся при дополнительных услугах или участии в других воронках продаж; точный триггер «Бывший клиент» — расторжение договора; сделки и статус связываются по БИН и названию компании (см. раздел 12); добавлен статус «На паузе» с обязательным комментарием причины (UF_CRM_1789642304955, см. 18.2).</w:t>
      </w:r>
    </w:p>
    <w:p>
      <w:pPr>
        <w:pStyle w:val="ListBullet"/>
      </w:pPr>
      <w:r>
        <w:t>Редакция 1.6: поля «Статус клиента» и «Комментарий к статусу клиента» созданы в продуктивном портале Bitrix24 на карточке компании; фактические технические коды, присвоенные платформой автоматически при создании через интерфейс (код нельзя задать вручную в облачной версии) — UF_CRM_1789642172868 (Статус клиента) и UF_CRM_1789642304955 (Комментарий к статусу клиента); везде далее в документе используются эти фактические коды.</w:t>
      </w:r>
    </w:p>
    <w:p>
      <w:pPr>
        <w:pStyle w:val="ListBullet"/>
      </w:pPr>
      <w:r>
        <w:rPr>
          <w:b/>
        </w:rPr>
        <w:t>Редакция 1.7 (17 сентября 2026).</w:t>
      </w:r>
      <w:r>
        <w:t xml:space="preserve"> По итогам сквозной проверки с ТЗ аналитики страниц, единым контрактом данных v1.1 и медиапланом: ключ дедупликации CRM-событий приведен к VERSION (было EVENT_VERSION); поле UF_CRM_YM_CLIENT_ID (Яндекс.Метрика) удалено из разделов 4.2 и 18.2 как не входящее в согласованный стек аналитики; добавлены UF_CRM_DCLID/UF_CRM_FBCLID/UF_CRM_GAD_SOURCE; UF_CRM_PAGE_URL выделен в отдельное поле (ранее совпадал с UF_CRM_LAST_LANDING), добавлено отдельное поле UF_CRM_LAST_LANDING для last_landing_page и UF_CRM_PAGE_PATH для page_path; пара UF_CRM_REFERRER заменена на UF_CRM_FIRST_REFERRER/UF_CRM_LAST_REFERRER; добавлены UF_CRM_FORM_NAME и UF_CRM_FORM_LOCATION; добавлены UF_CRM_GA_SESSION_NUMBER, UF_CRM_FIRST_VISIT_AT/UF_CRM_LAST_VISIT_AT и UF_CRM_CONSENT_ANALYTICS/ADS/TIMESTAMP/VERSION; в раздел 18.2 перенесены 13 канонических полей ICP-квалификации из медиаплана (раздел 26) с префиксом UF_CRM_ — UF_CRM_ICP_TYPE, UF_CRM_ICP_SCORE, UF_CRM_BUYING_ROLE и другие.</w:t>
      </w:r>
    </w:p>
    <w:p>
      <w:pPr>
        <w:pStyle w:val="ListBullet"/>
      </w:pPr>
      <w:r>
        <w:rPr>
          <w:b/>
        </w:rPr>
        <w:t>Редакция 1.8 (17 сентября 2026).</w:t>
      </w:r>
      <w:r>
        <w:t xml:space="preserve"> В продуктивном портале Bitrix24 настроена двусторонняя синхронизация статуса клиента и воронки «Обслуживание текущих клиентов» (см. раздел 8): бизнес-процесс на карточке компании (шаблон «Статус ТО АПС → воронка Обслуживание текущих клиентов», автозапуск «При изменении») при статусе клиента «ТО АПС» или «ТО АПС + Аутсорсинг» создает сделку в этой воронке на стадии «Новая заявка на обслуживание» и ставит ответственному задачу «Обследование (ТО АПС)»; на этой же стадии робот «Изменить компанию» присваивает связанной компании статус клиента «ТО АПС» — обратное направление. Зафиксированы два ограничения для последующего решения: (1) срок задачи обследования задан фиксированным интервалом «+30 дней от постановки», а не привязкой к концу календарного месяца и без повторения, так как ни бизнес-процессы карточки компании, ни роботы CRM-воронок Bitrix24 не поддерживают периодические/регулярные задачи — для истинной ежемесячной регулярности требуется либо ручная постановка следующей задачи, либо использование модуля «Регулярные задачи» Bitrix24 вне БП/CRM-автоматизации; (2) автозапуск «При изменении» повторяет проверку при каждом изменении карточки компании, поэтому повторное сохранение компании со статусом «ТО АПС»/«ТО АПС + Аутсорсинг» без проверки существующей активной сделки может создать дублирующую сделку — до внедрения проверки на дубль изменения статуса действующих клиентов проводить с контролем ответственного.</w:t>
      </w:r>
    </w:p>
    <w:p>
      <w:pPr>
        <w:pStyle w:val="ListBullet"/>
      </w:pPr>
      <w:r>
        <w:rPr>
          <w:b/>
        </w:rPr>
        <w:t>Редакция 1.9 (17 сентября 2026).</w:t>
      </w:r>
      <w:r>
        <w:t xml:space="preserve"> По решению заказчика задача «Обследование (ТО АПС)» (создававшаяся роботом «Поставить задачу» на стадии «Новая заявка на обслуживание», см. редакцию 1.8) отменена и удалена из робота в продуктивном портале — регулярное обследование в рамках ТО этим триггером не автоматизируется. Направление А теперь ограничено созданием сделки: бизнес-процесс карточки компании при статусе «ТО АПС»/«ТО АПС + Аутсорсинг» создает сделку в воронке «Обслуживание текущих клиентов» на стадии «Новая заявка на обслуживание» без сопутствующей задачи; направление Б (робот «Изменить компанию», присваивающий статус «ТО АПС» при входе сделки в эту стадию) не изменилось. Ограничение редакции 1.8 о фиксированном сроке задачи снято вместе с самой задачей; ограничение о риске дублирования сделки при повторном изменении карточки компании остается в силе.</w:t>
      </w:r>
    </w:p>
    <w:p>
      <w:pPr>
        <w:pStyle w:val="ListBullet"/>
      </w:pPr>
      <w:r>
        <w:rPr>
          <w:b/>
        </w:rPr>
        <w:t>Редакция 1.10 (17 сентября 2026).</w:t>
      </w:r>
      <w:r>
        <w:t xml:space="preserve"> Ограничение редакций 1.8–1.9 о риске дублирования сделки при повторном изменении карточки компании устранено проверкой дублей непосредственно в шаблоне бизнес-процесса (см. 8): на карточку компании добавлено техническое поле «Заявка ТО активна» (UF_CRM_1789665974650, тип Да/Нет, служебное, не выводится в интерфейс сделки). Направление А дополнено условием — сделка в воронке «Обслуживание текущих клиентов» создается только если флаг «Заявка ТО активна» не равен «Да»; сразу после создания сделки флаг устанавливается в «Да», поэтому повторное сохранение карточки компании со статусом «ТО АПС»/«ТО АПС + Аутсорсинг» новую сделку не создает. При выходе компании из статусов «ТО АПС»/«ТО АПС + Аутсорсинг» флаг сбрасывается в «Нет», что допускает создание новой сделки при повторном переходе клиента в эти статусы в будущем. Направление Б (робот «Изменить компанию») не изменилось.</w:t>
      </w:r>
    </w:p>
    <w:p>
      <w:pPr>
        <w:pStyle w:val="ListBullet"/>
      </w:pPr>
      <w:r>
        <w:rPr>
          <w:b/>
        </w:rPr>
        <w:t>Редакция 1.11 (21 сентября 2026).</w:t>
      </w:r>
      <w:r>
        <w:t xml:space="preserve"> По решению заказчика: (1) раздел 6.1 «Обследование с чек-листом» как отдельная структура стадий и чек-лист исключены из ТЗ — обследование ведется обычными стадиями сделки внутри Общей воронки, без отдельного смарт-процесса; последующие подразделы раздела 6 перенумерованы (6.1 Продажа ТО АПС, 6.2 Продажа Монтаж АПС, 6.3 Продажа Проектирование, 6.4 Выполнение работ ТО). (2) Функция автосоздания компании (шаблон «Автосоздание и привязка компании к сделке») отключена во всех воронках, включая Общую — новая компания к сделке автоматически больше не создается нигде. Вместо этого при переходе сделки в Общей воронке на стадию «Согласование условий» ответственному ставится задача добавить существующую или новую компанию к сделке вручную.</w:t>
      </w:r>
    </w:p>
    <w:p>
      <w:pPr>
        <w:pStyle w:val="ListBullet"/>
      </w:pPr>
      <w:r>
        <w:rPr>
          <w:b/>
        </w:rPr>
        <w:t>Редакция 1.12 (21 сентября 2026).</w:t>
      </w:r>
      <w:r>
        <w:t xml:space="preserve"> По решению заказчика требование о технических гейтах обязательных полей на переходах между стадиями (блокировка перехода сделки без заполнения обязательных данных) исключено из ТЗ — в используемой редакции Bitrix24 нет встроенного механизма такой блокировки перехода. Контроль обязательных данных по стадиям (раздел 6) сохраняется другими средствами: напоминаниями и задачами ответственному, а также отчетностью по незаполненным полям, без технического запрета перехода сделки на следующую стадию. Для полей обследования (ответственный инженер, дата и время обследования, файл чек-листа) это исключение отменено редакцией 1.19: настройка «Обязательное на стадии» в портале доступна и блокирует переход.</w:t>
      </w:r>
    </w:p>
    <w:p>
      <w:pPr>
        <w:pStyle w:val="ListBullet"/>
      </w:pPr>
      <w:r>
        <w:rPr>
          <w:b/>
        </w:rPr>
        <w:t>Редакция 1.13 (22 сентября 2026).</w:t>
      </w:r>
      <w:r>
        <w:t xml:space="preserve"> По решению заказчика: (1) в раздел 10 добавлено требование учета затрат времени по каждому клиенту отдельно по воронкам — чтобы считать время, потраченное на каждый бизнес-процесс и услугу; учет ведется задачами Bitrix24 с привязкой к сделке/компании и встроенным учетом рабочего времени, агрегация — отчетами модуля «Задачи» или BI-конструктором. (2) В разделы 5 и 8 добавлено явное уточнение, что расчет ICP-скоринга и SLA-таймеры/эскалации выполняются нативными средствами Bitrix24 (роботы и бизнес-процессы CRM), без внешнего сервиса или вебхука.</w:t>
      </w:r>
    </w:p>
    <w:p>
      <w:pPr>
        <w:pStyle w:val="Heading1"/>
        <w:pageBreakBefore/>
        <w:spacing w:before="120" w:after="160"/>
      </w:pPr>
      <w:r>
        <w:rPr>
          <w:color w:val="000000"/>
          <w:u w:val="none"/>
        </w:rPr>
        <w:t>Согласованная редакция 1.15</w:t>
      </w:r>
    </w:p>
    <w:p>
      <w:r>
        <w:rPr>
          <w:b/>
        </w:rPr>
        <w:t xml:space="preserve">Дата согласования: </w:t>
      </w:r>
      <w:r>
        <w:t xml:space="preserve">22 сентября 2026 года. </w:t>
      </w:r>
      <w:r>
        <w:rPr>
          <w:b/>
        </w:rPr>
        <w:t xml:space="preserve">Статус: </w:t>
      </w:r>
      <w:r>
        <w:t>внедрено и опубликовано.</w:t>
      </w:r>
    </w:p>
    <w:p>
      <w:pPr>
        <w:spacing w:after="200"/>
      </w:pPr>
      <w:r>
        <w:t>Эта редакция устраняет расхождения между сайтом, GTM, GA4, Cloud Run, BigQuery и Bitrix24. При конфликте с предыдущими формулировками применяется приведенная ниже матрица. Новые поля и интеграции должны использовать только канонические технические имена.</w:t>
      </w:r>
    </w:p>
    <w:p>
      <w:pPr>
        <w:pStyle w:val="Heading2"/>
      </w:pPr>
      <w:r>
        <w:rPr>
          <w:color w:val="000000"/>
          <w:u w:val="none"/>
        </w:rPr>
        <w:t>Согласованная матрица полей</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3"/>
        <w:gridCol w:w="2493"/>
        <w:gridCol w:w="2493"/>
        <w:gridCol w:w="2493"/>
      </w:tblGrid>
      <w:tr>
        <w:trPr>
          <w:tblHeader/>
          <w:cantSplit/>
          <w:tblHeader/>
        </w:trPr>
        <w:tc>
          <w:tcPr>
            <w:tcW w:type="dxa" w:w="1757"/>
            <w:shd w:fill="E7EBEF"/>
            <w:vAlign w:val="center"/>
            <w:tcMar>
              <w:top w:w="85" w:type="dxa"/>
              <w:bottom w:w="85" w:type="dxa"/>
              <w:left w:w="85" w:type="dxa"/>
              <w:right w:w="85" w:type="dxa"/>
            </w:tcMar>
          </w:tcPr>
          <w:p>
            <w:pPr>
              <w:keepNext/>
              <w:spacing w:after="60" w:line="252" w:lineRule="auto"/>
            </w:pPr>
            <w:r>
              <w:rPr>
                <w:b/>
                <w:color w:val="000000"/>
                <w:sz w:val="18"/>
              </w:rPr>
              <w:t>Группа</w:t>
            </w:r>
          </w:p>
        </w:tc>
        <w:tc>
          <w:tcPr>
            <w:tcW w:type="dxa" w:w="3458"/>
            <w:shd w:fill="E7EBEF"/>
            <w:vAlign w:val="center"/>
            <w:tcMar>
              <w:top w:w="85" w:type="dxa"/>
              <w:bottom w:w="85" w:type="dxa"/>
              <w:left w:w="85" w:type="dxa"/>
              <w:right w:w="85" w:type="dxa"/>
            </w:tcMar>
          </w:tcPr>
          <w:p>
            <w:pPr>
              <w:keepNext/>
              <w:spacing w:after="60" w:line="252" w:lineRule="auto"/>
            </w:pPr>
            <w:r>
              <w:rPr>
                <w:b/>
                <w:color w:val="000000"/>
                <w:sz w:val="18"/>
              </w:rPr>
              <w:t>Сайт GTM GA4 вебхук</w:t>
            </w:r>
          </w:p>
        </w:tc>
        <w:tc>
          <w:tcPr>
            <w:tcW w:type="dxa" w:w="2948"/>
            <w:shd w:fill="E7EBEF"/>
            <w:vAlign w:val="center"/>
            <w:tcMar>
              <w:top w:w="85" w:type="dxa"/>
              <w:bottom w:w="85" w:type="dxa"/>
              <w:left w:w="85" w:type="dxa"/>
              <w:right w:w="85" w:type="dxa"/>
            </w:tcMar>
          </w:tcPr>
          <w:p>
            <w:pPr>
              <w:keepNext/>
              <w:spacing w:after="60" w:line="252" w:lineRule="auto"/>
            </w:pPr>
            <w:r>
              <w:rPr>
                <w:b/>
                <w:color w:val="000000"/>
                <w:sz w:val="18"/>
              </w:rPr>
              <w:t>Bitrix24</w:t>
            </w:r>
          </w:p>
        </w:tc>
        <w:tc>
          <w:tcPr>
            <w:tcW w:type="dxa" w:w="2268"/>
            <w:shd w:fill="E7EBEF"/>
            <w:vAlign w:val="center"/>
            <w:tcMar>
              <w:top w:w="85" w:type="dxa"/>
              <w:bottom w:w="85" w:type="dxa"/>
              <w:left w:w="85" w:type="dxa"/>
              <w:right w:w="85" w:type="dxa"/>
            </w:tcMar>
          </w:tcPr>
          <w:p>
            <w:pPr>
              <w:keepNext/>
              <w:spacing w:after="60" w:line="252" w:lineRule="auto"/>
            </w:pPr>
            <w:r>
              <w:rPr>
                <w:b/>
                <w:color w:val="000000"/>
                <w:sz w:val="18"/>
              </w:rPr>
              <w:t>Правило</w:t>
            </w:r>
          </w:p>
        </w:tc>
      </w:tr>
      <w:tr>
        <w:trPr>
          <w:cantSplit/>
        </w:trPr>
        <w:tc>
          <w:tcPr>
            <w:tcW w:type="dxa" w:w="1757"/>
            <w:vAlign w:val="center"/>
            <w:shd w:fill="FFFFFF"/>
            <w:tcMar>
              <w:top w:w="85" w:type="dxa"/>
              <w:bottom w:w="85" w:type="dxa"/>
              <w:left w:w="85" w:type="dxa"/>
              <w:right w:w="85" w:type="dxa"/>
            </w:tcMar>
          </w:tcPr>
          <w:p>
            <w:pPr>
              <w:spacing w:after="60" w:line="252" w:lineRule="auto"/>
            </w:pPr>
            <w:r>
              <w:rPr>
                <w:rFonts w:ascii="Arial" w:hAnsi="Arial"/>
                <w:color w:val="000000"/>
                <w:sz w:val="17"/>
              </w:rPr>
              <w:t>Предмет обращения</w:t>
            </w:r>
          </w:p>
        </w:tc>
        <w:tc>
          <w:tcPr>
            <w:tcW w:type="dxa" w:w="3458"/>
            <w:vAlign w:val="center"/>
            <w:shd w:fill="FFFFFF"/>
            <w:tcMar>
              <w:top w:w="85" w:type="dxa"/>
              <w:bottom w:w="85" w:type="dxa"/>
              <w:left w:w="85" w:type="dxa"/>
              <w:right w:w="85" w:type="dxa"/>
            </w:tcMar>
          </w:tcPr>
          <w:p>
            <w:pPr>
              <w:spacing w:after="60" w:line="252" w:lineRule="auto"/>
            </w:pPr>
            <w:r>
              <w:rPr>
                <w:rFonts w:ascii="Arial" w:hAnsi="Arial"/>
                <w:color w:val="000000"/>
                <w:sz w:val="17"/>
              </w:rPr>
              <w:t>service_type</w:t>
            </w:r>
          </w:p>
        </w:tc>
        <w:tc>
          <w:tcPr>
            <w:tcW w:type="dxa" w:w="2948"/>
            <w:vAlign w:val="center"/>
            <w:shd w:fill="FFFFFF"/>
            <w:tcMar>
              <w:top w:w="85" w:type="dxa"/>
              <w:bottom w:w="85" w:type="dxa"/>
              <w:left w:w="85" w:type="dxa"/>
              <w:right w:w="85" w:type="dxa"/>
            </w:tcMar>
          </w:tcPr>
          <w:p>
            <w:pPr>
              <w:spacing w:after="60" w:line="252" w:lineRule="auto"/>
            </w:pPr>
            <w:r>
              <w:rPr>
                <w:rFonts w:ascii="Arial" w:hAnsi="Arial"/>
                <w:color w:val="000000"/>
                <w:sz w:val="17"/>
              </w:rPr>
              <w:t>UF_CRM_SERVICE_TYPE</w:t>
            </w:r>
          </w:p>
        </w:tc>
        <w:tc>
          <w:tcPr>
            <w:tcW w:type="dxa" w:w="2268"/>
            <w:vAlign w:val="center"/>
            <w:shd w:fill="FFFFFF"/>
            <w:tcMar>
              <w:top w:w="85" w:type="dxa"/>
              <w:bottom w:w="85" w:type="dxa"/>
              <w:left w:w="85" w:type="dxa"/>
              <w:right w:w="85" w:type="dxa"/>
            </w:tcMar>
          </w:tcPr>
          <w:p>
            <w:pPr>
              <w:spacing w:after="60" w:line="252" w:lineRule="auto"/>
            </w:pPr>
            <w:r>
              <w:rPr>
                <w:rFonts w:ascii="Arial" w:hAnsi="Arial"/>
                <w:color w:val="000000"/>
                <w:sz w:val="17"/>
              </w:rPr>
              <w:t>Поле service запрещено и не создается</w:t>
            </w:r>
          </w:p>
        </w:tc>
      </w:tr>
      <w:tr>
        <w:trPr>
          <w:cantSplit/>
        </w:trPr>
        <w:tc>
          <w:tcPr>
            <w:tcW w:type="dxa" w:w="1757"/>
            <w:vAlign w:val="center"/>
            <w:shd w:fill="FFFFFF"/>
            <w:tcMar>
              <w:top w:w="85" w:type="dxa"/>
              <w:bottom w:w="85" w:type="dxa"/>
              <w:left w:w="85" w:type="dxa"/>
              <w:right w:w="85" w:type="dxa"/>
            </w:tcMar>
          </w:tcPr>
          <w:p>
            <w:pPr>
              <w:spacing w:after="60" w:line="252" w:lineRule="auto"/>
            </w:pPr>
            <w:r>
              <w:rPr>
                <w:rFonts w:ascii="Arial" w:hAnsi="Arial"/>
                <w:color w:val="000000"/>
                <w:sz w:val="17"/>
              </w:rPr>
              <w:t>Поисковая фраза</w:t>
            </w:r>
          </w:p>
        </w:tc>
        <w:tc>
          <w:tcPr>
            <w:tcW w:type="dxa" w:w="3458"/>
            <w:vAlign w:val="center"/>
            <w:shd w:fill="FFFFFF"/>
            <w:tcMar>
              <w:top w:w="85" w:type="dxa"/>
              <w:bottom w:w="85" w:type="dxa"/>
              <w:left w:w="85" w:type="dxa"/>
              <w:right w:w="85" w:type="dxa"/>
            </w:tcMar>
          </w:tcPr>
          <w:p>
            <w:pPr>
              <w:spacing w:after="60" w:line="252" w:lineRule="auto"/>
            </w:pPr>
            <w:r>
              <w:rPr>
                <w:rFonts w:ascii="Arial" w:hAnsi="Arial"/>
                <w:color w:val="000000"/>
                <w:sz w:val="17"/>
              </w:rPr>
              <w:t>search_term</w:t>
            </w:r>
          </w:p>
        </w:tc>
        <w:tc>
          <w:tcPr>
            <w:tcW w:type="dxa" w:w="2948"/>
            <w:vAlign w:val="center"/>
            <w:shd w:fill="FFFFFF"/>
            <w:tcMar>
              <w:top w:w="85" w:type="dxa"/>
              <w:bottom w:w="85" w:type="dxa"/>
              <w:left w:w="85" w:type="dxa"/>
              <w:right w:w="85" w:type="dxa"/>
            </w:tcMar>
          </w:tcPr>
          <w:p>
            <w:pPr>
              <w:spacing w:after="60" w:line="252" w:lineRule="auto"/>
            </w:pPr>
            <w:r>
              <w:rPr>
                <w:rFonts w:ascii="Arial" w:hAnsi="Arial"/>
                <w:color w:val="000000"/>
                <w:sz w:val="17"/>
              </w:rPr>
              <w:t>UF_CRM_SEARCH_TERM</w:t>
            </w:r>
          </w:p>
        </w:tc>
        <w:tc>
          <w:tcPr>
            <w:tcW w:type="dxa" w:w="2268"/>
            <w:vAlign w:val="center"/>
            <w:shd w:fill="FFFFFF"/>
            <w:tcMar>
              <w:top w:w="85" w:type="dxa"/>
              <w:bottom w:w="85" w:type="dxa"/>
              <w:left w:w="85" w:type="dxa"/>
              <w:right w:w="85" w:type="dxa"/>
            </w:tcMar>
          </w:tcPr>
          <w:p>
            <w:pPr>
              <w:spacing w:after="60" w:line="252" w:lineRule="auto"/>
            </w:pPr>
            <w:r>
              <w:rPr>
                <w:rFonts w:ascii="Arial" w:hAnsi="Arial"/>
                <w:color w:val="000000"/>
                <w:sz w:val="17"/>
              </w:rPr>
              <w:t>Передается из URL или рекламного контекста</w:t>
            </w:r>
          </w:p>
        </w:tc>
      </w:tr>
      <w:tr>
        <w:trPr>
          <w:cantSplit/>
        </w:trPr>
        <w:tc>
          <w:tcPr>
            <w:tcW w:type="dxa" w:w="1757"/>
            <w:vAlign w:val="center"/>
            <w:shd w:fill="FFFFFF"/>
            <w:tcMar>
              <w:top w:w="85" w:type="dxa"/>
              <w:bottom w:w="85" w:type="dxa"/>
              <w:left w:w="85" w:type="dxa"/>
              <w:right w:w="85" w:type="dxa"/>
            </w:tcMar>
          </w:tcPr>
          <w:p>
            <w:pPr>
              <w:spacing w:after="60" w:line="252" w:lineRule="auto"/>
            </w:pPr>
            <w:r>
              <w:rPr>
                <w:rFonts w:ascii="Arial" w:hAnsi="Arial"/>
                <w:color w:val="000000"/>
                <w:sz w:val="17"/>
              </w:rPr>
              <w:t>Текущий визит</w:t>
            </w:r>
          </w:p>
        </w:tc>
        <w:tc>
          <w:tcPr>
            <w:tcW w:type="dxa" w:w="3458"/>
            <w:vAlign w:val="center"/>
            <w:shd w:fill="FFFFFF"/>
            <w:tcMar>
              <w:top w:w="85" w:type="dxa"/>
              <w:bottom w:w="85" w:type="dxa"/>
              <w:left w:w="85" w:type="dxa"/>
              <w:right w:w="85" w:type="dxa"/>
            </w:tcMar>
          </w:tcPr>
          <w:p>
            <w:pPr>
              <w:spacing w:after="60" w:line="252" w:lineRule="auto"/>
            </w:pPr>
            <w:r>
              <w:rPr>
                <w:rFonts w:ascii="Arial" w:hAnsi="Arial"/>
                <w:color w:val="000000"/>
                <w:sz w:val="17"/>
              </w:rPr>
              <w:t>utm_source, utm_medium, utm_campaign, utm_id, utm_content, utm_term, referrer</w:t>
            </w:r>
          </w:p>
        </w:tc>
        <w:tc>
          <w:tcPr>
            <w:tcW w:type="dxa" w:w="2948"/>
            <w:vAlign w:val="center"/>
            <w:shd w:fill="FFFFFF"/>
            <w:tcMar>
              <w:top w:w="85" w:type="dxa"/>
              <w:bottom w:w="85" w:type="dxa"/>
              <w:left w:w="85" w:type="dxa"/>
              <w:right w:w="85" w:type="dxa"/>
            </w:tcMar>
          </w:tcPr>
          <w:p>
            <w:pPr>
              <w:spacing w:after="60" w:line="252" w:lineRule="auto"/>
            </w:pPr>
            <w:r>
              <w:rPr>
                <w:rFonts w:ascii="Arial" w:hAnsi="Arial"/>
                <w:color w:val="000000"/>
                <w:sz w:val="17"/>
              </w:rPr>
              <w:t>Одноименные UF_CRM поля</w:t>
            </w:r>
          </w:p>
        </w:tc>
        <w:tc>
          <w:tcPr>
            <w:tcW w:type="dxa" w:w="2268"/>
            <w:vAlign w:val="center"/>
            <w:shd w:fill="FFFFFF"/>
            <w:tcMar>
              <w:top w:w="85" w:type="dxa"/>
              <w:bottom w:w="85" w:type="dxa"/>
              <w:left w:w="85" w:type="dxa"/>
              <w:right w:w="85" w:type="dxa"/>
            </w:tcMar>
          </w:tcPr>
          <w:p>
            <w:pPr>
              <w:spacing w:after="60" w:line="252" w:lineRule="auto"/>
            </w:pPr>
            <w:r>
              <w:rPr>
                <w:rFonts w:ascii="Arial" w:hAnsi="Arial"/>
                <w:color w:val="000000"/>
                <w:sz w:val="17"/>
              </w:rPr>
              <w:t>Не смешивать с first и last touch</w:t>
            </w:r>
          </w:p>
        </w:tc>
      </w:tr>
      <w:tr>
        <w:trPr>
          <w:cantSplit/>
        </w:trPr>
        <w:tc>
          <w:tcPr>
            <w:tcW w:type="dxa" w:w="1757"/>
            <w:vAlign w:val="center"/>
            <w:shd w:fill="FFFFFF"/>
            <w:tcMar>
              <w:top w:w="85" w:type="dxa"/>
              <w:bottom w:w="85" w:type="dxa"/>
              <w:left w:w="85" w:type="dxa"/>
              <w:right w:w="85" w:type="dxa"/>
            </w:tcMar>
          </w:tcPr>
          <w:p>
            <w:pPr>
              <w:spacing w:after="60" w:line="252" w:lineRule="auto"/>
            </w:pPr>
            <w:r>
              <w:rPr>
                <w:rFonts w:ascii="Arial" w:hAnsi="Arial"/>
                <w:color w:val="000000"/>
                <w:sz w:val="17"/>
              </w:rPr>
              <w:t>Первое касание</w:t>
            </w:r>
          </w:p>
        </w:tc>
        <w:tc>
          <w:tcPr>
            <w:tcW w:type="dxa" w:w="3458"/>
            <w:vAlign w:val="center"/>
            <w:shd w:fill="FFFFFF"/>
            <w:tcMar>
              <w:top w:w="85" w:type="dxa"/>
              <w:bottom w:w="85" w:type="dxa"/>
              <w:left w:w="85" w:type="dxa"/>
              <w:right w:w="85" w:type="dxa"/>
            </w:tcMar>
          </w:tcPr>
          <w:p>
            <w:pPr>
              <w:spacing w:after="60" w:line="252" w:lineRule="auto"/>
            </w:pPr>
            <w:r>
              <w:rPr>
                <w:rFonts w:ascii="Arial" w:hAnsi="Arial"/>
                <w:color w:val="000000"/>
                <w:sz w:val="17"/>
              </w:rPr>
              <w:t>first_utm_*, first_gclid, first_landing_page, first_referrer, first_visit_at</w:t>
            </w:r>
          </w:p>
        </w:tc>
        <w:tc>
          <w:tcPr>
            <w:tcW w:type="dxa" w:w="2948"/>
            <w:vAlign w:val="center"/>
            <w:shd w:fill="FFFFFF"/>
            <w:tcMar>
              <w:top w:w="85" w:type="dxa"/>
              <w:bottom w:w="85" w:type="dxa"/>
              <w:left w:w="85" w:type="dxa"/>
              <w:right w:w="85" w:type="dxa"/>
            </w:tcMar>
          </w:tcPr>
          <w:p>
            <w:pPr>
              <w:spacing w:after="60" w:line="252" w:lineRule="auto"/>
            </w:pPr>
            <w:r>
              <w:rPr>
                <w:rFonts w:ascii="Arial" w:hAnsi="Arial"/>
                <w:color w:val="000000"/>
                <w:sz w:val="17"/>
              </w:rPr>
              <w:t>Одноименные UF_CRM поля</w:t>
            </w:r>
          </w:p>
        </w:tc>
        <w:tc>
          <w:tcPr>
            <w:tcW w:type="dxa" w:w="2268"/>
            <w:vAlign w:val="center"/>
            <w:shd w:fill="FFFFFF"/>
            <w:tcMar>
              <w:top w:w="85" w:type="dxa"/>
              <w:bottom w:w="85" w:type="dxa"/>
              <w:left w:w="85" w:type="dxa"/>
              <w:right w:w="85" w:type="dxa"/>
            </w:tcMar>
          </w:tcPr>
          <w:p>
            <w:pPr>
              <w:spacing w:after="60" w:line="252" w:lineRule="auto"/>
            </w:pPr>
            <w:r>
              <w:rPr>
                <w:rFonts w:ascii="Arial" w:hAnsi="Arial"/>
                <w:color w:val="000000"/>
                <w:sz w:val="17"/>
              </w:rPr>
              <w:t>После записи не перезаписывать</w:t>
            </w:r>
          </w:p>
        </w:tc>
      </w:tr>
      <w:tr>
        <w:trPr>
          <w:cantSplit/>
        </w:trPr>
        <w:tc>
          <w:tcPr>
            <w:tcW w:type="dxa" w:w="1757"/>
            <w:vAlign w:val="center"/>
            <w:shd w:fill="FFFFFF"/>
            <w:tcMar>
              <w:top w:w="85" w:type="dxa"/>
              <w:bottom w:w="85" w:type="dxa"/>
              <w:left w:w="85" w:type="dxa"/>
              <w:right w:w="85" w:type="dxa"/>
            </w:tcMar>
          </w:tcPr>
          <w:p>
            <w:pPr>
              <w:spacing w:after="60" w:line="252" w:lineRule="auto"/>
            </w:pPr>
            <w:r>
              <w:rPr>
                <w:rFonts w:ascii="Arial" w:hAnsi="Arial"/>
                <w:color w:val="000000"/>
                <w:sz w:val="17"/>
              </w:rPr>
              <w:t>Последнее касание</w:t>
            </w:r>
          </w:p>
        </w:tc>
        <w:tc>
          <w:tcPr>
            <w:tcW w:type="dxa" w:w="3458"/>
            <w:vAlign w:val="center"/>
            <w:shd w:fill="FFFFFF"/>
            <w:tcMar>
              <w:top w:w="85" w:type="dxa"/>
              <w:bottom w:w="85" w:type="dxa"/>
              <w:left w:w="85" w:type="dxa"/>
              <w:right w:w="85" w:type="dxa"/>
            </w:tcMar>
          </w:tcPr>
          <w:p>
            <w:pPr>
              <w:spacing w:after="60" w:line="252" w:lineRule="auto"/>
            </w:pPr>
            <w:r>
              <w:rPr>
                <w:rFonts w:ascii="Arial" w:hAnsi="Arial"/>
                <w:color w:val="000000"/>
                <w:sz w:val="17"/>
              </w:rPr>
              <w:t>last_utm_*, last_gclid, last_landing_page, last_referrer, last_visit_at</w:t>
            </w:r>
          </w:p>
        </w:tc>
        <w:tc>
          <w:tcPr>
            <w:tcW w:type="dxa" w:w="2948"/>
            <w:vAlign w:val="center"/>
            <w:shd w:fill="FFFFFF"/>
            <w:tcMar>
              <w:top w:w="85" w:type="dxa"/>
              <w:bottom w:w="85" w:type="dxa"/>
              <w:left w:w="85" w:type="dxa"/>
              <w:right w:w="85" w:type="dxa"/>
            </w:tcMar>
          </w:tcPr>
          <w:p>
            <w:pPr>
              <w:spacing w:after="60" w:line="252" w:lineRule="auto"/>
            </w:pPr>
            <w:r>
              <w:rPr>
                <w:rFonts w:ascii="Arial" w:hAnsi="Arial"/>
                <w:color w:val="000000"/>
                <w:sz w:val="17"/>
              </w:rPr>
              <w:t>Одноименные UF_CRM поля</w:t>
            </w:r>
          </w:p>
        </w:tc>
        <w:tc>
          <w:tcPr>
            <w:tcW w:type="dxa" w:w="2268"/>
            <w:vAlign w:val="center"/>
            <w:shd w:fill="FFFFFF"/>
            <w:tcMar>
              <w:top w:w="85" w:type="dxa"/>
              <w:bottom w:w="85" w:type="dxa"/>
              <w:left w:w="85" w:type="dxa"/>
              <w:right w:w="85" w:type="dxa"/>
            </w:tcMar>
          </w:tcPr>
          <w:p>
            <w:pPr>
              <w:spacing w:after="60" w:line="252" w:lineRule="auto"/>
            </w:pPr>
            <w:r>
              <w:rPr>
                <w:rFonts w:ascii="Arial" w:hAnsi="Arial"/>
                <w:color w:val="000000"/>
                <w:sz w:val="17"/>
              </w:rPr>
              <w:t>Обновлять при новом визите</w:t>
            </w:r>
          </w:p>
        </w:tc>
      </w:tr>
      <w:tr>
        <w:trPr>
          <w:cantSplit/>
        </w:trPr>
        <w:tc>
          <w:tcPr>
            <w:tcW w:type="dxa" w:w="1757"/>
            <w:vAlign w:val="center"/>
            <w:shd w:fill="FFFFFF"/>
            <w:tcMar>
              <w:top w:w="85" w:type="dxa"/>
              <w:bottom w:w="85" w:type="dxa"/>
              <w:left w:w="85" w:type="dxa"/>
              <w:right w:w="85" w:type="dxa"/>
            </w:tcMar>
          </w:tcPr>
          <w:p>
            <w:pPr>
              <w:spacing w:after="60" w:line="252" w:lineRule="auto"/>
            </w:pPr>
            <w:r>
              <w:rPr>
                <w:rFonts w:ascii="Arial" w:hAnsi="Arial"/>
                <w:color w:val="000000"/>
                <w:sz w:val="17"/>
              </w:rPr>
              <w:t>Рекламные идентификаторы</w:t>
            </w:r>
          </w:p>
        </w:tc>
        <w:tc>
          <w:tcPr>
            <w:tcW w:type="dxa" w:w="3458"/>
            <w:vAlign w:val="center"/>
            <w:shd w:fill="FFFFFF"/>
            <w:tcMar>
              <w:top w:w="85" w:type="dxa"/>
              <w:bottom w:w="85" w:type="dxa"/>
              <w:left w:w="85" w:type="dxa"/>
              <w:right w:w="85" w:type="dxa"/>
            </w:tcMar>
          </w:tcPr>
          <w:p>
            <w:pPr>
              <w:spacing w:after="60" w:line="252" w:lineRule="auto"/>
            </w:pPr>
            <w:r>
              <w:rPr>
                <w:rFonts w:ascii="Arial" w:hAnsi="Arial"/>
                <w:color w:val="000000"/>
                <w:sz w:val="17"/>
              </w:rPr>
              <w:t>gclid, gbraid, wbraid, yclid, dclid, fbclid, gad_source</w:t>
            </w:r>
          </w:p>
        </w:tc>
        <w:tc>
          <w:tcPr>
            <w:tcW w:type="dxa" w:w="2948"/>
            <w:vAlign w:val="center"/>
            <w:shd w:fill="FFFFFF"/>
            <w:tcMar>
              <w:top w:w="85" w:type="dxa"/>
              <w:bottom w:w="85" w:type="dxa"/>
              <w:left w:w="85" w:type="dxa"/>
              <w:right w:w="85" w:type="dxa"/>
            </w:tcMar>
          </w:tcPr>
          <w:p>
            <w:pPr>
              <w:spacing w:after="60" w:line="252" w:lineRule="auto"/>
            </w:pPr>
            <w:r>
              <w:rPr>
                <w:rFonts w:ascii="Arial" w:hAnsi="Arial"/>
                <w:color w:val="000000"/>
                <w:sz w:val="17"/>
              </w:rPr>
              <w:t>Одноименные UF_CRM поля</w:t>
            </w:r>
          </w:p>
        </w:tc>
        <w:tc>
          <w:tcPr>
            <w:tcW w:type="dxa" w:w="2268"/>
            <w:vAlign w:val="center"/>
            <w:shd w:fill="FFFFFF"/>
            <w:tcMar>
              <w:top w:w="85" w:type="dxa"/>
              <w:bottom w:w="85" w:type="dxa"/>
              <w:left w:w="85" w:type="dxa"/>
              <w:right w:w="85" w:type="dxa"/>
            </w:tcMar>
          </w:tcPr>
          <w:p>
            <w:pPr>
              <w:spacing w:after="60" w:line="252" w:lineRule="auto"/>
            </w:pPr>
            <w:r>
              <w:rPr>
                <w:rFonts w:ascii="Arial" w:hAnsi="Arial"/>
                <w:color w:val="000000"/>
                <w:sz w:val="17"/>
              </w:rPr>
              <w:t>Без переименований и склейки</w:t>
            </w:r>
          </w:p>
        </w:tc>
      </w:tr>
      <w:tr>
        <w:trPr>
          <w:cantSplit/>
        </w:trPr>
        <w:tc>
          <w:tcPr>
            <w:tcW w:type="dxa" w:w="1757"/>
            <w:vAlign w:val="center"/>
            <w:shd w:fill="FFFFFF"/>
            <w:tcMar>
              <w:top w:w="85" w:type="dxa"/>
              <w:bottom w:w="85" w:type="dxa"/>
              <w:left w:w="85" w:type="dxa"/>
              <w:right w:w="85" w:type="dxa"/>
            </w:tcMar>
          </w:tcPr>
          <w:p>
            <w:pPr>
              <w:spacing w:after="60" w:line="252" w:lineRule="auto"/>
            </w:pPr>
            <w:r>
              <w:rPr>
                <w:rFonts w:ascii="Arial" w:hAnsi="Arial"/>
                <w:color w:val="000000"/>
                <w:sz w:val="17"/>
              </w:rPr>
              <w:t>Страница</w:t>
            </w:r>
          </w:p>
        </w:tc>
        <w:tc>
          <w:tcPr>
            <w:tcW w:type="dxa" w:w="3458"/>
            <w:vAlign w:val="center"/>
            <w:shd w:fill="FFFFFF"/>
            <w:tcMar>
              <w:top w:w="85" w:type="dxa"/>
              <w:bottom w:w="85" w:type="dxa"/>
              <w:left w:w="85" w:type="dxa"/>
              <w:right w:w="85" w:type="dxa"/>
            </w:tcMar>
          </w:tcPr>
          <w:p>
            <w:pPr>
              <w:spacing w:after="60" w:line="252" w:lineRule="auto"/>
            </w:pPr>
            <w:r>
              <w:rPr>
                <w:rFonts w:ascii="Arial" w:hAnsi="Arial"/>
                <w:color w:val="000000"/>
                <w:sz w:val="17"/>
              </w:rPr>
              <w:t>page_url, page_path, page_title</w:t>
            </w:r>
          </w:p>
        </w:tc>
        <w:tc>
          <w:tcPr>
            <w:tcW w:type="dxa" w:w="2948"/>
            <w:vAlign w:val="center"/>
            <w:shd w:fill="FFFFFF"/>
            <w:tcMar>
              <w:top w:w="85" w:type="dxa"/>
              <w:bottom w:w="85" w:type="dxa"/>
              <w:left w:w="85" w:type="dxa"/>
              <w:right w:w="85" w:type="dxa"/>
            </w:tcMar>
          </w:tcPr>
          <w:p>
            <w:pPr>
              <w:spacing w:after="60" w:line="252" w:lineRule="auto"/>
            </w:pPr>
            <w:r>
              <w:rPr>
                <w:rFonts w:ascii="Arial" w:hAnsi="Arial"/>
                <w:color w:val="000000"/>
                <w:sz w:val="17"/>
              </w:rPr>
              <w:t>UF_CRM_PAGE_URL, UF_CRM_PAGE_PATH, UF_CRM_PAGE_TITLE</w:t>
            </w:r>
          </w:p>
        </w:tc>
        <w:tc>
          <w:tcPr>
            <w:tcW w:type="dxa" w:w="2268"/>
            <w:vAlign w:val="center"/>
            <w:shd w:fill="FFFFFF"/>
            <w:tcMar>
              <w:top w:w="85" w:type="dxa"/>
              <w:bottom w:w="85" w:type="dxa"/>
              <w:left w:w="85" w:type="dxa"/>
              <w:right w:w="85" w:type="dxa"/>
            </w:tcMar>
          </w:tcPr>
          <w:p>
            <w:pPr>
              <w:spacing w:after="60" w:line="252" w:lineRule="auto"/>
            </w:pPr>
            <w:r>
              <w:rPr>
                <w:rFonts w:ascii="Arial" w:hAnsi="Arial"/>
                <w:color w:val="000000"/>
                <w:sz w:val="17"/>
              </w:rPr>
              <w:t>entry_page и entry_path не создавать</w:t>
            </w:r>
          </w:p>
        </w:tc>
      </w:tr>
      <w:tr>
        <w:trPr>
          <w:cantSplit/>
        </w:trPr>
        <w:tc>
          <w:tcPr>
            <w:tcW w:type="dxa" w:w="1757"/>
            <w:vAlign w:val="center"/>
            <w:shd w:fill="FFFFFF"/>
            <w:tcMar>
              <w:top w:w="85" w:type="dxa"/>
              <w:bottom w:w="85" w:type="dxa"/>
              <w:left w:w="85" w:type="dxa"/>
              <w:right w:w="85" w:type="dxa"/>
            </w:tcMar>
          </w:tcPr>
          <w:p>
            <w:pPr>
              <w:spacing w:after="60" w:line="252" w:lineRule="auto"/>
            </w:pPr>
            <w:r>
              <w:rPr>
                <w:rFonts w:ascii="Arial" w:hAnsi="Arial"/>
                <w:color w:val="000000"/>
                <w:sz w:val="17"/>
              </w:rPr>
              <w:t>Устройство</w:t>
            </w:r>
          </w:p>
        </w:tc>
        <w:tc>
          <w:tcPr>
            <w:tcW w:type="dxa" w:w="3458"/>
            <w:vAlign w:val="center"/>
            <w:shd w:fill="FFFFFF"/>
            <w:tcMar>
              <w:top w:w="85" w:type="dxa"/>
              <w:bottom w:w="85" w:type="dxa"/>
              <w:left w:w="85" w:type="dxa"/>
              <w:right w:w="85" w:type="dxa"/>
            </w:tcMar>
          </w:tcPr>
          <w:p>
            <w:pPr>
              <w:spacing w:after="60" w:line="252" w:lineRule="auto"/>
            </w:pPr>
            <w:r>
              <w:rPr>
                <w:rFonts w:ascii="Arial" w:hAnsi="Arial"/>
                <w:color w:val="000000"/>
                <w:sz w:val="17"/>
              </w:rPr>
              <w:t>device_type, os, platform, screen_resolution, browser_language, timezone</w:t>
            </w:r>
          </w:p>
        </w:tc>
        <w:tc>
          <w:tcPr>
            <w:tcW w:type="dxa" w:w="2948"/>
            <w:vAlign w:val="center"/>
            <w:shd w:fill="FFFFFF"/>
            <w:tcMar>
              <w:top w:w="85" w:type="dxa"/>
              <w:bottom w:w="85" w:type="dxa"/>
              <w:left w:w="85" w:type="dxa"/>
              <w:right w:w="85" w:type="dxa"/>
            </w:tcMar>
          </w:tcPr>
          <w:p>
            <w:pPr>
              <w:spacing w:after="60" w:line="252" w:lineRule="auto"/>
            </w:pPr>
            <w:r>
              <w:rPr>
                <w:rFonts w:ascii="Arial" w:hAnsi="Arial"/>
                <w:color w:val="000000"/>
                <w:sz w:val="17"/>
              </w:rPr>
              <w:t>Одноименные UF_CRM поля</w:t>
            </w:r>
          </w:p>
        </w:tc>
        <w:tc>
          <w:tcPr>
            <w:tcW w:type="dxa" w:w="2268"/>
            <w:vAlign w:val="center"/>
            <w:shd w:fill="FFFFFF"/>
            <w:tcMar>
              <w:top w:w="85" w:type="dxa"/>
              <w:bottom w:w="85" w:type="dxa"/>
              <w:left w:w="85" w:type="dxa"/>
              <w:right w:w="85" w:type="dxa"/>
            </w:tcMar>
          </w:tcPr>
          <w:p>
            <w:pPr>
              <w:spacing w:after="60" w:line="252" w:lineRule="auto"/>
            </w:pPr>
            <w:r>
              <w:rPr>
                <w:rFonts w:ascii="Arial" w:hAnsi="Arial"/>
                <w:color w:val="000000"/>
                <w:sz w:val="17"/>
              </w:rPr>
              <w:t>user_agent допускается как техническое поле</w:t>
            </w:r>
          </w:p>
        </w:tc>
      </w:tr>
      <w:tr>
        <w:trPr>
          <w:cantSplit/>
        </w:trPr>
        <w:tc>
          <w:tcPr>
            <w:tcW w:type="dxa" w:w="1757"/>
            <w:vAlign w:val="center"/>
            <w:shd w:fill="FFFFFF"/>
            <w:tcMar>
              <w:top w:w="85" w:type="dxa"/>
              <w:bottom w:w="85" w:type="dxa"/>
              <w:left w:w="85" w:type="dxa"/>
              <w:right w:w="85" w:type="dxa"/>
            </w:tcMar>
          </w:tcPr>
          <w:p>
            <w:pPr>
              <w:spacing w:after="60" w:line="252" w:lineRule="auto"/>
            </w:pPr>
            <w:r>
              <w:rPr>
                <w:rFonts w:ascii="Arial" w:hAnsi="Arial"/>
                <w:color w:val="000000"/>
                <w:sz w:val="17"/>
              </w:rPr>
              <w:t>Согласие</w:t>
            </w:r>
          </w:p>
        </w:tc>
        <w:tc>
          <w:tcPr>
            <w:tcW w:type="dxa" w:w="3458"/>
            <w:vAlign w:val="center"/>
            <w:shd w:fill="FFFFFF"/>
            <w:tcMar>
              <w:top w:w="85" w:type="dxa"/>
              <w:bottom w:w="85" w:type="dxa"/>
              <w:left w:w="85" w:type="dxa"/>
              <w:right w:w="85" w:type="dxa"/>
            </w:tcMar>
          </w:tcPr>
          <w:p>
            <w:pPr>
              <w:spacing w:after="60" w:line="252" w:lineRule="auto"/>
            </w:pPr>
            <w:r>
              <w:rPr>
                <w:rFonts w:ascii="Arial" w:hAnsi="Arial"/>
                <w:color w:val="000000"/>
                <w:sz w:val="17"/>
              </w:rPr>
              <w:t>consent_analytics, consent_ads, consent_timestamp, consent_version</w:t>
            </w:r>
          </w:p>
        </w:tc>
        <w:tc>
          <w:tcPr>
            <w:tcW w:type="dxa" w:w="2948"/>
            <w:vAlign w:val="center"/>
            <w:shd w:fill="FFFFFF"/>
            <w:tcMar>
              <w:top w:w="85" w:type="dxa"/>
              <w:bottom w:w="85" w:type="dxa"/>
              <w:left w:w="85" w:type="dxa"/>
              <w:right w:w="85" w:type="dxa"/>
            </w:tcMar>
          </w:tcPr>
          <w:p>
            <w:pPr>
              <w:spacing w:after="60" w:line="252" w:lineRule="auto"/>
            </w:pPr>
            <w:r>
              <w:rPr>
                <w:rFonts w:ascii="Arial" w:hAnsi="Arial"/>
                <w:color w:val="000000"/>
                <w:sz w:val="17"/>
              </w:rPr>
              <w:t>Одноименные UF_CRM поля</w:t>
            </w:r>
          </w:p>
        </w:tc>
        <w:tc>
          <w:tcPr>
            <w:tcW w:type="dxa" w:w="2268"/>
            <w:vAlign w:val="center"/>
            <w:shd w:fill="FFFFFF"/>
            <w:tcMar>
              <w:top w:w="85" w:type="dxa"/>
              <w:bottom w:w="85" w:type="dxa"/>
              <w:left w:w="85" w:type="dxa"/>
              <w:right w:w="85" w:type="dxa"/>
            </w:tcMar>
          </w:tcPr>
          <w:p>
            <w:pPr>
              <w:spacing w:after="60" w:line="252" w:lineRule="auto"/>
            </w:pPr>
            <w:r>
              <w:rPr>
                <w:rFonts w:ascii="Arial" w:hAnsi="Arial"/>
                <w:color w:val="000000"/>
                <w:sz w:val="17"/>
              </w:rPr>
              <w:t>Значения granted или denied; unknown не используется</w:t>
            </w:r>
          </w:p>
        </w:tc>
      </w:tr>
      <w:tr>
        <w:trPr>
          <w:cantSplit/>
        </w:trPr>
        <w:tc>
          <w:tcPr>
            <w:tcW w:type="dxa" w:w="1757"/>
            <w:vAlign w:val="center"/>
            <w:shd w:fill="FFFFFF"/>
            <w:tcMar>
              <w:top w:w="85" w:type="dxa"/>
              <w:bottom w:w="85" w:type="dxa"/>
              <w:left w:w="85" w:type="dxa"/>
              <w:right w:w="85" w:type="dxa"/>
            </w:tcMar>
          </w:tcPr>
          <w:p>
            <w:pPr>
              <w:spacing w:after="60" w:line="252" w:lineRule="auto"/>
            </w:pPr>
            <w:r>
              <w:rPr>
                <w:rFonts w:ascii="Arial" w:hAnsi="Arial"/>
                <w:color w:val="000000"/>
                <w:sz w:val="17"/>
              </w:rPr>
              <w:t>ICP</w:t>
            </w:r>
          </w:p>
        </w:tc>
        <w:tc>
          <w:tcPr>
            <w:tcW w:type="dxa" w:w="3458"/>
            <w:vAlign w:val="center"/>
            <w:shd w:fill="FFFFFF"/>
            <w:tcMar>
              <w:top w:w="85" w:type="dxa"/>
              <w:bottom w:w="85" w:type="dxa"/>
              <w:left w:w="85" w:type="dxa"/>
              <w:right w:w="85" w:type="dxa"/>
            </w:tcMar>
          </w:tcPr>
          <w:p>
            <w:pPr>
              <w:spacing w:after="60" w:line="252" w:lineRule="auto"/>
            </w:pPr>
            <w:r>
              <w:rPr>
                <w:rFonts w:ascii="Arial" w:hAnsi="Arial"/>
                <w:color w:val="000000"/>
                <w:sz w:val="17"/>
              </w:rPr>
              <w:t>icp_type</w:t>
            </w:r>
          </w:p>
        </w:tc>
        <w:tc>
          <w:tcPr>
            <w:tcW w:type="dxa" w:w="2948"/>
            <w:vAlign w:val="center"/>
            <w:shd w:fill="FFFFFF"/>
            <w:tcMar>
              <w:top w:w="85" w:type="dxa"/>
              <w:bottom w:w="85" w:type="dxa"/>
              <w:left w:w="85" w:type="dxa"/>
              <w:right w:w="85" w:type="dxa"/>
            </w:tcMar>
          </w:tcPr>
          <w:p>
            <w:pPr>
              <w:spacing w:after="60" w:line="252" w:lineRule="auto"/>
            </w:pPr>
            <w:r>
              <w:rPr>
                <w:rFonts w:ascii="Arial" w:hAnsi="Arial"/>
                <w:color w:val="000000"/>
                <w:sz w:val="17"/>
              </w:rPr>
              <w:t>UF_CRM_ICP_TYPE</w:t>
            </w:r>
          </w:p>
        </w:tc>
        <w:tc>
          <w:tcPr>
            <w:tcW w:type="dxa" w:w="2268"/>
            <w:vAlign w:val="center"/>
            <w:shd w:fill="FFFFFF"/>
            <w:tcMar>
              <w:top w:w="85" w:type="dxa"/>
              <w:bottom w:w="85" w:type="dxa"/>
              <w:left w:w="85" w:type="dxa"/>
              <w:right w:w="85" w:type="dxa"/>
            </w:tcMar>
          </w:tcPr>
          <w:p>
            <w:pPr>
              <w:spacing w:after="60" w:line="252" w:lineRule="auto"/>
            </w:pPr>
            <w:r>
              <w:rPr>
                <w:rFonts w:ascii="Arial" w:hAnsi="Arial"/>
                <w:color w:val="000000"/>
                <w:sz w:val="17"/>
              </w:rPr>
              <w:t>Сценарий клиента (см. раздел 5); не путать с классом приоритета A/B/C — тот хранится в отдельном поле UF_CRM_ICP_SEGMENT под ярлыком «ICP: класс»</w:t>
            </w:r>
          </w:p>
        </w:tc>
      </w:tr>
    </w:tbl>
    <w:p>
      <w:pPr>
        <w:pStyle w:val="Heading2"/>
      </w:pPr>
      <w:r>
        <w:rPr>
          <w:color w:val="000000"/>
          <w:u w:val="none"/>
        </w:rPr>
        <w:t>Правила Consent Mode v2</w:t>
      </w:r>
    </w:p>
    <w:p>
      <w:pPr>
        <w:pStyle w:val="ListBullet"/>
      </w:pPr>
      <w:r>
        <w:t>До выбора пользователя все четыре сигнала Google Consent Mode имеют значение denied.</w:t>
      </w:r>
    </w:p>
    <w:p>
      <w:pPr>
        <w:pStyle w:val="ListBullet"/>
      </w:pPr>
      <w:r>
        <w:t>Кнопка «Принять» устанавливает consent_analytics=granted и consent_ads=granted. Кнопка «Только необходимые» устанавливает оба значения denied.</w:t>
      </w:r>
    </w:p>
    <w:p>
      <w:pPr>
        <w:pStyle w:val="ListBullet"/>
      </w:pPr>
      <w:r>
        <w:t>Выбор хранится локально вместе с consent_timestamp и consent_version=1.0 и применяется при последующих визитах.</w:t>
      </w:r>
    </w:p>
    <w:p>
      <w:pPr>
        <w:pStyle w:val="ListBullet"/>
      </w:pPr>
      <w:r>
        <w:t>Согласие на обработку персональных данных в форме не заменяет выбор аналитических и рекламных технологий.</w:t>
      </w:r>
    </w:p>
    <w:p>
      <w:pPr>
        <w:pStyle w:val="Heading2"/>
      </w:pPr>
      <w:r>
        <w:rPr>
          <w:color w:val="000000"/>
          <w:u w:val="none"/>
        </w:rPr>
        <w:t>Фактическое состояние внедрения</w:t>
      </w:r>
    </w:p>
    <w:p>
      <w:pPr>
        <w:pStyle w:val="ListBullet"/>
      </w:pPr>
      <w:r>
        <w:t>GTM-контейнер GTM-WVGQ5BZ4: опубликована версия 7 с каноническим контрактом данных и Consent Mode v2.</w:t>
      </w:r>
    </w:p>
    <w:p>
      <w:pPr>
        <w:pStyle w:val="ListBullet"/>
      </w:pPr>
      <w:r>
        <w:t>GA4: Google tag G-K3055R6Y7X и мост событий pz_*; очередь сохраняет события до загрузки Google tag.</w:t>
      </w:r>
    </w:p>
    <w:p>
      <w:pPr>
        <w:pStyle w:val="ListBullet"/>
      </w:pPr>
      <w:r>
        <w:t>Cloud Run: сервис tilda-webhook-to-bigquery, ревизия tilda-webhook-to-bigquery-00061-zb7; маппинг канонических полей в Bitrix24 обновлен.</w:t>
      </w:r>
    </w:p>
    <w:p>
      <w:pPr>
        <w:pStyle w:val="ListBullet"/>
      </w:pPr>
      <w:r>
        <w:t>Consent Mode v2: до выбора пользователя analytics_storage, ad_storage, ad_user_data и ad_personalization имеют значение denied. После выбора передаются granted или denied.</w:t>
      </w:r>
    </w:p>
    <w:p>
      <w:pPr>
        <w:pStyle w:val="ListBullet"/>
      </w:pPr>
      <w:r>
        <w:t>Тестовый payload contract_test принят вебхуком без создания тестовой сделки в Bitrix24.</w:t>
      </w:r>
    </w:p>
    <w:p>
      <w:pPr>
        <w:pStyle w:val="Heading2"/>
      </w:pPr>
      <w:r>
        <w:rPr>
          <w:color w:val="000000"/>
          <w:u w:val="none"/>
        </w:rPr>
        <w:t>Легаси и запреты</w:t>
      </w:r>
    </w:p>
    <w:p>
      <w:pPr>
        <w:pStyle w:val="ListBullet"/>
      </w:pPr>
      <w:r>
        <w:t>Поле service не создавать, не заполнять и не использовать в правилах или отчетах. Единственное поле предмета обращения — service_type.</w:t>
      </w:r>
    </w:p>
    <w:p>
      <w:pPr>
        <w:pStyle w:val="ListBullet"/>
      </w:pPr>
      <w:r>
        <w:t>entry_page и entry_path не использовать. Канонические поля — first_landing_page, last_landing_page, page_url и page_path.</w:t>
      </w:r>
    </w:p>
    <w:p>
      <w:pPr>
        <w:pStyle w:val="ListBullet"/>
      </w:pPr>
      <w:r>
        <w:t>Дубли без префикса UF_CRM_ в Bitrix24 не создавать. Существующие дубли сначала выгрузить, сопоставить по техническому коду и только затем архивировать.</w:t>
      </w:r>
    </w:p>
    <w:p>
      <w:pPr>
        <w:pStyle w:val="ListBullet"/>
      </w:pPr>
      <w:r>
        <w:t>Поля UF_CRM_ICP_TYPE, UF_CRM_ICP_SCORE и UF_CRM_ICP_SEGMENT — три разные сущности с разным назначением (сценарий клиента, числовой балл и производный класс приоритета соответственно); создавать дубли любого из них запрещено. Интерфейсный ярлык «ICP: сегмент» переименован в «ICP: класс» и относится к полю UF_CRM_ICP_SEGMENT; UF_CRM_ICP_TYPE используется исключительно для сценариев ICP-1…ICP-5/ICP-C.</w:t>
      </w:r>
    </w:p>
    <w:p>
      <w:pPr>
        <w:pStyle w:val="ListBullet"/>
      </w:pPr>
      <w:r>
        <w:t>Текущие UTM и referrer хранятся отдельно от first и last touch.</w:t>
      </w:r>
    </w:p>
    <w:p>
      <w:pPr>
        <w:pStyle w:val="Heading2"/>
      </w:pPr>
      <w:r>
        <w:rPr>
          <w:color w:val="000000"/>
          <w:u w:val="none"/>
        </w:rPr>
        <w:t>Критерии приемки согласованной редакции</w:t>
      </w:r>
    </w:p>
    <w:p>
      <w:pPr>
        <w:pStyle w:val="ListBullet"/>
      </w:pPr>
      <w:r>
        <w:t>На новой сессии до выбора пользователя в формах записаны denied, denied, пустой timestamp и consent_version=1.0.</w:t>
      </w:r>
    </w:p>
    <w:p>
      <w:pPr>
        <w:pStyle w:val="ListBullet"/>
      </w:pPr>
      <w:r>
        <w:t>После выбора пользователя timestamp заполнен в ISO 8601, а granted или denied одинаковы на странице, в payload и Bitrix24.</w:t>
      </w:r>
    </w:p>
    <w:p>
      <w:pPr>
        <w:pStyle w:val="ListBullet"/>
      </w:pPr>
      <w:r>
        <w:t>service_type, search_term, технический контекст, click ID, referrer, page_title и platform передаются без переименования.</w:t>
      </w:r>
    </w:p>
    <w:p>
      <w:pPr>
        <w:pStyle w:val="ListBullet"/>
      </w:pPr>
      <w:r>
        <w:t>Один event_id связывает событие страницы, payload, строку BigQuery и запись Bitrix24; повторная доставка не создает дубль.</w:t>
      </w:r>
    </w:p>
    <w:p>
      <w:pPr>
        <w:pStyle w:val="ListBullet"/>
      </w:pPr>
      <w:r>
        <w:t>GA4 и Google Ads не получают персональные данные из формы.</w:t>
      </w:r>
    </w:p>
    <w:p>
      <w:pPr>
        <w:pStyle w:val="Heading2"/>
      </w:pPr>
      <w:r>
        <w:rPr>
          <w:color w:val="000000"/>
          <w:u w:val="none"/>
        </w:rPr>
        <w:t>История редакции</w:t>
      </w:r>
    </w:p>
    <w:p>
      <w:r>
        <w:t>1.14 от 22 сентября 2026 года. Согласованы канонические имена полей, разделение текущей, первой и последней атрибуции, UF_CRM_ICP_TYPE, Consent Mode v2, вебхук и фактически опубликованные версии интеграций.</w:t>
      </w:r>
    </w:p>
    <w:p>
      <w:r>
        <w:t>1.16 от 23 сентября 2026 года. Устранена коллизия ярлыков ICP-полей: интерфейсный ярлык «ICP: сегмент» переименован в «ICP: класс» и закреплён за UF_CRM_ICP_SEGMENT (производный класс приоритета A/B/C); UF_CRM_ICP_TYPE оставлен исключительно для сценария клиента ICP-1…5/ICP-C. В канонический реестр полей (18.2) добавлена строка UF_CRM_ICP_SEGMENT. Уточнено, что SLA-роботы и роботы контроля сравнивают класс только с UF_CRM_ICP_SEGMENT.</w:t>
      </w:r>
    </w:p>
    <w:p>
      <w:r>
        <w:br w:type="page"/>
      </w:r>
    </w:p>
    <w:p>
      <w:pPr>
        <w:pStyle w:val="Heading1"/>
        <w:keepNext/>
      </w:pPr>
      <w:r>
        <w:rPr>
          <w:color w:val="000000"/>
          <w:u w:val="none"/>
        </w:rPr>
        <w:t>20 Поддержка единого конверсионного сценария</w:t>
      </w:r>
    </w:p>
    <w:p>
      <w:r>
        <w:t>Редакция 1.15 от 22 сентября 2026 года. Bitrix24 принимает те же канонические значения, которые сформированы страницей и переданы через webhook.</w:t>
      </w:r>
    </w:p>
    <w:p>
      <w:pPr>
        <w:pStyle w:val="Heading2"/>
      </w:pPr>
      <w:r>
        <w:rPr>
          <w:color w:val="000000"/>
          <w:u w:val="none"/>
        </w:rPr>
        <w:t>Поля и соответствия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4"/>
        <w:gridCol w:w="3324"/>
        <w:gridCol w:w="3324"/>
      </w:tblGrid>
      <w:tr>
        <w:trPr>
          <w:tblHeader w:val="true"/>
          <w:cantSplit/>
          <w:tblHeader/>
        </w:trPr>
        <w:tc>
          <w:tcPr>
            <w:tcW w:type="dxa" w:w="2268"/>
            <w:vAlign w:val="center"/>
            <w:shd w:fill="E7EBEF"/>
            <w:tcBorders>
              <w:top w:val="single" w:sz="4" w:color="D9E0E7"/>
              <w:left w:val="single" w:sz="4" w:color="D9E0E7"/>
              <w:bottom w:val="single" w:sz="4" w:color="D9E0E7"/>
              <w:right w:val="single" w:sz="4" w:color="D9E0E7"/>
              <w:insideH w:val="single" w:sz="4" w:color="D9E0E7"/>
              <w:insideV w:val="single" w:sz="4" w:color="D9E0E7"/>
            </w:tcBorders>
            <w:tcMar>
              <w:top w:w="85" w:type="dxa"/>
              <w:bottom w:w="85" w:type="dxa"/>
              <w:left w:w="85" w:type="dxa"/>
              <w:right w:w="85" w:type="dxa"/>
            </w:tcMar>
          </w:tcPr>
          <w:p>
            <w:pPr>
              <w:keepNext/>
              <w:spacing w:after="60" w:line="252" w:lineRule="auto"/>
            </w:pPr>
            <w:r>
              <w:rPr>
                <w:b/>
                <w:color w:val="000000"/>
                <w:sz w:val="18"/>
              </w:rPr>
              <w:t>Payload</w:t>
            </w:r>
          </w:p>
        </w:tc>
        <w:tc>
          <w:tcPr>
            <w:tcW w:type="dxa" w:w="3118"/>
            <w:vAlign w:val="center"/>
            <w:shd w:fill="E7EBEF"/>
            <w:tcBorders>
              <w:top w:val="single" w:sz="4" w:color="D9E0E7"/>
              <w:left w:val="single" w:sz="4" w:color="D9E0E7"/>
              <w:bottom w:val="single" w:sz="4" w:color="D9E0E7"/>
              <w:right w:val="single" w:sz="4" w:color="D9E0E7"/>
              <w:insideH w:val="single" w:sz="4" w:color="D9E0E7"/>
              <w:insideV w:val="single" w:sz="4" w:color="D9E0E7"/>
            </w:tcBorders>
            <w:tcMar>
              <w:top w:w="85" w:type="dxa"/>
              <w:bottom w:w="85" w:type="dxa"/>
              <w:left w:w="85" w:type="dxa"/>
              <w:right w:w="85" w:type="dxa"/>
            </w:tcMar>
          </w:tcPr>
          <w:p>
            <w:pPr>
              <w:keepNext/>
              <w:spacing w:after="60" w:line="252" w:lineRule="auto"/>
            </w:pPr>
            <w:r>
              <w:rPr>
                <w:b/>
                <w:color w:val="000000"/>
                <w:sz w:val="18"/>
              </w:rPr>
              <w:t>Поле Bitrix24</w:t>
            </w:r>
          </w:p>
        </w:tc>
        <w:tc>
          <w:tcPr>
            <w:tcW w:type="dxa" w:w="6520"/>
            <w:vAlign w:val="center"/>
            <w:shd w:fill="E7EBEF"/>
            <w:tcBorders>
              <w:top w:val="single" w:sz="4" w:color="D9E0E7"/>
              <w:left w:val="single" w:sz="4" w:color="D9E0E7"/>
              <w:bottom w:val="single" w:sz="4" w:color="D9E0E7"/>
              <w:right w:val="single" w:sz="4" w:color="D9E0E7"/>
              <w:insideH w:val="single" w:sz="4" w:color="D9E0E7"/>
              <w:insideV w:val="single" w:sz="4" w:color="D9E0E7"/>
            </w:tcBorders>
            <w:tcMar>
              <w:top w:w="85" w:type="dxa"/>
              <w:bottom w:w="85" w:type="dxa"/>
              <w:left w:w="85" w:type="dxa"/>
              <w:right w:w="85" w:type="dxa"/>
            </w:tcMar>
          </w:tcPr>
          <w:p>
            <w:pPr>
              <w:keepNext/>
              <w:spacing w:after="60" w:line="252" w:lineRule="auto"/>
            </w:pPr>
            <w:r>
              <w:rPr>
                <w:b/>
                <w:color w:val="000000"/>
                <w:sz w:val="18"/>
              </w:rPr>
              <w:t>Правило</w:t>
            </w:r>
          </w:p>
        </w:tc>
      </w:tr>
      <w:tr>
        <w:trPr>
          <w:cantSplit/>
        </w:trPr>
        <w:tc>
          <w:tcPr>
            <w:tcW w:type="dxa" w:w="2268"/>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spacing w:after="60" w:line="252" w:lineRule="auto"/>
            </w:pPr>
            <w:r>
              <w:rPr>
                <w:color w:val="000000"/>
                <w:sz w:val="17"/>
              </w:rPr>
              <w:t>service_type</w:t>
            </w:r>
          </w:p>
        </w:tc>
        <w:tc>
          <w:tcPr>
            <w:tcW w:type="dxa" w:w="3118"/>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spacing w:after="60" w:line="252" w:lineRule="auto"/>
            </w:pPr>
            <w:r>
              <w:rPr>
                <w:color w:val="000000"/>
                <w:sz w:val="17"/>
              </w:rPr>
              <w:t>UF_CRM_SERVICE_TYPE</w:t>
            </w:r>
          </w:p>
        </w:tc>
        <w:tc>
          <w:tcPr>
            <w:tcW w:type="dxa" w:w="6520"/>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spacing w:after="60" w:line="252" w:lineRule="auto"/>
            </w:pPr>
            <w:r>
              <w:rPr>
                <w:color w:val="000000"/>
              </w:rPr>
              <w:t>Технический код сохраняется в payload; карта преобразует его в утверждённую услугу/ID списка CRM. service запрещено. Сценарий обращения не смешивается с услугой.</w:t>
            </w:r>
          </w:p>
        </w:tc>
      </w:tr>
      <w:tr>
        <w:trPr>
          <w:cantSplit/>
        </w:trPr>
        <w:tc>
          <w:tcPr>
            <w:tcW w:type="dxa" w:w="2268"/>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spacing w:after="60" w:line="252" w:lineRule="auto"/>
            </w:pPr>
            <w:r>
              <w:rPr>
                <w:color w:val="000000"/>
                <w:sz w:val="17"/>
              </w:rPr>
              <w:t>requested_action</w:t>
            </w:r>
          </w:p>
        </w:tc>
        <w:tc>
          <w:tcPr>
            <w:tcW w:type="dxa" w:w="3118"/>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spacing w:after="60" w:line="252" w:lineRule="auto"/>
            </w:pPr>
            <w:r>
              <w:rPr>
                <w:color w:val="000000"/>
                <w:sz w:val="17"/>
              </w:rPr>
              <w:t>UF_CRM_REQUESTED_ACTION</w:t>
            </w:r>
          </w:p>
        </w:tc>
        <w:tc>
          <w:tcPr>
            <w:tcW w:type="dxa" w:w="6520"/>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spacing w:after="60" w:line="252" w:lineRule="auto"/>
            </w:pPr>
            <w:r>
              <w:rPr>
                <w:color w:val="000000"/>
                <w:sz w:val="17"/>
              </w:rPr>
              <w:t>Список: calculate; engineer_visit; audit_booking; contact_request; document_download</w:t>
            </w:r>
          </w:p>
        </w:tc>
      </w:tr>
      <w:tr>
        <w:trPr>
          <w:cantSplit/>
        </w:trPr>
        <w:tc>
          <w:tcPr>
            <w:tcW w:type="dxa" w:w="2268"/>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spacing w:after="60" w:line="252" w:lineRule="auto"/>
            </w:pPr>
            <w:r>
              <w:rPr>
                <w:color w:val="000000"/>
                <w:sz w:val="17"/>
              </w:rPr>
              <w:t>cta_location</w:t>
            </w:r>
          </w:p>
        </w:tc>
        <w:tc>
          <w:tcPr>
            <w:tcW w:type="dxa" w:w="3118"/>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spacing w:after="60" w:line="252" w:lineRule="auto"/>
            </w:pPr>
            <w:r>
              <w:rPr>
                <w:color w:val="000000"/>
                <w:sz w:val="17"/>
              </w:rPr>
              <w:t>UF_CRM_CTA_LOCATION</w:t>
            </w:r>
          </w:p>
        </w:tc>
        <w:tc>
          <w:tcPr>
            <w:tcW w:type="dxa" w:w="6520"/>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spacing w:after="60" w:line="252" w:lineRule="auto"/>
            </w:pPr>
            <w:r>
              <w:rPr>
                <w:color w:val="000000"/>
                <w:sz w:val="17"/>
              </w:rPr>
              <w:t>Строка/список из канонического справочника</w:t>
            </w:r>
          </w:p>
        </w:tc>
      </w:tr>
      <w:tr>
        <w:trPr>
          <w:cantSplit/>
        </w:trPr>
        <w:tc>
          <w:tcPr>
            <w:tcW w:type="dxa" w:w="2268"/>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spacing w:after="60" w:line="252" w:lineRule="auto"/>
            </w:pPr>
            <w:r>
              <w:rPr>
                <w:color w:val="000000"/>
                <w:sz w:val="17"/>
              </w:rPr>
              <w:t>cta_text</w:t>
            </w:r>
          </w:p>
        </w:tc>
        <w:tc>
          <w:tcPr>
            <w:tcW w:type="dxa" w:w="3118"/>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spacing w:after="60" w:line="252" w:lineRule="auto"/>
            </w:pPr>
            <w:r>
              <w:rPr>
                <w:color w:val="000000"/>
                <w:sz w:val="17"/>
              </w:rPr>
              <w:t>UF_CRM_CTA_TEXT</w:t>
            </w:r>
          </w:p>
        </w:tc>
        <w:tc>
          <w:tcPr>
            <w:tcW w:type="dxa" w:w="6520"/>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spacing w:after="60" w:line="252" w:lineRule="auto"/>
            </w:pPr>
            <w:r>
              <w:rPr>
                <w:color w:val="000000"/>
                <w:sz w:val="17"/>
              </w:rPr>
              <w:t>Фактический текст кнопки</w:t>
            </w:r>
          </w:p>
        </w:tc>
      </w:tr>
      <w:tr>
        <w:trPr>
          <w:cantSplit/>
        </w:trPr>
        <w:tc>
          <w:tcPr>
            <w:tcW w:type="dxa" w:w="2268"/>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spacing w:after="60" w:line="252" w:lineRule="auto"/>
            </w:pPr>
            <w:r>
              <w:rPr>
                <w:color w:val="000000"/>
                <w:sz w:val="17"/>
              </w:rPr>
              <w:t>form_id</w:t>
            </w:r>
          </w:p>
        </w:tc>
        <w:tc>
          <w:tcPr>
            <w:tcW w:type="dxa" w:w="3118"/>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spacing w:after="60" w:line="252" w:lineRule="auto"/>
            </w:pPr>
            <w:r>
              <w:rPr>
                <w:color w:val="000000"/>
                <w:sz w:val="17"/>
              </w:rPr>
              <w:t>UF_CRM_FORM_ID</w:t>
            </w:r>
          </w:p>
        </w:tc>
        <w:tc>
          <w:tcPr>
            <w:tcW w:type="dxa" w:w="6520"/>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spacing w:after="60" w:line="252" w:lineRule="auto"/>
            </w:pPr>
            <w:r>
              <w:rPr>
                <w:color w:val="000000"/>
                <w:sz w:val="17"/>
              </w:rPr>
              <w:t>Стабильный идентификатор формы</w:t>
            </w:r>
          </w:p>
        </w:tc>
      </w:tr>
      <w:tr>
        <w:trPr>
          <w:cantSplit/>
        </w:trPr>
        <w:tc>
          <w:tcPr>
            <w:tcW w:type="dxa" w:w="2268"/>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spacing w:after="60" w:line="252" w:lineRule="auto"/>
            </w:pPr>
            <w:r>
              <w:rPr>
                <w:color w:val="000000"/>
                <w:sz w:val="17"/>
              </w:rPr>
              <w:t>event_id</w:t>
            </w:r>
          </w:p>
        </w:tc>
        <w:tc>
          <w:tcPr>
            <w:tcW w:type="dxa" w:w="3118"/>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spacing w:after="60" w:line="252" w:lineRule="auto"/>
            </w:pPr>
            <w:r>
              <w:rPr>
                <w:color w:val="000000"/>
                <w:sz w:val="17"/>
              </w:rPr>
              <w:t>UF_CRM_EVENT_ID</w:t>
            </w:r>
          </w:p>
        </w:tc>
        <w:tc>
          <w:tcPr>
            <w:tcW w:type="dxa" w:w="6520"/>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spacing w:after="60" w:line="252" w:lineRule="auto"/>
            </w:pPr>
            <w:r>
              <w:rPr>
                <w:color w:val="000000"/>
                <w:sz w:val="17"/>
              </w:rPr>
              <w:t>Уникальное поле дедупликации; не перезаписывается</w:t>
            </w:r>
          </w:p>
        </w:tc>
      </w:tr>
    </w:tbl>
    <w:p/>
    <w:p>
      <w:pPr>
        <w:pStyle w:val="Heading2"/>
      </w:pPr>
      <w:r>
        <w:rPr>
          <w:color w:val="000000"/>
          <w:u w:val="none"/>
        </w:rPr>
        <w:t>Автоматизация и отчётность</w:t>
      </w:r>
    </w:p>
    <w:p>
      <w:pPr>
        <w:pStyle w:val="ListBullet"/>
        <w:keepLines/>
      </w:pPr>
      <w:r>
        <w:t>Webhook валидирует service_type и requested_action по справочникам; неизвестные значения записывает в журнал ошибок и не создаёт новые поля автоматически.</w:t>
      </w:r>
    </w:p>
    <w:p>
      <w:pPr>
        <w:pStyle w:val="ListBullet"/>
        <w:keepLines/>
      </w:pPr>
      <w:r>
        <w:t>engineer_visit маршрутизируется в аварийный/диагностический сценарий; audit_booking — в сценарий аудита; calculate — в продажу соответствующей услуги по service_type.</w:t>
      </w:r>
    </w:p>
    <w:p>
      <w:pPr>
        <w:pStyle w:val="ListBullet"/>
        <w:keepLines/>
      </w:pPr>
      <w:r>
        <w:t>Дашборд показывает заявки, квалифицированные лиды, сделки и выручку по service_type, requested_action, cta_location, first/last source и campaign.</w:t>
      </w:r>
    </w:p>
    <w:p>
      <w:pPr>
        <w:pStyle w:val="ListBullet"/>
        <w:keepLines/>
      </w:pPr>
      <w:r>
        <w:t>Легаси-поля и дубли не участвуют в атрибуции. Перед включением отчёта выполняется ручная сверка технических кодов, включая UF_CRM_ICP_TYPE (сценарий) и UF_CRM_ICP_SEGMENT (класс, видимый пользователю лейбл «ICP: класс»).</w:t>
      </w:r>
    </w:p>
    <w:p>
      <w:pPr>
        <w:pStyle w:val="ListBullet"/>
        <w:keepLines/>
      </w:pPr>
      <w:r>
        <w:t>Обязательные consent_*, dclid, fbclid, gad_source, referrer, page_title и platform сохраняют точные канонические имена из контракта данных; переименование выполняется только на уровне заранее согласованной карты CRM-полей.</w:t>
      </w:r>
    </w:p>
    <w:p>
      <w:pPr>
        <w:pStyle w:val="Heading2"/>
      </w:pPr>
      <w:r>
        <w:rPr>
          <w:color w:val="000000"/>
          <w:u w:val="none"/>
        </w:rPr>
        <w:t>Критерии приёмки</w:t>
      </w:r>
    </w:p>
    <w:p>
      <w:pPr>
        <w:pStyle w:val="ListBullet"/>
        <w:keepLines/>
      </w:pPr>
      <w:r>
        <w:t>На странице визуально доминирует один основной CTA; альтернативные CTA не конкурируют с ним по цвету, размеру и частоте.</w:t>
      </w:r>
    </w:p>
    <w:p>
      <w:pPr>
        <w:pStyle w:val="ListBullet"/>
        <w:keepLines/>
      </w:pPr>
      <w:r>
        <w:t>На мобильном устройстве калькулятор или короткая форма доступны не позднее третьего–четвёртого экрана.</w:t>
      </w:r>
    </w:p>
    <w:p>
      <w:pPr>
        <w:pStyle w:val="ListBullet"/>
        <w:keepLines/>
      </w:pPr>
      <w:r>
        <w:t>Пересекающиеся блоки и дублирующие медиа отсутствуют; обязательные сведения, доверительные элементы и ключевые сценарии сохранены.</w:t>
      </w:r>
    </w:p>
    <w:p>
      <w:pPr>
        <w:pStyle w:val="ListBullet"/>
        <w:keepLines/>
      </w:pPr>
      <w:r>
        <w:t>Для переработанной существующей страницы мобильная высота сокращена на 20–25% по сравнению с сохранённым контрольным снимком, либо оформлено обоснование меньшего сокращения.</w:t>
      </w:r>
    </w:p>
    <w:p>
      <w:pPr>
        <w:pStyle w:val="ListBullet"/>
        <w:keepLines/>
      </w:pPr>
      <w:r>
        <w:t>Проверены ширины 360, 390, 768 и 1440 px: нет горизонтального переполнения, обрезанного текста и перекрывающихся кнопок.</w:t>
      </w:r>
    </w:p>
    <w:p>
      <w:pPr>
        <w:pStyle w:val="ListBullet"/>
        <w:keepLines/>
      </w:pPr>
      <w:r>
        <w:t>Каждый основной CTA передаёт одинаковые service_type, requested_action, cta_location и cta_text во все системы.</w:t>
      </w:r>
    </w:p>
    <w:p>
      <w:pPr>
        <w:pStyle w:val="ListBullet"/>
        <w:keepLines/>
      </w:pPr>
      <w:r>
        <w:t>События pz_cta_click, pz_calculator_start, pz_calculator_complete, pz_form_start, pz_form_submit и pz_form_success проходят тест без дублей; generate_lead создаётся только после pz_form_success с тем же event_id.</w:t>
      </w:r>
    </w:p>
    <w:p>
      <w:pPr>
        <w:pStyle w:val="ListBullet"/>
        <w:keepLines/>
      </w:pPr>
      <w:r>
        <w:t>Результат сравнивается с исходной версией после согласованного периода и достаточного объёма трафика; до этого изменение не признаётся победителем только по единичным заявкам.</w:t>
      </w:r>
    </w:p>
    <w:p>
      <w:pPr>
        <w:pStyle w:val="Heading2"/>
      </w:pPr>
      <w:r>
        <w:rPr>
          <w:color w:val="000000"/>
          <w:u w:val="none"/>
        </w:rPr>
        <w:t>История редакции</w:t>
      </w:r>
    </w:p>
    <w:p>
      <w:r>
        <w:t>Версия 1.15 от 22 сентября 2026 года: добавлены requested_action, единая маршрутизация CTA и отчётность по качеству конверсионных сценариев.</w:t>
      </w:r>
    </w:p>
    <w:p>
      <w:pPr>
        <w:pStyle w:val="ListBullet"/>
      </w:pPr>
      <w:r>
        <w:t>21 Реализация на тарифе Стандартный</w:t>
      </w:r>
    </w:p>
    <w:p>
      <w:pPr>
        <w:pStyle w:val="ListBullet"/>
      </w:pPr>
      <w:r>
        <w:t>Раздел определяет обязательную архитектуру для облачного Bitrix24 на тарифе «Стандартный» и имеет приоритет над прежними формулировками о бизнес-процессах, Списках, регулярных задачах и расширенных правах на проекты. Целевые показатели, канонические поля, семь действующих воронок, ICP-квалификация, SLA и сквозная аналитика сохраняются.</w:t>
      </w:r>
    </w:p>
    <w:p>
      <w:pPr>
        <w:pStyle w:val="ListBullet"/>
      </w:pPr>
      <w:r>
        <w:t>21.1 Матрица замены функций</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3"/>
        <w:gridCol w:w="2493"/>
        <w:gridCol w:w="2493"/>
        <w:gridCol w:w="2493"/>
      </w:tblGrid>
      <w:tr>
        <w:trPr>
          <w:tblHeader w:val="true"/>
          <w:cantSplit/>
          <w:tblHeader/>
        </w:trPr>
        <w:tc>
          <w:tcPr>
            <w:tcW w:type="dxa" w:w="2493"/>
            <w:vAlign w:val="center"/>
            <w:tcMar>
              <w:top w:w="85" w:type="dxa"/>
              <w:start w:w="110" w:type="dxa"/>
              <w:bottom w:w="85" w:type="dxa"/>
              <w:end w:w="110" w:type="dxa"/>
              <w:left w:w="85" w:type="dxa"/>
              <w:right w:w="85" w:type="dxa"/>
            </w:tcMar>
            <w:shd w:fill="E7EBEF"/>
          </w:tcPr>
          <w:p>
            <w:pPr>
              <w:keepNext/>
              <w:spacing w:after="60" w:line="252" w:lineRule="auto"/>
            </w:pPr>
            <w:r>
              <w:rPr>
                <w:b/>
                <w:color w:val="000000"/>
                <w:sz w:val="18"/>
              </w:rPr>
              <w:t>Недоступная функция</w:t>
            </w:r>
          </w:p>
        </w:tc>
        <w:tc>
          <w:tcPr>
            <w:tcW w:type="dxa" w:w="2493"/>
            <w:vAlign w:val="center"/>
            <w:tcMar>
              <w:top w:w="85" w:type="dxa"/>
              <w:start w:w="110" w:type="dxa"/>
              <w:bottom w:w="85" w:type="dxa"/>
              <w:end w:w="110" w:type="dxa"/>
              <w:left w:w="85" w:type="dxa"/>
              <w:right w:w="85" w:type="dxa"/>
            </w:tcMar>
            <w:shd w:fill="E7EBEF"/>
          </w:tcPr>
          <w:p>
            <w:pPr>
              <w:keepNext/>
              <w:spacing w:after="60" w:line="252" w:lineRule="auto"/>
            </w:pPr>
            <w:r>
              <w:rPr>
                <w:b/>
                <w:color w:val="000000"/>
                <w:sz w:val="18"/>
              </w:rPr>
              <w:t>Решение на Стандартном</w:t>
            </w:r>
          </w:p>
        </w:tc>
        <w:tc>
          <w:tcPr>
            <w:tcW w:type="dxa" w:w="2493"/>
            <w:vAlign w:val="center"/>
            <w:tcMar>
              <w:top w:w="85" w:type="dxa"/>
              <w:start w:w="110" w:type="dxa"/>
              <w:bottom w:w="85" w:type="dxa"/>
              <w:end w:w="110" w:type="dxa"/>
              <w:left w:w="85" w:type="dxa"/>
              <w:right w:w="85" w:type="dxa"/>
            </w:tcMar>
            <w:shd w:fill="E7EBEF"/>
          </w:tcPr>
          <w:p>
            <w:pPr>
              <w:keepNext/>
              <w:spacing w:after="60" w:line="252" w:lineRule="auto"/>
            </w:pPr>
            <w:r>
              <w:rPr>
                <w:b/>
                <w:color w:val="000000"/>
                <w:sz w:val="18"/>
              </w:rPr>
              <w:t>Источник истины</w:t>
            </w:r>
          </w:p>
        </w:tc>
        <w:tc>
          <w:tcPr>
            <w:tcW w:type="dxa" w:w="2493"/>
            <w:vAlign w:val="center"/>
            <w:tcMar>
              <w:top w:w="85" w:type="dxa"/>
              <w:start w:w="110" w:type="dxa"/>
              <w:bottom w:w="85" w:type="dxa"/>
              <w:end w:w="110" w:type="dxa"/>
              <w:left w:w="85" w:type="dxa"/>
              <w:right w:w="85" w:type="dxa"/>
            </w:tcMar>
            <w:shd w:fill="E7EBEF"/>
          </w:tcPr>
          <w:p>
            <w:pPr>
              <w:keepNext/>
              <w:spacing w:after="60" w:line="252" w:lineRule="auto"/>
            </w:pPr>
            <w:r>
              <w:rPr>
                <w:b/>
                <w:color w:val="000000"/>
                <w:sz w:val="18"/>
              </w:rPr>
              <w:t>Контроль</w:t>
            </w:r>
          </w:p>
        </w:tc>
      </w:tr>
      <w:tr>
        <w:trPr>
          <w:cantSplit/>
        </w:trPr>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18"/>
              </w:rPr>
              <w:t>Бизнес-процессы</w:t>
            </w:r>
          </w:p>
        </w:tc>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20"/>
              </w:rPr>
              <w:t>Роботы CRM по стадиям сделки (доступны на «Стандартном» без ограничений). Пересчёт статуса клиента на компании и переход в следующий цикл обслуживания выполняются цепочкой роботов сделки («Изменить компанию», «Копировать/Создать сделку»), а не бизнес-процессом на карточке компании — у сущности «Компания» нет собственного раздела автоматизации по стадиям. Cloud Run используется только для операций, не являющихся CRM-событием (доставка в GA4/Google Ads, агрегация для BI).</w:t>
            </w:r>
          </w:p>
        </w:tc>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18"/>
              </w:rPr>
              <w:t>Поля сделки и компании</w:t>
            </w:r>
          </w:p>
        </w:tc>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18"/>
              </w:rPr>
              <w:t>Журнал роботов, timeline CRM и лог Cloud Run</w:t>
            </w:r>
          </w:p>
        </w:tc>
      </w:tr>
      <w:tr>
        <w:trPr>
          <w:cantSplit/>
        </w:trPr>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18"/>
              </w:rPr>
              <w:t>Списки</w:t>
            </w:r>
          </w:p>
        </w:tc>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18"/>
              </w:rPr>
              <w:t>Поля типа список в CRM и канонические справочники в ТЗ/конфигурации интеграции</w:t>
            </w:r>
          </w:p>
        </w:tc>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18"/>
              </w:rPr>
              <w:t>Технический код поля и утвержденные значения</w:t>
            </w:r>
          </w:p>
        </w:tc>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18"/>
              </w:rPr>
              <w:t>Новые значения только через администратора</w:t>
            </w:r>
          </w:p>
        </w:tc>
      </w:tr>
      <w:tr>
        <w:trPr>
          <w:cantSplit/>
        </w:trPr>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18"/>
              </w:rPr>
              <w:t>Регулярные задачи</w:t>
            </w:r>
          </w:p>
        </w:tc>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20"/>
              </w:rPr>
              <w:t>UF_CRM_NEXT_SERVICE_DATE + робот «Ждать до даты» в цепочке сделки — следующая дата рассчитывается и создаётся индивидуально по каждому договору, событие на уровне записи, без внешнего планировщика. Для клиентов с фиксированной календарной периодичностью допустимо использовать нативные «Шаблоны регулярных сделок» Bitrix24. Cloud Scheduler/Cloud Run — опциональный резерв, если объём или сложность контрактов не укладывается в робот-цепочку.</w:t>
            </w:r>
          </w:p>
        </w:tc>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18"/>
              </w:rPr>
              <w:t>Карточка договора/объекта и работа ТО</w:t>
            </w:r>
          </w:p>
        </w:tc>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rPr>
              <w:t>CONTRACT_SERVICE_ID + OBJECT_ID + PLAN_OCCURRENCE_ID + WORK_TYPE</w:t>
            </w:r>
          </w:p>
        </w:tc>
      </w:tr>
      <w:tr>
        <w:trPr>
          <w:cantSplit/>
        </w:trPr>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18"/>
              </w:rPr>
              <w:t>Права доступа на проекты</w:t>
            </w:r>
          </w:p>
        </w:tc>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18"/>
              </w:rPr>
              <w:t>Коммерческие данные хранятся в CRM; доступ техника ограничивается CRM-ролями, ответственным и участниками задач</w:t>
            </w:r>
          </w:p>
        </w:tc>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18"/>
              </w:rPr>
              <w:t>CRM и задача, не проект</w:t>
            </w:r>
          </w:p>
        </w:tc>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18"/>
              </w:rPr>
              <w:t>Тест под учетной записью техника</w:t>
            </w:r>
          </w:p>
        </w:tc>
      </w:tr>
      <w:tr>
        <w:trPr>
          <w:cantSplit/>
        </w:trPr>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18"/>
              </w:rPr>
              <w:t>Глубокая автоматизация карточки компании</w:t>
            </w:r>
          </w:p>
        </w:tc>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Логика переносится на робота сделки: обновление полей компании роботом «Изменить компанию» при смене стадии ТО, создание следующей сделки цикла роботом «Копировать/Создать сделку». Ручное изменение статуса на карточке компании закрывается административно (не является источником пересчёта), так как у компании нет собственных роботов/триггеров по стадиям. REST-событие или Cloud Run — только как резерв, если понадобится триггер вне CRM-событий.</w:t>
            </w:r>
          </w:p>
        </w:tc>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18"/>
              </w:rPr>
              <w:t>Компания, связанная сделка и технический флаг</w:t>
            </w:r>
          </w:p>
        </w:tc>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18"/>
              </w:rPr>
              <w:t>Лог интеграции и сверка активных сделок</w:t>
            </w:r>
          </w:p>
        </w:tc>
      </w:tr>
    </w:tbl>
    <w:p>
      <w:pPr>
        <w:pStyle w:val="ListBullet"/>
      </w:pPr>
      <w:r>
        <w:t>21.2 Сохранение ICP и класса клиента</w:t>
      </w:r>
    </w:p>
    <w:p>
      <w:pPr>
        <w:pStyle w:val="ListBullet"/>
      </w:pPr>
      <w:r>
        <w:t>UF_CRM_ICP_TYPE хранит сценарий клиента ICP-1…ICP-5/ICP-C. UF_CRM_ICP_SCORE хранит числовой балл 0–100. UF_CRM_ICP_SEGMENT хранит производный класс приоритета A/B/C. Это три разные сущности; создание альтернативных полей запрещено.</w:t>
      </w:r>
    </w:p>
    <w:p>
      <w:pPr>
        <w:pStyle w:val="ListBullet"/>
      </w:pPr>
      <w:r>
        <w:t>Класс A — 70–100, B — 50–69, C — менее 50. Для обследования действует пересчет при входе на стадию (п. 22.8.2); FIELD_CHANGED исключен, чтобы не обходить обязательные поля. Пересчет без смены стадии через Cloud Run — возможная последующая доработка, не подтвержденная текущим статусом. Ручная корректировка балла доступна руководителю с комментарием, класса — запрещена.</w:t>
      </w:r>
    </w:p>
    <w:p>
      <w:pPr>
        <w:pStyle w:val="ListBullet"/>
      </w:pPr>
      <w:r>
        <w:t>Статус клиента в UF_CRM_1789642172868 является производным от подтверждённых действующих услуг договора и не заменяет ICP. Наличие карточки выполнения или её успешное завершение само по себе не подтверждает договор. customer_type=new/existing отражает подтверждённую историю клиента на дату исходного обращения; дополнительная разовая продажа не превращает текущего клиента в нового. Правила MG-05 и карта ID определяют расчёт.</w:t>
      </w:r>
    </w:p>
    <w:p>
      <w:pPr>
        <w:pStyle w:val="ListBullet"/>
      </w:pPr>
      <w:r>
        <w:t>21.3 SLA и регулярное обслуживание</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3"/>
        <w:gridCol w:w="2493"/>
        <w:gridCol w:w="2493"/>
        <w:gridCol w:w="2493"/>
      </w:tblGrid>
      <w:tr>
        <w:trPr>
          <w:tblHeader w:val="true"/>
          <w:cantSplit/>
          <w:tblHeader/>
        </w:trPr>
        <w:tc>
          <w:tcPr>
            <w:tcW w:type="dxa" w:w="2493"/>
            <w:vAlign w:val="center"/>
            <w:tcMar>
              <w:top w:w="85" w:type="dxa"/>
              <w:start w:w="110" w:type="dxa"/>
              <w:bottom w:w="85" w:type="dxa"/>
              <w:end w:w="110" w:type="dxa"/>
              <w:left w:w="85" w:type="dxa"/>
              <w:right w:w="85" w:type="dxa"/>
            </w:tcMar>
            <w:shd w:fill="E7EBEF"/>
          </w:tcPr>
          <w:p>
            <w:pPr>
              <w:keepNext/>
              <w:spacing w:after="60" w:line="252" w:lineRule="auto"/>
            </w:pPr>
            <w:r>
              <w:rPr>
                <w:b/>
                <w:color w:val="000000"/>
                <w:sz w:val="18"/>
              </w:rPr>
              <w:t>Контроль</w:t>
            </w:r>
          </w:p>
        </w:tc>
        <w:tc>
          <w:tcPr>
            <w:tcW w:type="dxa" w:w="2493"/>
            <w:vAlign w:val="center"/>
            <w:tcMar>
              <w:top w:w="85" w:type="dxa"/>
              <w:start w:w="110" w:type="dxa"/>
              <w:bottom w:w="85" w:type="dxa"/>
              <w:end w:w="110" w:type="dxa"/>
              <w:left w:w="85" w:type="dxa"/>
              <w:right w:w="85" w:type="dxa"/>
            </w:tcMar>
            <w:shd w:fill="E7EBEF"/>
          </w:tcPr>
          <w:p>
            <w:pPr>
              <w:keepNext/>
              <w:spacing w:after="60" w:line="252" w:lineRule="auto"/>
            </w:pPr>
            <w:r>
              <w:rPr>
                <w:b/>
                <w:color w:val="000000"/>
                <w:sz w:val="18"/>
              </w:rPr>
              <w:t>Механизм</w:t>
            </w:r>
          </w:p>
        </w:tc>
        <w:tc>
          <w:tcPr>
            <w:tcW w:type="dxa" w:w="2493"/>
            <w:vAlign w:val="center"/>
            <w:tcMar>
              <w:top w:w="85" w:type="dxa"/>
              <w:start w:w="110" w:type="dxa"/>
              <w:bottom w:w="85" w:type="dxa"/>
              <w:end w:w="110" w:type="dxa"/>
              <w:left w:w="85" w:type="dxa"/>
              <w:right w:w="85" w:type="dxa"/>
            </w:tcMar>
            <w:shd w:fill="E7EBEF"/>
          </w:tcPr>
          <w:p>
            <w:pPr>
              <w:keepNext/>
              <w:spacing w:after="60" w:line="252" w:lineRule="auto"/>
            </w:pPr>
            <w:r>
              <w:rPr>
                <w:b/>
                <w:color w:val="000000"/>
                <w:sz w:val="18"/>
              </w:rPr>
              <w:t>Дедлайн</w:t>
            </w:r>
          </w:p>
        </w:tc>
        <w:tc>
          <w:tcPr>
            <w:tcW w:type="dxa" w:w="2493"/>
            <w:vAlign w:val="center"/>
            <w:tcMar>
              <w:top w:w="85" w:type="dxa"/>
              <w:start w:w="110" w:type="dxa"/>
              <w:bottom w:w="85" w:type="dxa"/>
              <w:end w:w="110" w:type="dxa"/>
              <w:left w:w="85" w:type="dxa"/>
              <w:right w:w="85" w:type="dxa"/>
            </w:tcMar>
            <w:shd w:fill="E7EBEF"/>
          </w:tcPr>
          <w:p>
            <w:pPr>
              <w:keepNext/>
              <w:spacing w:after="60" w:line="252" w:lineRule="auto"/>
            </w:pPr>
            <w:r>
              <w:rPr>
                <w:b/>
                <w:color w:val="000000"/>
                <w:sz w:val="18"/>
              </w:rPr>
              <w:t>Защита от дублей</w:t>
            </w:r>
          </w:p>
        </w:tc>
      </w:tr>
      <w:tr>
        <w:trPr>
          <w:cantSplit/>
        </w:trPr>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18"/>
              </w:rPr>
              <w:t>Первичный контакт ICP A/B</w:t>
            </w:r>
          </w:p>
        </w:tc>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18"/>
              </w:rPr>
              <w:t>Роботы стадии создают задачу и эскалацию</w:t>
            </w:r>
          </w:p>
        </w:tc>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18"/>
              </w:rPr>
              <w:t>15/30 минут в рабочее время</w:t>
            </w:r>
          </w:p>
        </w:tc>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18"/>
              </w:rPr>
              <w:t>DEAL_ID + SLA_TYPE + STAGE_ID</w:t>
            </w:r>
          </w:p>
        </w:tc>
      </w:tr>
      <w:tr>
        <w:trPr>
          <w:cantSplit/>
        </w:trPr>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18"/>
              </w:rPr>
              <w:t>Следующий шаг и follow-up</w:t>
            </w:r>
          </w:p>
        </w:tc>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20"/>
              </w:rPr>
              <w:t>Роботы ожидания («Ждать до даты» по UF_CRM_NEXT_STEP_DATE) в цепочке сделки; внешняя резервная проверка не требуется — Cloud Run опционален только для сводной отчётности.</w:t>
            </w:r>
          </w:p>
        </w:tc>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18"/>
              </w:rPr>
              <w:t>По UF_CRM_NEXT_STEP_DATE</w:t>
            </w:r>
          </w:p>
        </w:tc>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18"/>
              </w:rPr>
              <w:t>DEAL_ID + ACTION_TYPE + DUE_DATE</w:t>
            </w:r>
          </w:p>
        </w:tc>
      </w:tr>
      <w:tr>
        <w:trPr>
          <w:cantSplit/>
        </w:trPr>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18"/>
              </w:rPr>
              <w:t>Плановое ТО</w:t>
            </w:r>
          </w:p>
        </w:tc>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20"/>
              </w:rPr>
              <w:t>Робот «Ждать до даты» в цепочке сделки по UF_CRM_NEXT_SERVICE_DATE создаёт работу/задачу индивидуально по каждому договору (событие на уровне записи, не пакетный обход базы); Cloud Scheduler — опциональный резерв для большого объёма договоров либо для сводных отчётов.</w:t>
            </w:r>
          </w:p>
        </w:tc>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18"/>
              </w:rPr>
              <w:t>По договорному графику</w:t>
            </w:r>
          </w:p>
        </w:tc>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rPr>
              <w:t>CONTRACT_SERVICE_ID + OBJECT_ID + PLAN_OCCURRENCE_ID + WORK_TYPE</w:t>
            </w:r>
          </w:p>
        </w:tc>
      </w:tr>
      <w:tr>
        <w:trPr>
          <w:cantSplit/>
        </w:trPr>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18"/>
              </w:rPr>
              <w:t>Просрочка отчета/счета</w:t>
            </w:r>
          </w:p>
        </w:tc>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20"/>
              </w:rPr>
              <w:t>Робот стадии + робот «Ждать»/«Контроль» с эскалацией задачи и уведомлением ответственному; резервный монитор Cloud Run — опционально, если нужен внешний/агрегированный контроль сверх CRM.</w:t>
            </w:r>
          </w:p>
        </w:tc>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18"/>
              </w:rPr>
              <w:t>1 рабочий день</w:t>
            </w:r>
          </w:p>
        </w:tc>
        <w:tc>
          <w:tcPr>
            <w:tcW w:type="dxa" w:w="2493"/>
            <w:vAlign w:val="center"/>
            <w:tcMar>
              <w:top w:w="85" w:type="dxa"/>
              <w:start w:w="110" w:type="dxa"/>
              <w:bottom w:w="85" w:type="dxa"/>
              <w:end w:w="110" w:type="dxa"/>
              <w:left w:w="85" w:type="dxa"/>
              <w:right w:w="85" w:type="dxa"/>
            </w:tcMar>
            <w:shd w:fill="FFFFFF"/>
          </w:tcPr>
          <w:p>
            <w:pPr>
              <w:spacing w:after="60" w:line="252" w:lineRule="auto"/>
            </w:pPr>
            <w:r>
              <w:rPr>
                <w:color w:val="000000"/>
                <w:sz w:val="18"/>
              </w:rPr>
              <w:t>WORK_ID + TASK_TYPE</w:t>
            </w:r>
          </w:p>
        </w:tc>
      </w:tr>
    </w:tbl>
    <w:p>
      <w:pPr>
        <w:pStyle w:val="ListBullet"/>
      </w:pPr>
      <w:r>
        <w:t>21.4 Ограничения и емкость</w:t>
      </w:r>
    </w:p>
    <w:p>
      <w:pPr>
        <w:pStyle w:val="ListBullet"/>
      </w:pPr>
      <w:r>
        <w:t>Используются семь действующих воронок при лимите тарифа до десяти. Три позиции остаются резервом; новую воронку создают только после проверки, что сценарий нельзя реализовать стадиями существующей.</w:t>
      </w:r>
    </w:p>
    <w:p>
      <w:pPr>
        <w:pStyle w:val="ListBullet"/>
      </w:pPr>
      <w:r>
        <w:t>Проекты допускаются для совместной работы без коммерческой информации. Суммы, валовая прибыль, рекламные расходы, ICP и договорные условия остаются в CRM с ролевыми правами. Ограничение доступа техника обеспечивается CRM-ролями и назначением задач, а не правами проекта.</w:t>
      </w:r>
    </w:p>
    <w:p>
      <w:pPr>
        <w:pStyle w:val="ListBullet"/>
      </w:pPr>
      <w:r>
        <w:t>Переход на тариф «Стандартный» выполняется только после экспорта шаблонов действующих бизнес-процессов, фиксации текущих роботов и успешного прохождения тестов 24–27. Старые бизнес-процессы отключаются после подтверждения замещающих роботов и Cloud Run, но не удаляются до окончания пилота.</w:t>
      </w:r>
    </w:p>
    <w:p>
      <w:pPr>
        <w:pStyle w:val="ListBullet"/>
      </w:pPr>
      <w:r>
        <w:t>21.5 Критерии приемки тарифа Стандартный</w:t>
      </w:r>
    </w:p>
    <w:p>
      <w:pPr>
        <w:pStyle w:val="ListBullet"/>
      </w:pPr>
      <w:r>
        <w:t>Все семь воронок доступны, стадии и роботы опубликованы, лимит воронок не превышен.</w:t>
      </w:r>
    </w:p>
    <w:p>
      <w:pPr>
        <w:pStyle w:val="ListBullet"/>
      </w:pPr>
      <w:r>
        <w:t>ICP A/B/C, SLA, customer_type и статус клиента сохраняются и пересчитываются без бизнес-процессов.</w:t>
      </w:r>
    </w:p>
    <w:p>
      <w:pPr>
        <w:pStyle w:val="ListBullet"/>
      </w:pPr>
      <w:r>
        <w:t>Плановая работа создаётся один раз по ключу CONTRACT_SERVICE_ID + OBJECT_ID + PLAN_OCCURRENCE_ID + WORK_TYPE. Для повторной доставки тот же ключ сохраняется. Перенос и новая работа фиксируются отдельно с историей. Внешний планировщик остаётся резервом; уникальность проверяется и при конкурентном запуске.</w:t>
      </w:r>
    </w:p>
    <w:p>
      <w:pPr>
        <w:pStyle w:val="ListBullet"/>
      </w:pPr>
      <w:r>
        <w:t>Техник видит назначенную область и разрешённые поля. Технический пользователь получает минимальные права для своего адаптера; пользователь чтения управленческой системы видит только утверждённый набор. Права BI, локальных наборов, детализации и экспорта проверяются отдельно.</w:t>
      </w:r>
    </w:p>
    <w:p>
      <w:pPr>
        <w:pStyle w:val="ListBullet"/>
      </w:pPr>
      <w:r>
        <w:t>BI-конструктор получает канонические поля и показатели без зависимости от Списков.</w:t>
      </w:r>
    </w:p>
    <w:p>
      <w:pPr>
        <w:pStyle w:val="ListBullet"/>
      </w:pPr>
      <w:r>
        <w:t>Аварийное отключение Cloud Run не блокирует ручную работу CRM; после восстановления очередь обрабатывается без дублей.</w:t>
      </w:r>
    </w:p>
    <w:p>
      <w:pPr>
        <w:pStyle w:val="ListBullet"/>
      </w:pPr>
      <w:r>
        <w:t>История редакции</w:t>
      </w:r>
    </w:p>
    <w:p>
      <w:pPr>
        <w:pStyle w:val="ListBullet"/>
      </w:pPr>
      <w:r>
        <w:t>1.17 от 24 сентября 2026 года. ТЗ адаптировано для тарифа «Стандартный»: исключена обязательная зависимость от бизнес-процессов, Списков, регулярных задач и прав доступа на проекты; сохранены ICP, класс A/B/C, SLA и семь воронок; периодические и межсущностные операции перенесены на связку роботов CRM, Cloud Scheduler и Cloud Run с защитой от дублей.</w:t>
      </w:r>
    </w:p>
    <w:p>
      <w:pPr>
        <w:pStyle w:val="ListBullet"/>
      </w:pPr>
      <w:r>
        <w:t>1.18 от 28 сентября 2026 года. Уточнена матрица замены функций (табл. 25) и таблица SLA-контроля (табл. 26) по факту проверки тарифа «Стандартный» на портале pozharnikkz.bitrix24.kz: подтверждено, что «Роботы и триггеры» CRM доступны на «Стандартном» без ограничений, а Бизнес-процессы, Дизайнер бизнес-процессов и Смарт-процессы — только с тарифа «Профессиональный» и выше. Пересчёт статуса клиента на карточке компании, создание плановых работ ТО по UF_CRM_NEXT_SERVICE_DATE и контроль просрочек переведены с бизнес-процессов/Cloud Run на цепочки роботов CRM на стороне сделки (робот «Ждать до даты», «Изменить компанию», «Копировать/Создать сделку», «Контроль»), так как у сущности «Компания» нет собственного раздела автоматизации по стадиям. Cloud Run сохраняется только для операций, не являющихся CRM-событием (доставка в GA4/Google Ads, агрегация для BI).</w:t>
      </w:r>
    </w:p>
    <w:p>
      <w:pPr>
        <w:pStyle w:val="ListBullet"/>
      </w:pPr>
      <w:r>
        <w:t xml:space="preserve">1.19 от 30 сентября 2026 года. По решению заказчика: (1) для полей обследования (ответственный инженер, дата и время обследования, файл чек-листа) восстановлена техническая блокировка перехода на стадию «КП отправлено» и последующие штатной настройкой «Обязательное на стадии», поскольку проверка портала 29.09.2026 подтвердила, что механизм доступен; исключение редакции 1.12 сохраняется для остальных обязательных полей; (2) добавлено необязательное поле «Ссылка на чек-лист обследования»; ответственный инженер и дата обследования заполняются автоматически из задачи обследования; (3) добавлен п. 6.5 — автоматический учет времени техников в человеко-часах: одна задача на техника, начало по принятию задачи, окончание по завершению или выходу сделки со стадии «В работе», итог как сумма по всем техникам; добавлены тесты 28–29; (4) в п. 6.4 таймер заменен ссылкой на п. 6.5; (5) по факту проверки портала 30 сентября 2026 года: код даты окончания договора текущего подрядчика уточнен на UF_CRM_CURRENT_CONTRACTOR_END (UF_CRM_CONTRACT_END в портале — дата окончания собственного договора), добавлено поле UF_CRM_ICP_REASON, поля UF_CRM_NEXT_SERVICE_DATE и UF_CRM_ICP_TYPE созданы в портале с каноническими кодами, прежнее поле «Дата ближайшего обслуживания» (UF_CRM_SERVICE_SCHEDULE_DATE) в контракте не используется.</w:t>
      </w:r>
    </w:p>
    <w:p>
      <w:pPr>
        <w:pStyle w:val="ListBullet"/>
      </w:pPr>
      <w:r>
        <w:t xml:space="preserve">1.20 от 30 сентября 2026 года. По решению заказчика в Общую воронку добавлены три стадии обследования (раздел 22): «Обследование назначено», «Обследование проведено — на проверке», «Обследование принято»; статус качества определяется стадией, поле UF_CRM_SURVEY_QA_STATUS не создается; переход блокируется штатной настройкой «Обязательное на стадии»; техник переводит карточку с телефона; инженер и дата обследования назначаются координатором (автозаполнение из задачи не реализуется); коды полей приведены к порталу (UF_CRM_1788952323, UF_CRM_1788952307, UF_CRM_1789621099, UF_CRM_1789615030, UF_CRM_CURRENT_CONTRACTOR_END); время на обследование не учитывается — человеко-часы только в воронке «Обслуживание текущих клиентов»; бонусы техника входят в первый релиз. Пересчет ICP выполняют роботы CRM (при необходимости — Cloud Run).</w:t>
      </w:r>
    </w:p>
    <w:p>
      <w:pPr>
        <w:pStyle w:val="ListBullet"/>
      </w:pPr>
      <w:r>
        <w:t>1.20 (дополнение) от 1 октября 2026 года. Процесс обследования реализован на портале: роботы стадий, бонусы техника, отдельные поля и статус бонуса за ЛПР, список и фильтр для месячных итогов. По решению заказчика с семи полей ICP (UF_CRM_BUYING_ROLE, UF_CRM_OBJECT_COUNT, UF_CRM_CURRENT_CONTRACTOR_END, UF_CRM_TRIGGER, UF_CRM_NEXT_STEP, UF_CRM_NEXT_STEP_DATE, UF_CRM_OBJECT_AREA) снята общая обязательность — они обязательны только настройкой «Обязательное на стадии» (см. 22.8); добавлен раздел 23 — поэтапный план настройки Bitrix24 по Медиаплану v4.3.</w:t>
      </w:r>
    </w:p>
    <w:p>
      <w:pPr>
        <w:pStyle w:val="Heading1"/>
        <w:keepNext/>
      </w:pPr>
      <w:r>
        <w:rPr>
          <w:color w:val="000000"/>
          <w:u w:val="none"/>
        </w:rPr>
        <w:t>22 Корректировка Общей воронки</w:t>
      </w:r>
    </w:p>
    <w:p>
      <w:r>
        <w:t>Раздел вводит в Общую воронку три стадии обследования как обязательную первичную квалификацию: «Обследование назначено», «Обследование проведено — на проверке», «Обследование принято». Техник и координатор собирают полную информацию о клиенте, объекте, боли, участниках принятия решения и требуемой услуге; после приемки сделка проходит «Согласование условий», где координатор меняет ее воронку или ведет разовую сделку на счет и договор. Отдельного поля статуса качества нет: статус определяется стадией. Учет рабочего времени на обследовании не ведется; человеко-часы считаются только в воронке «Обслуживание текущих клиентов» (п. 6.5). Раздел 22 имеет приоритет над п. 3 и 6.1 в части обследования. Поля UF_CRM_ICP_TYPE, UF_CRM_ICP_SCORE и UF_CRM_ICP_SEGMENT остаются каноническими; дублирующие поля и отдельная шкала качества обследования запрещены.</w:t>
      </w:r>
    </w:p>
    <w:p>
      <w:pPr>
        <w:pStyle w:val="Heading2"/>
        <w:keepNext/>
      </w:pPr>
      <w:r>
        <w:rPr>
          <w:color w:val="000000"/>
          <w:u w:val="none"/>
        </w:rPr>
        <w:t xml:space="preserve">22.1 Стадии обследования в Общей воронке</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4"/>
        <w:gridCol w:w="3324"/>
        <w:gridCol w:w="3324"/>
      </w:tblGrid>
      <w:tr>
        <w:trPr>
          <w:tblHeader w:val="true"/>
          <w:cantSplit/>
          <w:tblHeader/>
        </w:trPr>
        <w:tc>
          <w:tcPr>
            <w:tcW w:type="dxa" w:w="1984"/>
            <w:vAlign w:val="center"/>
            <w:shd w:fill="E7EBEF"/>
            <w:tcMar>
              <w:top w:w="85" w:type="dxa"/>
              <w:start w:w="110" w:type="dxa"/>
              <w:bottom w:w="85" w:type="dxa"/>
              <w:end w:w="110" w:type="dxa"/>
              <w:left w:w="85" w:type="dxa"/>
              <w:right w:w="85" w:type="dxa"/>
            </w:tcMar>
          </w:tcPr>
          <w:p>
            <w:pPr>
              <w:keepNext/>
              <w:spacing w:after="60" w:line="252" w:lineRule="auto"/>
              <w:jc w:val="center"/>
            </w:pPr>
            <w:r>
              <w:rPr>
                <w:b/>
                <w:color w:val="000000"/>
                <w:sz w:val="17"/>
              </w:rPr>
              <w:t xml:space="preserve">Стадия</w:t>
            </w:r>
          </w:p>
        </w:tc>
        <w:tc>
          <w:tcPr>
            <w:tcW w:type="dxa" w:w="5669"/>
            <w:vAlign w:val="center"/>
            <w:shd w:fill="E7EBEF"/>
            <w:tcMar>
              <w:top w:w="85" w:type="dxa"/>
              <w:start w:w="110" w:type="dxa"/>
              <w:bottom w:w="85" w:type="dxa"/>
              <w:end w:w="110" w:type="dxa"/>
              <w:left w:w="85" w:type="dxa"/>
              <w:right w:w="85" w:type="dxa"/>
            </w:tcMar>
          </w:tcPr>
          <w:p>
            <w:pPr>
              <w:keepNext/>
              <w:spacing w:after="60" w:line="252" w:lineRule="auto"/>
              <w:jc w:val="center"/>
            </w:pPr>
            <w:r>
              <w:rPr>
                <w:b/>
                <w:color w:val="000000"/>
                <w:sz w:val="17"/>
              </w:rPr>
              <w:t xml:space="preserve">Вход, обязательные данные и автоматизация</w:t>
            </w:r>
          </w:p>
        </w:tc>
        <w:tc>
          <w:tcPr>
            <w:tcW w:type="dxa" w:w="1984"/>
            <w:vAlign w:val="center"/>
            <w:shd w:fill="E7EBEF"/>
            <w:tcMar>
              <w:top w:w="85" w:type="dxa"/>
              <w:start w:w="110" w:type="dxa"/>
              <w:bottom w:w="85" w:type="dxa"/>
              <w:end w:w="110" w:type="dxa"/>
              <w:left w:w="85" w:type="dxa"/>
              <w:right w:w="85" w:type="dxa"/>
            </w:tcMar>
          </w:tcPr>
          <w:p>
            <w:pPr>
              <w:keepNext/>
              <w:spacing w:after="60" w:line="252" w:lineRule="auto"/>
              <w:jc w:val="center"/>
            </w:pPr>
            <w:r>
              <w:rPr>
                <w:b/>
                <w:color w:val="000000"/>
                <w:sz w:val="17"/>
              </w:rPr>
              <w:t xml:space="preserve">Ответственный</w:t>
            </w:r>
          </w:p>
        </w:tc>
      </w:tr>
      <w:tr>
        <w:trPr>
          <w:cantSplit/>
        </w:trPr>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Обследование назначено</w:t>
            </w:r>
          </w:p>
        </w:tc>
        <w:tc>
          <w:tcPr>
            <w:tcW w:type="dxa" w:w="5669"/>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Вход: координатор перевел сделку на стадию и заполнил «Ответственный инженер», «Дата и время обследования», «Тип объекта» и адрес объекта; без этих полей переход блокируется. Робот создает задачу технику с датой обследования и ссылкой на карточку и чек-лист.</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Координатор</w:t>
            </w:r>
          </w:p>
        </w:tc>
      </w:tr>
      <w:tr>
        <w:trPr>
          <w:cantSplit/>
        </w:trPr>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Обследование проведено — на проверке</w:t>
            </w:r>
          </w:p>
        </w:tc>
        <w:tc>
          <w:tcPr>
            <w:tcW w:type="dxa" w:w="5669"/>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Техник с мобильного приложения переводит карточку после выезда. Обязательны: площадь, наличие АПС, недовольство подрядчиком, боль, проблема, результат обследования, контакт на объекте; при дефекте — файл чек-листа/акт/фото. Без них переход блокируется. Робот создает координатору задачу на приемку.</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Техник</w:t>
            </w:r>
          </w:p>
        </w:tc>
      </w:tr>
      <w:tr>
        <w:trPr>
          <w:cantSplit/>
        </w:trPr>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Обследование принято</w:t>
            </w:r>
          </w:p>
        </w:tc>
        <w:tc>
          <w:tcPr>
            <w:tcW w:type="dxa" w:w="5669"/>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Координатор проверяет полноту, уточняет количество объектов, роль в закупке, окончание договора подрядчика, следующий шаг и дату, затем переводит карточку на стадию. Переход блокируется без этих полей; запускается пересчет ICP.</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Координатор</w:t>
            </w:r>
          </w:p>
        </w:tc>
      </w:tr>
      <w:tr>
        <w:trPr>
          <w:cantSplit/>
        </w:trPr>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Маршрут после приемки</w:t>
            </w:r>
          </w:p>
        </w:tc>
        <w:tc>
          <w:tcPr>
            <w:tcW w:type="dxa" w:w="5669"/>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Встреча с ЛПР, расчет или КП, отложенный контроль либо закрытие с обязательной причиной. Координатор переводит ту же сделку в профильную воронку; данные обследования сохраняются без копии.</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Координатор</w:t>
            </w:r>
          </w:p>
        </w:tc>
      </w:tr>
      <w:tr>
        <w:trPr>
          <w:cantSplit/>
        </w:trPr>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Возврат на доработку</w:t>
            </w:r>
          </w:p>
        </w:tc>
        <w:tc>
          <w:tcPr>
            <w:tcW w:type="dxa" w:w="5669"/>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При неполных или общих формулировках координатор возвращает карточку на «Обследование назначено» с комментарием; робот создает технику задачу на доработку.</w:t>
            </w:r>
          </w:p>
        </w:tc>
        <w:tc>
          <w:tcPr>
            <w:tcW w:type="dxa" w:w="198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Координатор</w:t>
            </w:r>
          </w:p>
        </w:tc>
      </w:tr>
    </w:tbl>
    <w:p/>
    <w:p>
      <w:pPr>
        <w:pStyle w:val="Heading2"/>
        <w:keepNext/>
      </w:pPr>
      <w:r>
        <w:rPr>
          <w:color w:val="000000"/>
          <w:u w:val="none"/>
        </w:rPr>
        <w:t xml:space="preserve">22.2 Поля стадий и владельцы данных</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3"/>
        <w:gridCol w:w="2493"/>
        <w:gridCol w:w="2493"/>
        <w:gridCol w:w="2493"/>
      </w:tblGrid>
      <w:tr>
        <w:trPr>
          <w:tblHeader w:val="true"/>
          <w:cantSplit/>
          <w:tblHeader/>
        </w:trPr>
        <w:tc>
          <w:tcPr>
            <w:tcW w:type="dxa" w:w="2494"/>
            <w:vAlign w:val="center"/>
            <w:shd w:fill="E7EBEF"/>
            <w:tcMar>
              <w:top w:w="85" w:type="dxa"/>
              <w:start w:w="110" w:type="dxa"/>
              <w:bottom w:w="85" w:type="dxa"/>
              <w:end w:w="110" w:type="dxa"/>
              <w:left w:w="85" w:type="dxa"/>
              <w:right w:w="85" w:type="dxa"/>
            </w:tcMar>
          </w:tcPr>
          <w:p>
            <w:pPr>
              <w:keepNext/>
              <w:spacing w:after="60" w:line="252" w:lineRule="auto"/>
              <w:jc w:val="center"/>
            </w:pPr>
            <w:r>
              <w:rPr>
                <w:b/>
                <w:color w:val="000000"/>
                <w:sz w:val="17"/>
              </w:rPr>
              <w:t xml:space="preserve">Поле</w:t>
            </w:r>
          </w:p>
        </w:tc>
        <w:tc>
          <w:tcPr>
            <w:tcW w:type="dxa" w:w="3288"/>
            <w:vAlign w:val="center"/>
            <w:shd w:fill="E7EBEF"/>
            <w:tcMar>
              <w:top w:w="85" w:type="dxa"/>
              <w:start w:w="110" w:type="dxa"/>
              <w:bottom w:w="85" w:type="dxa"/>
              <w:end w:w="110" w:type="dxa"/>
              <w:left w:w="85" w:type="dxa"/>
              <w:right w:w="85" w:type="dxa"/>
            </w:tcMar>
          </w:tcPr>
          <w:p>
            <w:pPr>
              <w:keepNext/>
              <w:spacing w:after="60" w:line="252" w:lineRule="auto"/>
              <w:jc w:val="center"/>
            </w:pPr>
            <w:r>
              <w:rPr>
                <w:b/>
                <w:color w:val="000000"/>
                <w:sz w:val="17"/>
              </w:rPr>
              <w:t xml:space="preserve">Тип и правило</w:t>
            </w:r>
          </w:p>
        </w:tc>
        <w:tc>
          <w:tcPr>
            <w:tcW w:type="dxa" w:w="1928"/>
            <w:vAlign w:val="center"/>
            <w:shd w:fill="E7EBEF"/>
            <w:tcMar>
              <w:top w:w="85" w:type="dxa"/>
              <w:start w:w="110" w:type="dxa"/>
              <w:bottom w:w="85" w:type="dxa"/>
              <w:end w:w="110" w:type="dxa"/>
              <w:left w:w="85" w:type="dxa"/>
              <w:right w:w="85" w:type="dxa"/>
            </w:tcMar>
          </w:tcPr>
          <w:p>
            <w:pPr>
              <w:keepNext/>
              <w:spacing w:after="60" w:line="252" w:lineRule="auto"/>
              <w:jc w:val="center"/>
            </w:pPr>
            <w:r>
              <w:rPr>
                <w:b/>
                <w:color w:val="000000"/>
                <w:sz w:val="17"/>
              </w:rPr>
              <w:t xml:space="preserve">Кто заполняет</w:t>
            </w:r>
          </w:p>
        </w:tc>
        <w:tc>
          <w:tcPr>
            <w:tcW w:type="dxa" w:w="1928"/>
            <w:vAlign w:val="center"/>
            <w:shd w:fill="E7EBEF"/>
            <w:tcMar>
              <w:top w:w="85" w:type="dxa"/>
              <w:start w:w="110" w:type="dxa"/>
              <w:bottom w:w="85" w:type="dxa"/>
              <w:end w:w="110" w:type="dxa"/>
              <w:left w:w="85" w:type="dxa"/>
              <w:right w:w="85" w:type="dxa"/>
            </w:tcMar>
          </w:tcPr>
          <w:p>
            <w:pPr>
              <w:keepNext/>
              <w:spacing w:after="60" w:line="252" w:lineRule="auto"/>
              <w:jc w:val="center"/>
            </w:pPr>
            <w:r>
              <w:rPr>
                <w:b/>
                <w:color w:val="000000"/>
                <w:sz w:val="17"/>
              </w:rPr>
              <w:t xml:space="preserve">Влияние</w:t>
            </w:r>
          </w:p>
        </w:tc>
      </w:tr>
      <w:tr>
        <w:trPr>
          <w:cantSplit/>
        </w:trPr>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Ответственный инженер (UF_CRM_1788952323)</w:t>
            </w:r>
          </w:p>
        </w:tc>
        <w:tc>
          <w:tcPr>
            <w:tcW w:type="dxa" w:w="328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Сотрудник; техник обследования. Обязательно на «назначено»</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Координатор</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Атрибуция обследования и бонуса</w:t>
            </w:r>
          </w:p>
        </w:tc>
      </w:tr>
      <w:tr>
        <w:trPr>
          <w:cantSplit/>
        </w:trPr>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Дата и время обследования (UF_CRM_1788952307)</w:t>
            </w:r>
          </w:p>
        </w:tc>
        <w:tc>
          <w:tcPr>
            <w:tcW w:type="dxa" w:w="328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Дата и время; план. Обязательно на «назначено»</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Координатор</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Контроль SLA и visit_done</w:t>
            </w:r>
          </w:p>
        </w:tc>
      </w:tr>
      <w:tr>
        <w:trPr>
          <w:cantSplit/>
        </w:trPr>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Тип объекта (UF_CRM_1789621099; контрактное имя UF_CRM_OBJECT_TYPE)</w:t>
            </w:r>
          </w:p>
        </w:tc>
        <w:tc>
          <w:tcPr>
            <w:tcW w:type="dxa" w:w="328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Справочник. Обязательно на «назначено»</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Координатор или техник</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+15 для склада, логистики или производства</w:t>
            </w:r>
          </w:p>
        </w:tc>
      </w:tr>
      <w:tr>
        <w:trPr>
          <w:cantSplit/>
        </w:trPr>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Площадь объекта, м² (UF_CRM_OBJECT_AREA)</w:t>
            </w:r>
          </w:p>
        </w:tc>
        <w:tc>
          <w:tcPr>
            <w:tcW w:type="dxa" w:w="328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Число, м². Обязательно на «на проверке»</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Техник</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+20 при площади от 3 000 м²</w:t>
            </w:r>
          </w:p>
        </w:tc>
      </w:tr>
      <w:tr>
        <w:trPr>
          <w:cantSplit/>
        </w:trPr>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UF_CRM_APS_EXISTS</w:t>
            </w:r>
          </w:p>
        </w:tc>
        <w:tc>
          <w:tcPr>
            <w:tcW w:type="dxa" w:w="328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Да / нет. Обязательно на «на проверке»</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Техник</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+15 при действующей АПС</w:t>
            </w:r>
          </w:p>
        </w:tc>
      </w:tr>
      <w:tr>
        <w:trPr>
          <w:cantSplit/>
        </w:trPr>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UF_CRM_CURRENT_CONTRACTOR</w:t>
            </w:r>
          </w:p>
        </w:tc>
        <w:tc>
          <w:tcPr>
            <w:tcW w:type="dxa" w:w="328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Да / нет; наличие текущего подрядчика</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Техник или координатор</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Основание для проверки боли и срока договора</w:t>
            </w:r>
          </w:p>
        </w:tc>
      </w:tr>
      <w:tr>
        <w:trPr>
          <w:cantSplit/>
        </w:trPr>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UF_CRM_1790774986 (создано)</w:t>
            </w:r>
          </w:p>
        </w:tc>
        <w:tc>
          <w:tcPr>
            <w:tcW w:type="dxa" w:w="328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Да / нет / не выяснено. Обязательно на «на проверке»</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Техник</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+10 при подтвержденном недовольстве</w:t>
            </w:r>
          </w:p>
        </w:tc>
      </w:tr>
      <w:tr>
        <w:trPr>
          <w:cantSplit/>
        </w:trPr>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UF_CRM_PAIN</w:t>
            </w:r>
          </w:p>
        </w:tc>
        <w:tc>
          <w:tcPr>
            <w:tcW w:type="dxa" w:w="328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Множественный список и комментарий. Обязательно на «на проверке»</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Техник</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Квалификация и подготовка встречи</w:t>
            </w:r>
          </w:p>
        </w:tc>
      </w:tr>
      <w:tr>
        <w:trPr>
          <w:cantSplit/>
        </w:trPr>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UF_CRM_1790774906 (создано)</w:t>
            </w:r>
          </w:p>
        </w:tc>
        <w:tc>
          <w:tcPr>
            <w:tcW w:type="dxa" w:w="328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Многострочный текст; конкретный дефект или задача. Обязательно на «на проверке»</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Техник</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Обязательный контроль качества</w:t>
            </w:r>
          </w:p>
        </w:tc>
      </w:tr>
      <w:tr>
        <w:trPr>
          <w:cantSplit/>
        </w:trPr>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UF_CRM_SURVEY_RESULT</w:t>
            </w:r>
          </w:p>
        </w:tc>
        <w:tc>
          <w:tcPr>
            <w:tcW w:type="dxa" w:w="328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Результат обследования. Обязательно на «на проверке»</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Техник</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Контроль качества и маршрут</w:t>
            </w:r>
          </w:p>
        </w:tc>
      </w:tr>
      <w:tr>
        <w:trPr>
          <w:cantSplit/>
        </w:trPr>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Файлы чек-листов и актов (UF_CRM_1789615030)</w:t>
            </w:r>
          </w:p>
        </w:tc>
        <w:tc>
          <w:tcPr>
            <w:tcW w:type="dxa" w:w="328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Файл, фото или акт. Обязательно на «на проверке» при дефекте; отдельное поле подтверждения не создается</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Техник</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Обязательный контроль качества</w:t>
            </w:r>
          </w:p>
        </w:tc>
      </w:tr>
      <w:tr>
        <w:trPr>
          <w:cantSplit/>
        </w:trPr>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UF_CRM_OBJECT_COUNT</w:t>
            </w:r>
          </w:p>
        </w:tc>
        <w:tc>
          <w:tcPr>
            <w:tcW w:type="dxa" w:w="328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Целое число. Обязательно на «принято»</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Координатор</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+10 при двух объектах и более</w:t>
            </w:r>
          </w:p>
        </w:tc>
      </w:tr>
      <w:tr>
        <w:trPr>
          <w:cantSplit/>
        </w:trPr>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UF_CRM_BUYING_ROLE</w:t>
            </w:r>
          </w:p>
        </w:tc>
        <w:tc>
          <w:tcPr>
            <w:tcW w:type="dxa" w:w="328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ЛПР / влияющий / procurement / технический / инициатор. Обязательно на «принято»</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Координатор</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+10 для технического ЛПР</w:t>
            </w:r>
          </w:p>
        </w:tc>
      </w:tr>
      <w:tr>
        <w:trPr>
          <w:cantSplit/>
        </w:trPr>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UF_CRM_CURRENT_CONTRACTOR_END</w:t>
            </w:r>
          </w:p>
        </w:tc>
        <w:tc>
          <w:tcPr>
            <w:tcW w:type="dxa" w:w="328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Дата окончания договора текущего подрядчика. Обязательно на «принято»</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Координатор</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+10 при окончании в течение 90 дней</w:t>
            </w:r>
          </w:p>
        </w:tc>
      </w:tr>
      <w:tr>
        <w:trPr>
          <w:cantSplit/>
        </w:trPr>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UF_CRM_TRIGGER</w:t>
            </w:r>
          </w:p>
        </w:tc>
        <w:tc>
          <w:tcPr>
            <w:tcW w:type="dxa" w:w="328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Утвержденный справочник триггеров</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Техник или координатор</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+5 для аудита или проверки</w:t>
            </w:r>
          </w:p>
        </w:tc>
      </w:tr>
      <w:tr>
        <w:trPr>
          <w:cantSplit/>
        </w:trPr>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UF_CRM_NEXT_STEP</w:t>
            </w:r>
          </w:p>
        </w:tc>
        <w:tc>
          <w:tcPr>
            <w:tcW w:type="dxa" w:w="328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Справочник следующего шага. Обязательно на «принято»</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Координатор</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+5 только вместе с датой</w:t>
            </w:r>
          </w:p>
        </w:tc>
      </w:tr>
      <w:tr>
        <w:trPr>
          <w:cantSplit/>
        </w:trPr>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UF_CRM_NEXT_STEP_DATE</w:t>
            </w:r>
          </w:p>
        </w:tc>
        <w:tc>
          <w:tcPr>
            <w:tcW w:type="dxa" w:w="328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Дата и время. Обязательно на «принято»</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Координатор</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+5 только вместе со следующим шагом</w:t>
            </w:r>
          </w:p>
        </w:tc>
      </w:tr>
      <w:tr>
        <w:trPr>
          <w:cantSplit/>
        </w:trPr>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UF_CRM_ICP_SCORE</w:t>
            </w:r>
          </w:p>
        </w:tc>
        <w:tc>
          <w:tcPr>
            <w:tcW w:type="dxa" w:w="328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Число 0–100; вычисляемое</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Робот</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Сумма условий раздела 5</w:t>
            </w:r>
          </w:p>
        </w:tc>
      </w:tr>
      <w:tr>
        <w:trPr>
          <w:cantSplit/>
        </w:trPr>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UF_CRM_ICP_SEGMENT</w:t>
            </w:r>
          </w:p>
        </w:tc>
        <w:tc>
          <w:tcPr>
            <w:tcW w:type="dxa" w:w="328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A / B / C; вычисляемое</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Робот</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A 70–100; B 50–69; C менее 50</w:t>
            </w:r>
          </w:p>
        </w:tc>
      </w:tr>
      <w:tr>
        <w:trPr>
          <w:cantSplit/>
        </w:trPr>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UF_CRM_1790774938 / UF_CRM_1790774946 (создано)</w:t>
            </w:r>
          </w:p>
        </w:tc>
        <w:tc>
          <w:tcPr>
            <w:tcW w:type="dxa" w:w="328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Да/нет и дата состоявшейся повторной встречи с ЛПР</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Координатор</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Условие бонуса 5 000 ₸</w:t>
            </w:r>
          </w:p>
        </w:tc>
      </w:tr>
      <w:tr>
        <w:trPr>
          <w:cantSplit/>
        </w:trPr>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UF_CRM_1790774947 (создано)</w:t>
            </w:r>
          </w:p>
        </w:tc>
        <w:tc>
          <w:tcPr>
            <w:tcW w:type="dxa" w:w="328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Деньги; сумма поступившей первой оплаты</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Координатор вручную или интеграция</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Условие запуска договорного бонуса</w:t>
            </w:r>
          </w:p>
        </w:tc>
      </w:tr>
      <w:tr>
        <w:trPr>
          <w:cantSplit/>
        </w:trPr>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UF_CRM_1790774949 (создано)</w:t>
            </w:r>
          </w:p>
        </w:tc>
        <w:tc>
          <w:tcPr>
            <w:tcW w:type="dxa" w:w="328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Дата первой оплаты</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Координатор вручную или интеграция</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Подтверждение события оплаты</w:t>
            </w:r>
          </w:p>
        </w:tc>
      </w:tr>
      <w:tr>
        <w:trPr>
          <w:cantSplit/>
        </w:trPr>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UF_CRM_GROSS_PROFIT</w:t>
            </w:r>
          </w:p>
        </w:tc>
        <w:tc>
          <w:tcPr>
            <w:tcW w:type="dxa" w:w="328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Деньги; подтвержденная валовая прибыль</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Координатор вручную или интеграция</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10 000 ₸ до 1 млн ₸ включительно; 20 000 ₸ свыше 1 млн ₸</w:t>
            </w:r>
          </w:p>
        </w:tc>
      </w:tr>
      <w:tr>
        <w:trPr>
          <w:cantSplit/>
        </w:trPr>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UF_CRM_1790774950 (создано)</w:t>
            </w:r>
          </w:p>
        </w:tc>
        <w:tc>
          <w:tcPr>
            <w:tcW w:type="dxa" w:w="328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Номер платежа, ссылка на документ или комментарий</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Координатор</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Основание для проверки начисления</w:t>
            </w:r>
          </w:p>
        </w:tc>
      </w:tr>
      <w:tr>
        <w:trPr>
          <w:cantSplit/>
        </w:trPr>
        <w:tc>
          <w:tcPr>
            <w:tcW w:type="dxa" w:w="249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UF_CRM_1790774951 / UF_CRM_1790774987 (создано)</w:t>
            </w:r>
          </w:p>
        </w:tc>
        <w:tc>
          <w:tcPr>
            <w:tcW w:type="dxa" w:w="328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Деньги и список статусов бонуса</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Робот</w:t>
            </w:r>
          </w:p>
        </w:tc>
        <w:tc>
          <w:tcPr>
            <w:tcW w:type="dxa" w:w="192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 xml:space="preserve">Предварительная сумма и статус начисления</w:t>
            </w:r>
          </w:p>
        </w:tc>
      </w:tr>
    </w:tbl>
    <w:p/>
    <w:p>
      <w:pPr>
        <w:pStyle w:val="Heading2"/>
        <w:keepNext/>
      </w:pPr>
      <w:r>
        <w:rPr>
          <w:color w:val="000000"/>
          <w:u w:val="none"/>
        </w:rPr>
        <w:t>22.3 Автоматический пересчет ICP</w:t>
      </w:r>
    </w:p>
    <w:p>
      <w:r>
        <w:t>В воронке обследования роботы CRM вычисляют UF_CRM_ICP_SCORE заново при входе на стадии обследования, в том числе на «Обследование принято». При правке на той же стадии пересчет происходит при следующем переходе. Триггеры FIELD_CHANGED не использовать; вебхук для пересчета без перехода допускается как отдельно согласованная доработка. При каждом расчете баллы складываются из текущих значений, а не прибавляются к прежнему результату.</w:t>
      </w:r>
      <w:r>
        <w:rPr>
          <w:rStyle w:val="CommentReference"/>
        </w:rPr>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4"/>
        <w:gridCol w:w="3324"/>
        <w:gridCol w:w="3324"/>
      </w:tblGrid>
      <w:tr>
        <w:trPr>
          <w:tblHeader w:val="true"/>
          <w:cantSplit/>
          <w:tblHeader/>
        </w:trPr>
        <w:tc>
          <w:tcPr>
            <w:tcW w:type="dxa" w:w="5669"/>
            <w:vAlign w:val="center"/>
            <w:shd w:fill="E7EBEF"/>
            <w:tcMar>
              <w:top w:w="85" w:type="dxa"/>
              <w:start w:w="110" w:type="dxa"/>
              <w:bottom w:w="85" w:type="dxa"/>
              <w:end w:w="110" w:type="dxa"/>
              <w:left w:w="85" w:type="dxa"/>
              <w:right w:w="85" w:type="dxa"/>
            </w:tcMar>
          </w:tcPr>
          <w:p>
            <w:pPr>
              <w:keepNext/>
              <w:spacing w:after="60" w:line="252" w:lineRule="auto"/>
              <w:jc w:val="center"/>
            </w:pPr>
            <w:r>
              <w:rPr>
                <w:b/>
                <w:color w:val="000000"/>
                <w:sz w:val="17"/>
              </w:rPr>
              <w:t>Условие</w:t>
            </w:r>
          </w:p>
        </w:tc>
        <w:tc>
          <w:tcPr>
            <w:tcW w:type="dxa" w:w="1134"/>
            <w:vAlign w:val="center"/>
            <w:shd w:fill="E7EBEF"/>
            <w:tcMar>
              <w:top w:w="85" w:type="dxa"/>
              <w:start w:w="110" w:type="dxa"/>
              <w:bottom w:w="85" w:type="dxa"/>
              <w:end w:w="110" w:type="dxa"/>
              <w:left w:w="85" w:type="dxa"/>
              <w:right w:w="85" w:type="dxa"/>
            </w:tcMar>
          </w:tcPr>
          <w:p>
            <w:pPr>
              <w:keepNext/>
              <w:spacing w:after="60" w:line="252" w:lineRule="auto"/>
              <w:jc w:val="center"/>
            </w:pPr>
            <w:r>
              <w:rPr>
                <w:b/>
                <w:color w:val="000000"/>
                <w:sz w:val="17"/>
              </w:rPr>
              <w:t>Баллы</w:t>
            </w:r>
          </w:p>
        </w:tc>
        <w:tc>
          <w:tcPr>
            <w:tcW w:type="dxa" w:w="2835"/>
            <w:vAlign w:val="center"/>
            <w:shd w:fill="E7EBEF"/>
            <w:tcMar>
              <w:top w:w="85" w:type="dxa"/>
              <w:start w:w="110" w:type="dxa"/>
              <w:bottom w:w="85" w:type="dxa"/>
              <w:end w:w="110" w:type="dxa"/>
              <w:left w:w="85" w:type="dxa"/>
              <w:right w:w="85" w:type="dxa"/>
            </w:tcMar>
          </w:tcPr>
          <w:p>
            <w:pPr>
              <w:keepNext/>
              <w:spacing w:after="60" w:line="252" w:lineRule="auto"/>
              <w:jc w:val="center"/>
            </w:pPr>
            <w:r>
              <w:rPr>
                <w:b/>
                <w:color w:val="000000"/>
                <w:sz w:val="17"/>
              </w:rPr>
              <w:t>Источник</w:t>
            </w:r>
          </w:p>
        </w:tc>
      </w:tr>
      <w:tr>
        <w:trPr>
          <w:cantSplit/>
        </w:trPr>
        <w:tc>
          <w:tcPr>
            <w:tcW w:type="dxa" w:w="5669"/>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Площадь объекта не менее 3 000 м²</w:t>
            </w:r>
          </w:p>
        </w:tc>
        <w:tc>
          <w:tcPr>
            <w:tcW w:type="dxa" w:w="113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+20</w:t>
            </w:r>
          </w:p>
        </w:tc>
        <w:tc>
          <w:tcPr>
            <w:tcW w:type="dxa" w:w="283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UF_CRM_OBJECT_AREA</w:t>
            </w:r>
          </w:p>
        </w:tc>
      </w:tr>
      <w:tr>
        <w:trPr>
          <w:cantSplit/>
        </w:trPr>
        <w:tc>
          <w:tcPr>
            <w:tcW w:type="dxa" w:w="5669"/>
            <w:vAlign w:val="center"/>
            <w:tcMar>
              <w:top w:w="85" w:type="dxa"/>
              <w:start w:w="110" w:type="dxa"/>
              <w:bottom w:w="85" w:type="dxa"/>
              <w:end w:w="110" w:type="dxa"/>
              <w:left w:w="85" w:type="dxa"/>
              <w:right w:w="85" w:type="dxa"/>
            </w:tcMar>
            <w:shd w:fill="FFFFFF"/>
          </w:tcPr>
          <w:p>
            <w:pPr>
              <w:spacing w:after="60" w:line="252" w:lineRule="auto"/>
            </w:pPr>
            <w:r>
              <w:rPr>
                <w:color w:val="000000"/>
                <w:sz w:val="17"/>
              </w:rPr>
              <w:t>Склад, логистика или производство</w:t>
            </w:r>
          </w:p>
        </w:tc>
        <w:tc>
          <w:tcPr>
            <w:tcW w:type="dxa" w:w="113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+15</w:t>
            </w:r>
          </w:p>
        </w:tc>
        <w:tc>
          <w:tcPr>
            <w:tcW w:type="dxa" w:w="283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UF_CRM_OBJECT_TYPE</w:t>
            </w:r>
          </w:p>
        </w:tc>
      </w:tr>
      <w:tr>
        <w:trPr>
          <w:cantSplit/>
        </w:trPr>
        <w:tc>
          <w:tcPr>
            <w:tcW w:type="dxa" w:w="5669"/>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Есть действующая АПС</w:t>
            </w:r>
          </w:p>
        </w:tc>
        <w:tc>
          <w:tcPr>
            <w:tcW w:type="dxa" w:w="113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+15</w:t>
            </w:r>
          </w:p>
        </w:tc>
        <w:tc>
          <w:tcPr>
            <w:tcW w:type="dxa" w:w="283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UF_CRM_APS_EXISTS</w:t>
            </w:r>
          </w:p>
        </w:tc>
      </w:tr>
      <w:tr>
        <w:trPr>
          <w:cantSplit/>
        </w:trPr>
        <w:tc>
          <w:tcPr>
            <w:tcW w:type="dxa" w:w="5669"/>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Два объекта и более</w:t>
            </w:r>
          </w:p>
        </w:tc>
        <w:tc>
          <w:tcPr>
            <w:tcW w:type="dxa" w:w="113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+10</w:t>
            </w:r>
          </w:p>
        </w:tc>
        <w:tc>
          <w:tcPr>
            <w:tcW w:type="dxa" w:w="283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UF_CRM_OBJECT_COUNT</w:t>
            </w:r>
          </w:p>
        </w:tc>
      </w:tr>
      <w:tr>
        <w:trPr>
          <w:cantSplit/>
        </w:trPr>
        <w:tc>
          <w:tcPr>
            <w:tcW w:type="dxa" w:w="5669"/>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Контакт является техническим ЛПР</w:t>
            </w:r>
          </w:p>
        </w:tc>
        <w:tc>
          <w:tcPr>
            <w:tcW w:type="dxa" w:w="113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+10</w:t>
            </w:r>
          </w:p>
        </w:tc>
        <w:tc>
          <w:tcPr>
            <w:tcW w:type="dxa" w:w="283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UF_CRM_BUYING_ROLE</w:t>
            </w:r>
          </w:p>
        </w:tc>
      </w:tr>
      <w:tr>
        <w:trPr>
          <w:cantSplit/>
        </w:trPr>
        <w:tc>
          <w:tcPr>
            <w:tcW w:type="dxa" w:w="5669"/>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Подтверждено недовольство текущим подрядчиком</w:t>
            </w:r>
          </w:p>
        </w:tc>
        <w:tc>
          <w:tcPr>
            <w:tcW w:type="dxa" w:w="113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+10</w:t>
            </w:r>
          </w:p>
        </w:tc>
        <w:tc>
          <w:tcPr>
            <w:tcW w:type="dxa" w:w="283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UF_CRM_1790774986</w:t>
            </w:r>
          </w:p>
        </w:tc>
      </w:tr>
      <w:tr>
        <w:trPr>
          <w:cantSplit/>
        </w:trPr>
        <w:tc>
          <w:tcPr>
            <w:tcW w:type="dxa" w:w="5669"/>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Договор текущего подрядчика заканчивается в течение 90 дней</w:t>
            </w:r>
          </w:p>
        </w:tc>
        <w:tc>
          <w:tcPr>
            <w:tcW w:type="dxa" w:w="113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+10</w:t>
            </w:r>
          </w:p>
        </w:tc>
        <w:tc>
          <w:tcPr>
            <w:tcW w:type="dxa" w:w="283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UF_CRM_CURRENT_CONTRACTOR_END</w:t>
            </w:r>
          </w:p>
        </w:tc>
      </w:tr>
      <w:tr>
        <w:trPr>
          <w:cantSplit/>
        </w:trPr>
        <w:tc>
          <w:tcPr>
            <w:tcW w:type="dxa" w:w="5669"/>
            <w:vAlign w:val="center"/>
            <w:tcMar>
              <w:top w:w="85" w:type="dxa"/>
              <w:start w:w="110" w:type="dxa"/>
              <w:bottom w:w="85" w:type="dxa"/>
              <w:end w:w="110" w:type="dxa"/>
              <w:left w:w="85" w:type="dxa"/>
              <w:right w:w="85" w:type="dxa"/>
            </w:tcMar>
            <w:shd w:fill="FFFFFF"/>
          </w:tcPr>
          <w:p>
            <w:pPr>
              <w:spacing w:after="60" w:line="252" w:lineRule="auto"/>
            </w:pPr>
            <w:r>
              <w:rPr>
                <w:color w:val="000000"/>
                <w:sz w:val="17"/>
              </w:rPr>
              <w:t>Триггер — аудит или проверка</w:t>
            </w:r>
          </w:p>
        </w:tc>
        <w:tc>
          <w:tcPr>
            <w:tcW w:type="dxa" w:w="113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+5</w:t>
            </w:r>
          </w:p>
        </w:tc>
        <w:tc>
          <w:tcPr>
            <w:tcW w:type="dxa" w:w="283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UF_CRM_TRIGGER</w:t>
            </w:r>
          </w:p>
        </w:tc>
      </w:tr>
      <w:tr>
        <w:trPr>
          <w:cantSplit/>
        </w:trPr>
        <w:tc>
          <w:tcPr>
            <w:tcW w:type="dxa" w:w="5669"/>
            <w:vAlign w:val="center"/>
            <w:tcMar>
              <w:top w:w="85" w:type="dxa"/>
              <w:start w:w="110" w:type="dxa"/>
              <w:bottom w:w="85" w:type="dxa"/>
              <w:end w:w="110" w:type="dxa"/>
              <w:left w:w="85" w:type="dxa"/>
              <w:right w:w="85" w:type="dxa"/>
            </w:tcMar>
            <w:shd w:fill="FFFFFF"/>
          </w:tcPr>
          <w:p>
            <w:pPr>
              <w:spacing w:after="60" w:line="252" w:lineRule="auto"/>
            </w:pPr>
            <w:r>
              <w:rPr>
                <w:color w:val="000000"/>
                <w:sz w:val="17"/>
              </w:rPr>
              <w:t>Согласованы следующий шаг и дата</w:t>
            </w:r>
          </w:p>
        </w:tc>
        <w:tc>
          <w:tcPr>
            <w:tcW w:type="dxa" w:w="1134"/>
            <w:vAlign w:val="center"/>
            <w:tcMar>
              <w:top w:w="85" w:type="dxa"/>
              <w:start w:w="110" w:type="dxa"/>
              <w:bottom w:w="85" w:type="dxa"/>
              <w:end w:w="110" w:type="dxa"/>
              <w:left w:w="85" w:type="dxa"/>
              <w:right w:w="85" w:type="dxa"/>
            </w:tcMar>
            <w:shd w:fill="FFFFFF"/>
          </w:tcPr>
          <w:p>
            <w:pPr>
              <w:spacing w:after="60" w:line="252" w:lineRule="auto"/>
            </w:pPr>
            <w:r>
              <w:rPr>
                <w:color w:val="000000"/>
                <w:sz w:val="17"/>
              </w:rPr>
              <w:t>+5</w:t>
            </w:r>
          </w:p>
        </w:tc>
        <w:tc>
          <w:tcPr>
            <w:tcW w:type="dxa" w:w="2835"/>
            <w:vAlign w:val="center"/>
            <w:tcMar>
              <w:top w:w="85" w:type="dxa"/>
              <w:start w:w="110" w:type="dxa"/>
              <w:bottom w:w="85" w:type="dxa"/>
              <w:end w:w="110" w:type="dxa"/>
              <w:left w:w="85" w:type="dxa"/>
              <w:right w:w="85" w:type="dxa"/>
            </w:tcMar>
            <w:shd w:fill="FFFFFF"/>
          </w:tcPr>
          <w:p>
            <w:pPr>
              <w:spacing w:after="60" w:line="252" w:lineRule="auto"/>
            </w:pPr>
            <w:r>
              <w:rPr>
                <w:color w:val="000000"/>
                <w:sz w:val="17"/>
              </w:rPr>
              <w:t>UF_CRM_NEXT_STEP и UF_CRM_NEXT_STEP_DATE</w:t>
            </w:r>
          </w:p>
        </w:tc>
      </w:tr>
    </w:tbl>
    <w:p/>
    <w:p>
      <w:pPr>
        <w:pStyle w:val="ListBullet"/>
      </w:pPr>
      <w:r>
        <w:t>Пустое, неизвестное или неподтвержденное значение дает 0 баллов; отрицательные баллы не применяются.</w:t>
      </w:r>
    </w:p>
    <w:p>
      <w:pPr>
        <w:pStyle w:val="ListBullet"/>
      </w:pPr>
      <w:r>
        <w:t>Максимум — 100 баллов. Ручное изменение класса запрещено; корректировка балла руководителем требует комментария и повторного автоматического расчета.</w:t>
      </w:r>
    </w:p>
    <w:p>
      <w:pPr>
        <w:pStyle w:val="ListBullet"/>
      </w:pPr>
      <w:r>
        <w:t>При выполненном пересчете сохранять дату, инициатора и версию формулы; журнал прежнего и нового балла включить в проверку истории. Автоматическое журналирование каждой правки исходных полей пока не считать подтвержденным.</w:t>
      </w:r>
    </w:p>
    <w:p>
      <w:pPr>
        <w:pStyle w:val="ListBullet"/>
      </w:pPr>
      <w:r>
        <w:t>Техник и координатор меняют только исходные поля; UF_CRM_ICP_SCORE и UF_CRM_ICP_SEGMENT им недоступны для редактирования.</w:t>
      </w:r>
    </w:p>
    <w:p>
      <w:pPr>
        <w:pStyle w:val="Heading2"/>
        <w:keepNext/>
      </w:pPr>
      <w:r>
        <w:rPr>
          <w:color w:val="000000"/>
          <w:u w:val="none"/>
        </w:rPr>
        <w:t xml:space="preserve">22.4 Контроль качества обследования</w:t>
      </w:r>
    </w:p>
    <w:p>
      <w:r>
        <w:t xml:space="preserve">Качество обследования не является второй шкалой ICP. Отдельное поле UF_CRM_SURVEY_QA_STATUS не создается: статус качества определяется стадией — «Обследование назначено» (работа), «Обследование проведено — на проверке» (ожидает приемки), «Обследование принято» (принято). Переход блокируется штатной настройкой Bitrix24 «Обязательное на стадии» (механизм подтвержден проверкой портала 29.09.2026, ред. 1.19); содержательные условия таблицы ниже проверяет координатор. При неприемке карточка возвращается на «Обследование назначено» с комментарием. Исключение — закрытие по причине «Потребность не подтверждена» при заполненной причине.</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86"/>
        <w:gridCol w:w="4986"/>
      </w:tblGrid>
      <w:tr>
        <w:trPr>
          <w:tblHeader w:val="true"/>
          <w:cantSplit/>
          <w:tblHeader/>
        </w:trPr>
        <w:tc>
          <w:tcPr>
            <w:tcW w:type="dxa" w:w="2721"/>
            <w:vAlign w:val="center"/>
            <w:shd w:fill="E7EBEF"/>
            <w:tcMar>
              <w:top w:w="85" w:type="dxa"/>
              <w:start w:w="110" w:type="dxa"/>
              <w:bottom w:w="85" w:type="dxa"/>
              <w:end w:w="110" w:type="dxa"/>
              <w:left w:w="85" w:type="dxa"/>
              <w:right w:w="85" w:type="dxa"/>
            </w:tcMar>
          </w:tcPr>
          <w:p>
            <w:pPr>
              <w:keepNext/>
              <w:spacing w:after="60" w:line="252" w:lineRule="auto"/>
              <w:jc w:val="center"/>
            </w:pPr>
            <w:r>
              <w:rPr>
                <w:b/>
                <w:color w:val="000000"/>
                <w:sz w:val="17"/>
              </w:rPr>
              <w:t>Проверка</w:t>
            </w:r>
          </w:p>
        </w:tc>
        <w:tc>
          <w:tcPr>
            <w:tcW w:type="dxa" w:w="6917"/>
            <w:vAlign w:val="center"/>
            <w:shd w:fill="E7EBEF"/>
            <w:tcMar>
              <w:top w:w="85" w:type="dxa"/>
              <w:start w:w="110" w:type="dxa"/>
              <w:bottom w:w="85" w:type="dxa"/>
              <w:end w:w="110" w:type="dxa"/>
              <w:left w:w="85" w:type="dxa"/>
              <w:right w:w="85" w:type="dxa"/>
            </w:tcMar>
          </w:tcPr>
          <w:p>
            <w:pPr>
              <w:keepNext/>
              <w:spacing w:after="60" w:line="252" w:lineRule="auto"/>
              <w:jc w:val="center"/>
            </w:pPr>
            <w:r>
              <w:rPr>
                <w:b/>
                <w:color w:val="000000"/>
                <w:sz w:val="17"/>
              </w:rPr>
              <w:t>Условие приемки</w:t>
            </w:r>
          </w:p>
        </w:tc>
      </w:tr>
      <w:tr>
        <w:trPr>
          <w:cantSplit/>
        </w:trPr>
        <w:tc>
          <w:tcPr>
            <w:tcW w:type="dxa" w:w="272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Проблема</w:t>
            </w:r>
          </w:p>
        </w:tc>
        <w:tc>
          <w:tcPr>
            <w:tcW w:type="dxa" w:w="6917"/>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Описана конкретно; общие формулировки без фактов не принимаются.</w:t>
            </w:r>
          </w:p>
        </w:tc>
      </w:tr>
      <w:tr>
        <w:trPr>
          <w:cantSplit/>
        </w:trPr>
        <w:tc>
          <w:tcPr>
            <w:tcW w:type="dxa" w:w="272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Боль клиента</w:t>
            </w:r>
          </w:p>
        </w:tc>
        <w:tc>
          <w:tcPr>
            <w:tcW w:type="dxa" w:w="6917"/>
            <w:vAlign w:val="center"/>
            <w:tcMar>
              <w:top w:w="85" w:type="dxa"/>
              <w:start w:w="110" w:type="dxa"/>
              <w:bottom w:w="85" w:type="dxa"/>
              <w:end w:w="110" w:type="dxa"/>
              <w:left w:w="85" w:type="dxa"/>
              <w:right w:w="85" w:type="dxa"/>
            </w:tcMar>
            <w:shd w:fill="FFFFFF"/>
          </w:tcPr>
          <w:p>
            <w:pPr>
              <w:spacing w:after="60" w:line="252" w:lineRule="auto"/>
            </w:pPr>
            <w:r>
              <w:rPr>
                <w:color w:val="000000"/>
                <w:sz w:val="17"/>
              </w:rPr>
              <w:t>Указаны последствия: риск, срок, расходы, проверка, простой либо неудовлетворенность подрядчиком.</w:t>
            </w:r>
          </w:p>
        </w:tc>
      </w:tr>
      <w:tr>
        <w:trPr>
          <w:cantSplit/>
        </w:trPr>
        <w:tc>
          <w:tcPr>
            <w:tcW w:type="dxa" w:w="272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Подтверждение</w:t>
            </w:r>
          </w:p>
        </w:tc>
        <w:tc>
          <w:tcPr>
            <w:tcW w:type="dxa" w:w="6917"/>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При дефекте приложено фото, акт или иной документ.</w:t>
            </w:r>
          </w:p>
        </w:tc>
      </w:tr>
      <w:tr>
        <w:trPr>
          <w:cantSplit/>
        </w:trPr>
        <w:tc>
          <w:tcPr>
            <w:tcW w:type="dxa" w:w="272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Контакт</w:t>
            </w:r>
          </w:p>
        </w:tc>
        <w:tc>
          <w:tcPr>
            <w:tcW w:type="dxa" w:w="6917"/>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Зафиксированы представитель клиента и его роль в закупке либо значение «не выяснено».</w:t>
            </w:r>
          </w:p>
        </w:tc>
      </w:tr>
      <w:tr>
        <w:trPr>
          <w:cantSplit/>
        </w:trPr>
        <w:tc>
          <w:tcPr>
            <w:tcW w:type="dxa" w:w="272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Следующий шаг</w:t>
            </w:r>
          </w:p>
        </w:tc>
        <w:tc>
          <w:tcPr>
            <w:tcW w:type="dxa" w:w="6917"/>
            <w:vAlign w:val="center"/>
            <w:tcMar>
              <w:top w:w="85" w:type="dxa"/>
              <w:start w:w="110" w:type="dxa"/>
              <w:bottom w:w="85" w:type="dxa"/>
              <w:end w:w="110" w:type="dxa"/>
              <w:left w:w="85" w:type="dxa"/>
              <w:right w:w="85" w:type="dxa"/>
            </w:tcMar>
            <w:shd w:fill="FFFFFF"/>
          </w:tcPr>
          <w:p>
            <w:pPr>
              <w:spacing w:after="60" w:line="252" w:lineRule="auto"/>
            </w:pPr>
            <w:r>
              <w:rPr>
                <w:color w:val="000000"/>
                <w:sz w:val="17"/>
              </w:rPr>
              <w:t>Указаны действие и дата либо обоснованно зафиксировано отсутствие потребности.</w:t>
            </w:r>
          </w:p>
        </w:tc>
      </w:tr>
    </w:tbl>
    <w:p/>
    <w:p>
      <w:pPr>
        <w:pStyle w:val="Heading2"/>
        <w:keepNext/>
      </w:pPr>
      <w:r>
        <w:rPr>
          <w:color w:val="000000"/>
          <w:u w:val="none"/>
        </w:rPr>
        <w:t>22.5 Учет бонусов техника</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4"/>
        <w:gridCol w:w="3324"/>
        <w:gridCol w:w="3324"/>
      </w:tblGrid>
      <w:tr>
        <w:trPr>
          <w:tblHeader w:val="true"/>
          <w:cantSplit/>
          <w:tblHeader/>
        </w:trPr>
        <w:tc>
          <w:tcPr>
            <w:tcW w:type="dxa" w:w="2948"/>
            <w:vAlign w:val="center"/>
            <w:shd w:fill="E7EBEF"/>
            <w:tcMar>
              <w:top w:w="85" w:type="dxa"/>
              <w:start w:w="110" w:type="dxa"/>
              <w:bottom w:w="85" w:type="dxa"/>
              <w:end w:w="110" w:type="dxa"/>
              <w:left w:w="85" w:type="dxa"/>
              <w:right w:w="85" w:type="dxa"/>
            </w:tcMar>
          </w:tcPr>
          <w:p>
            <w:pPr>
              <w:keepNext/>
              <w:spacing w:after="60" w:line="252" w:lineRule="auto"/>
              <w:jc w:val="center"/>
            </w:pPr>
            <w:r>
              <w:rPr>
                <w:b/>
                <w:color w:val="000000"/>
                <w:sz w:val="17"/>
              </w:rPr>
              <w:t>Бонус</w:t>
            </w:r>
          </w:p>
        </w:tc>
        <w:tc>
          <w:tcPr>
            <w:tcW w:type="dxa" w:w="5329"/>
            <w:vAlign w:val="center"/>
            <w:shd w:fill="E7EBEF"/>
            <w:tcMar>
              <w:top w:w="85" w:type="dxa"/>
              <w:start w:w="110" w:type="dxa"/>
              <w:bottom w:w="85" w:type="dxa"/>
              <w:end w:w="110" w:type="dxa"/>
              <w:left w:w="85" w:type="dxa"/>
              <w:right w:w="85" w:type="dxa"/>
            </w:tcMar>
          </w:tcPr>
          <w:p>
            <w:pPr>
              <w:keepNext/>
              <w:spacing w:after="60" w:line="252" w:lineRule="auto"/>
              <w:jc w:val="center"/>
            </w:pPr>
            <w:r>
              <w:rPr>
                <w:b/>
                <w:color w:val="000000"/>
                <w:sz w:val="17"/>
              </w:rPr>
              <w:t>Условие</w:t>
            </w:r>
          </w:p>
        </w:tc>
        <w:tc>
          <w:tcPr>
            <w:tcW w:type="dxa" w:w="1361"/>
            <w:vAlign w:val="center"/>
            <w:shd w:fill="E7EBEF"/>
            <w:tcMar>
              <w:top w:w="85" w:type="dxa"/>
              <w:start w:w="110" w:type="dxa"/>
              <w:bottom w:w="85" w:type="dxa"/>
              <w:end w:w="110" w:type="dxa"/>
              <w:left w:w="85" w:type="dxa"/>
              <w:right w:w="85" w:type="dxa"/>
            </w:tcMar>
          </w:tcPr>
          <w:p>
            <w:pPr>
              <w:keepNext/>
              <w:spacing w:after="60" w:line="252" w:lineRule="auto"/>
              <w:jc w:val="center"/>
            </w:pPr>
            <w:r>
              <w:rPr>
                <w:b/>
                <w:color w:val="000000"/>
                <w:sz w:val="17"/>
              </w:rPr>
              <w:t>Сумма</w:t>
            </w:r>
          </w:p>
        </w:tc>
      </w:tr>
      <w:tr>
        <w:trPr>
          <w:cantSplit/>
        </w:trPr>
        <w:tc>
          <w:tcPr>
            <w:tcW w:type="dxa" w:w="294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Повторная встреча с ЛПР</w:t>
            </w:r>
          </w:p>
        </w:tc>
        <w:tc>
          <w:tcPr>
            <w:tcW w:type="dxa" w:w="5329"/>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После первичной встречи согласована, назначена и фактически состоялась повторная встреча с лицом, принимающим решение; результат внесен в CRM.</w:t>
            </w:r>
          </w:p>
        </w:tc>
        <w:tc>
          <w:tcPr>
            <w:tcW w:type="dxa" w:w="136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5 000 ₸</w:t>
            </w:r>
          </w:p>
        </w:tc>
      </w:tr>
      <w:tr>
        <w:trPr>
          <w:cantSplit/>
        </w:trPr>
        <w:tc>
          <w:tcPr>
            <w:tcW w:type="dxa" w:w="294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Договор с валовой прибылью до 1 000 000 ₸ включительно</w:t>
            </w:r>
          </w:p>
        </w:tc>
        <w:tc>
          <w:tcPr>
            <w:tcW w:type="dxa" w:w="5329"/>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Договор связан с обследованием; техник указан как источник; поступила первая оплата; валовая прибыль подтверждена.</w:t>
            </w:r>
          </w:p>
        </w:tc>
        <w:tc>
          <w:tcPr>
            <w:tcW w:type="dxa" w:w="136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10 000 ₸</w:t>
            </w:r>
          </w:p>
        </w:tc>
      </w:tr>
      <w:tr>
        <w:trPr>
          <w:cantSplit/>
        </w:trPr>
        <w:tc>
          <w:tcPr>
            <w:tcW w:type="dxa" w:w="2948"/>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Договор с валовой прибылью более 1 000 000 ₸</w:t>
            </w:r>
          </w:p>
        </w:tc>
        <w:tc>
          <w:tcPr>
            <w:tcW w:type="dxa" w:w="5329"/>
            <w:vAlign w:val="center"/>
            <w:tcMar>
              <w:top w:w="85" w:type="dxa"/>
              <w:start w:w="110" w:type="dxa"/>
              <w:bottom w:w="85" w:type="dxa"/>
              <w:end w:w="110" w:type="dxa"/>
              <w:left w:w="85" w:type="dxa"/>
              <w:right w:w="85" w:type="dxa"/>
            </w:tcMar>
            <w:shd w:fill="FFFFFF"/>
          </w:tcPr>
          <w:p>
            <w:pPr>
              <w:spacing w:after="60" w:line="252" w:lineRule="auto"/>
            </w:pPr>
            <w:r>
              <w:rPr>
                <w:color w:val="000000"/>
                <w:sz w:val="17"/>
              </w:rPr>
              <w:t>Договор связан с обследованием; техник указан как источник; поступила первая оплата; валовая прибыль подтверждена.</w:t>
            </w:r>
          </w:p>
        </w:tc>
        <w:tc>
          <w:tcPr>
            <w:tcW w:type="dxa" w:w="1361"/>
            <w:vAlign w:val="center"/>
            <w:tcMar>
              <w:top w:w="85" w:type="dxa"/>
              <w:start w:w="110" w:type="dxa"/>
              <w:bottom w:w="85" w:type="dxa"/>
              <w:end w:w="110" w:type="dxa"/>
              <w:left w:w="85" w:type="dxa"/>
              <w:right w:w="85" w:type="dxa"/>
            </w:tcMar>
            <w:shd w:fill="FFFFFF"/>
          </w:tcPr>
          <w:p>
            <w:pPr>
              <w:spacing w:after="60" w:line="252" w:lineRule="auto"/>
            </w:pPr>
            <w:r>
              <w:rPr>
                <w:color w:val="000000"/>
                <w:sz w:val="17"/>
              </w:rPr>
              <w:t>20 000 ₸</w:t>
            </w:r>
          </w:p>
        </w:tc>
      </w:tr>
    </w:tbl>
    <w:p/>
    <w:p>
      <w:r>
        <w:t xml:space="preserve">Заполнение полей, подготовка сметы, отправка КП или получение документов сами по себе не создают бонус. Бонусы техника входят в первый релиз (ред. 1.20). Координатор вручную вносит подтвержденные сумму и дату первой оплаты, валовую прибыль, отметку повторной встречи с ЛПР и реквизиты основания. После сохранения этих данных робот рассчитывает предварительную сумму бонуса (UF_CRM_1790774951). Статусы UF_CRM_1790774987: «Не начислен», «Ожидает подтверждения», «Одобрен», «Выплачен», «Отказано». Реализация (1 октября 2026): основной бонус начисляют два робота «Изменить элемент» на стадии «Успешно реализовано» (прибыль не больше 1 000 000 ₸ — 10 000 ₸, больше — 20 000 ₸) при заполненной сумме первой оплаты и пустом статусе UF_CRM_1790774987; статус «Ожидает подтверждения». Бонус 5 000 ₸ за ЛПР ведется отдельными полями UF_CRM_1790826959 (сумма) и UF_CRM_1790826968 (статус) и не суммируется с основным; начисляют два робота: на «Согласование условий» при заполненной дате встречи с ЛПР (UF_CRM_1790774946) и на «Договор заключён»; оба срабатывают только при пустом UF_CRM_1790826968, что исключает повтор. Одобрение и выплату выполняет директор. Итоги за месяц: список «Сделки» с колонками «Ответственный инженер», суммами и статусами обоих бонусов.</w:t>
      </w:r>
    </w:p>
    <w:p>
      <w:pPr>
        <w:pStyle w:val="Heading2"/>
        <w:keepNext/>
      </w:pPr>
      <w:r>
        <w:rPr>
          <w:color w:val="000000"/>
          <w:u w:val="none"/>
        </w:rPr>
        <w:t>22.6 Роботы и критерии приемки</w:t>
      </w:r>
    </w:p>
    <w:p>
      <w:pPr>
        <w:pStyle w:val="ListBullet"/>
      </w:pPr>
      <w:r>
        <w:t>Вход на «Обследование назначено»: создать задачу координатору (исполнитель — роль «Ответственный»), который назначает техника в поле «Ответственный инженер»; срок — дата обследования, в описании ссылка на карточку и чек-лист. Реализовано 1 октября 2026.</w:t>
      </w:r>
    </w:p>
    <w:p>
      <w:pPr>
        <w:pStyle w:val="ListBullet"/>
      </w:pPr>
      <w:r>
        <w:t xml:space="preserve">Просрочка даты обследования без перехода на «на проверке» — задача координатору (робот «Ждать до даты»).</w:t>
      </w:r>
    </w:p>
    <w:p>
      <w:pPr>
        <w:pStyle w:val="ListBullet"/>
      </w:pPr>
      <w:r>
        <w:t>Вход на «Обследование проведено — на проверке»: создать задачу координатору на приемку со сроком 1 рабочий день; реализовано 1 октября 2026. При возврате на доработку — задача технику с комментарием и без дублирования активной задачи.</w:t>
      </w:r>
    </w:p>
    <w:p>
      <w:pPr>
        <w:pStyle w:val="ListBullet"/>
      </w:pPr>
      <w:r>
        <w:t>Вход на «Обследование принято»: пересчитать ICP и поставить задачу следующего шага со сроком UF_CRM_NEXT_STEP_DATE (проверено 1 октября 2026). Событие visit_done записывается сервисом crm-events в BigQuery с дедупликацией по event_id (развернуто и проверено 2 октября 2026). После «Согласование условий» координатор меняет воронку той же сделки либо продолжает разовую продажу; копия сделки не создается. Передача событий в GA4 и Google Ads остается в очереди.</w:t>
      </w:r>
    </w:p>
    <w:p>
      <w:pPr>
        <w:pStyle w:val="ListBullet"/>
      </w:pPr>
      <w:r>
        <w:t xml:space="preserve">Учет времени: на стадиях обследования интервалы не открываются; сервис п. 6.5 работает только в воронке «Обслуживание текущих клиентов».</w:t>
      </w:r>
    </w:p>
    <w:p>
      <w:pPr>
        <w:pStyle w:val="ListBullet"/>
      </w:pPr>
      <w:r>
        <w:t xml:space="preserve">Не допускать повторного бонуса по одной встрече или одному договору; ключи: DEAL_ID + BONUS_TYPE + EVENT_ID.</w:t>
      </w:r>
    </w:p>
    <w:p>
      <w:pPr>
        <w:pStyle w:val="ListBullet"/>
      </w:pPr>
      <w:r>
        <w:t xml:space="preserve">Начислять договорный бонус только после первой оплаты и подтверждения UF_CRM_GROSS_PROFIT; при изменении данных пересчитывать сумму заново.</w:t>
      </w:r>
    </w:p>
    <w:p>
      <w:pPr>
        <w:pStyle w:val="ListBullet"/>
      </w:pPr>
      <w:r>
        <w:t xml:space="preserve">Тест 30. Сделку нельзя перевести на «Обследование назначено» без инженера, даты, типа объекта и адреса; после перевода технику создается ровно одна задача.</w:t>
      </w:r>
    </w:p>
    <w:p>
      <w:pPr>
        <w:pStyle w:val="ListBullet"/>
      </w:pPr>
      <w:r>
        <w:t xml:space="preserve">Тест 31. Техник с телефона не может перевести карточку на «проведено — на проверке» без обязательных полей; при дефекте требуется файл; координатор получает одну задачу на приемку.</w:t>
      </w:r>
    </w:p>
    <w:p>
      <w:pPr>
        <w:pStyle w:val="ListBullet"/>
      </w:pPr>
      <w:r>
        <w:t>Тест 32. Возврат карточки на «назначено» создает технику задачу с комментарием; повторный перевод не создает дублей. Статус на 1 октября 2026: пройден — робот «Завершить задачу» на стадии «на проверке» закрывает задачу «Провести обследование», при возврате на «назначено» создается одна активная задача (задача приемки остается открытой и закрывается координатором).</w:t>
      </w:r>
    </w:p>
    <w:p>
      <w:pPr>
        <w:pStyle w:val="ListBullet"/>
      </w:pPr>
      <w:r>
        <w:t>Тест 33. Приемка заново рассчитывает ICP, создает следующий шаг по UF_CRM_NEXT_STEP_DATE и фиксирует visit_done один раз по event_id. При последующей смене воронки координатором сохраняется ID сделки и ее данные; копия продажи не создается. Статус по документам на 2 октября 2026: пройден в указанном объеме; доставка события в GA4/Ads проверяется отдельно.</w:t>
      </w:r>
      <w:r>
        <w:rPr>
          <w:rStyle w:val="CommentReference"/>
        </w:rPr>
      </w:r>
    </w:p>
    <w:p>
      <w:pPr>
        <w:pStyle w:val="ListBullet"/>
      </w:pPr>
      <w:r>
        <w:t xml:space="preserve">Тест 34. Бонус техника создается один раз по ключу DEAL_ID + BONUS_TYPE + EVENT_ID и только после первой оплаты и подтвержденной валовой прибыли; время обследования в BI не попадает.</w:t>
      </w:r>
    </w:p>
    <w:p>
      <w:pPr>
        <w:pStyle w:val="Heading2"/>
        <w:keepNext/>
      </w:pPr>
      <w:r>
        <w:rPr>
          <w:color w:val="000000"/>
          <w:u w:val="none"/>
        </w:rPr>
        <w:t xml:space="preserve">22.7 Утвержденные решения</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4"/>
        <w:gridCol w:w="3324"/>
        <w:gridCol w:w="3324"/>
      </w:tblGrid>
      <w:tr>
        <w:trPr>
          <w:tblHeader w:val="true"/>
          <w:cantSplit/>
          <w:tblHeader/>
        </w:trPr>
        <w:tc>
          <w:tcPr>
            <w:tcW w:type="dxa" w:w="2381"/>
            <w:vAlign w:val="center"/>
            <w:shd w:fill="E7EBEF"/>
            <w:tcMar>
              <w:top w:w="85" w:type="dxa"/>
              <w:start w:w="110" w:type="dxa"/>
              <w:bottom w:w="85" w:type="dxa"/>
              <w:end w:w="110" w:type="dxa"/>
              <w:left w:w="85" w:type="dxa"/>
              <w:right w:w="85" w:type="dxa"/>
            </w:tcMar>
          </w:tcPr>
          <w:p>
            <w:pPr>
              <w:keepNext/>
              <w:spacing w:after="60" w:line="252" w:lineRule="auto"/>
            </w:pPr>
            <w:r>
              <w:rPr>
                <w:b/>
                <w:color w:val="000000"/>
                <w:sz w:val="20"/>
              </w:rPr>
              <w:t xml:space="preserve">Вопрос</w:t>
            </w:r>
          </w:p>
        </w:tc>
        <w:tc>
          <w:tcPr>
            <w:tcW w:type="dxa" w:w="3515"/>
            <w:vAlign w:val="center"/>
            <w:shd w:fill="E7EBEF"/>
            <w:tcMar>
              <w:top w:w="85" w:type="dxa"/>
              <w:start w:w="110" w:type="dxa"/>
              <w:bottom w:w="85" w:type="dxa"/>
              <w:end w:w="110" w:type="dxa"/>
              <w:left w:w="85" w:type="dxa"/>
              <w:right w:w="85" w:type="dxa"/>
            </w:tcMar>
          </w:tcPr>
          <w:p>
            <w:pPr>
              <w:keepNext/>
              <w:spacing w:after="60" w:line="252" w:lineRule="auto"/>
            </w:pPr>
            <w:r>
              <w:rPr>
                <w:b/>
                <w:color w:val="000000"/>
                <w:sz w:val="20"/>
              </w:rPr>
              <w:t xml:space="preserve">Утвержденное решение</w:t>
            </w:r>
          </w:p>
        </w:tc>
        <w:tc>
          <w:tcPr>
            <w:tcW w:type="dxa" w:w="3742"/>
            <w:vAlign w:val="center"/>
            <w:shd w:fill="E7EBEF"/>
            <w:tcMar>
              <w:top w:w="85" w:type="dxa"/>
              <w:start w:w="110" w:type="dxa"/>
              <w:bottom w:w="85" w:type="dxa"/>
              <w:end w:w="110" w:type="dxa"/>
              <w:left w:w="85" w:type="dxa"/>
              <w:right w:w="85" w:type="dxa"/>
            </w:tcMar>
          </w:tcPr>
          <w:p>
            <w:pPr>
              <w:keepNext/>
              <w:spacing w:after="60" w:line="252" w:lineRule="auto"/>
            </w:pPr>
            <w:r>
              <w:rPr>
                <w:b/>
                <w:color w:val="000000"/>
                <w:sz w:val="20"/>
              </w:rPr>
              <w:t xml:space="preserve">Реализация</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 xml:space="preserve">Место обследования</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20"/>
              </w:rPr>
              <w:t xml:space="preserve">Обследование встраивается в Общую воронку тремя стадиями.</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 xml:space="preserve">Отдельная воронка обследований не используется для новых сделок; исторические записи сохраняются до миграции.</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 xml:space="preserve">Роль Общей воронки</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20"/>
              </w:rPr>
              <w:t xml:space="preserve">Общая воронка выполняет первичную квалификацию.</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После обследования координатор переводит ту же карточку в выбранную воронку либо продолжает разовую продажу. Новая профильная сделка не создается.</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 xml:space="preserve">Блокировка перехода</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20"/>
              </w:rPr>
              <w:t xml:space="preserve">Используется штатная настройка «Обязательное на стадии»; поле статуса качества заменено стадиями.</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 xml:space="preserve">Сделка не переходит на «проведено» и «принято» без обязательных полей стадии; приемку выполняет координатор.</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 xml:space="preserve">Кто переводит карточку</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20"/>
              </w:rPr>
              <w:t xml:space="preserve">Техник переводит сделку на «на проверке» с мобильного приложения.</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 xml:space="preserve">Обязательные поля стадии проверяются при переходе; координатор принимает или возвращает.</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 xml:space="preserve">Учет времени</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20"/>
              </w:rPr>
              <w:t xml:space="preserve">Время на обследование не учитывается.</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 xml:space="preserve">Человеко-часы считаются только в воронке «Обслуживание текущих клиентов» (п. 6.5).</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 xml:space="preserve">Данные для бонуса</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20"/>
              </w:rPr>
              <w:t xml:space="preserve">Бонусы техника входят в первый релиз; координатор вводит подтвержденные данные вручную.</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 xml:space="preserve">Координатор вводит сумму первой оплаты, валовую прибыль, отметку встречи с ЛПР и основание; робот определяет размер бонуса и статус «Ожидает подтверждения».</w:t>
            </w:r>
          </w:p>
        </w:tc>
      </w:tr>
    </w:tbl>
    <w:p/>
    <w:p>
      <w:pPr>
        <w:pStyle w:val="Heading2"/>
      </w:pPr>
      <w:r>
        <w:rPr>
          <w:color w:val="000000"/>
          <w:u w:val="none"/>
        </w:rPr>
        <w:t>22.8 Фактическая реализация по документам на 2 октября 2026</w:t>
      </w:r>
    </w:p>
    <w:p>
      <w:r>
        <w:t>Раздел фиксирует, что настроено на портале pozharnikkz.bitrix24.kz и как проверено на тестовых сделках. Тестовые сделки и задачи удаляет заказчик.</w:t>
      </w:r>
    </w:p>
    <w:p>
      <w:pPr>
        <w:pStyle w:val="Heading2"/>
      </w:pPr>
      <w:r>
        <w:rPr>
          <w:color w:val="000000"/>
          <w:u w:val="none"/>
        </w:rPr>
        <w:t>22.8.1 Обязательность полей</w:t>
      </w:r>
    </w:p>
    <w:p>
      <w:pPr>
        <w:pStyle w:val="ListBullet"/>
      </w:pPr>
      <w:r>
        <w:t>Общая обязательность снята с семи полей: UF_CRM_BUYING_ROLE, UF_CRM_OBJECT_COUNT, UF_CRM_CURRENT_CONTRACTOR_END, UF_CRM_TRIGGER, UF_CRM_NEXT_STEP, UF_CRM_NEXT_STEP_DATE, UF_CRM_OBJECT_AREA. Рабочий сайт создаёт сделку напрямую без этих обследовательских данных; координатор и техник заполняют их на соответствующих стадиях. Для отдельного канала с Лидом действуют те же правила при конвертации.</w:t>
      </w:r>
    </w:p>
    <w:p>
      <w:pPr>
        <w:pStyle w:val="ListBullet"/>
      </w:pPr>
      <w:r>
        <w:t>Для этих полей включено «Обязательное на стадии»: «Обследование принято», «Согласование условий», «Счёт / договор отправлен», «Договор заключён», «Успешно реализовано». Проигранные стадии не затронуты, поэтому закрыть сделку с отказом можно без заполнения. Цель сохранена: ICP считается по заполненным данным.</w:t>
      </w:r>
    </w:p>
    <w:p>
      <w:pPr>
        <w:pStyle w:val="ListBullet"/>
      </w:pPr>
      <w:r>
        <w:t>Настройка действует в виде карточки «Рабочая карточка — все воронки кроме текущего обслуживания» (ID 2). Если появятся другие виды карточки, «Обязательное на стадии» включается в каждом отдельно.</w:t>
      </w:r>
    </w:p>
    <w:p>
      <w:pPr>
        <w:pStyle w:val="ListBullet"/>
      </w:pPr>
      <w:r>
        <w:t>Проверка: сделка создается без этих полей; перевод на «Обследование принято» блокируется, пока не заполнены 14 полей — ответственный инженер, дата и время обследования, тип объекта, проблема, результат обследования, недовольство подрядчиком, боль и семь полей ICP.</w:t>
      </w:r>
    </w:p>
    <w:p>
      <w:pPr>
        <w:pStyle w:val="Heading2"/>
      </w:pPr>
      <w:r>
        <w:rPr>
          <w:color w:val="000000"/>
          <w:u w:val="none"/>
        </w:rPr>
        <w:t>22.8.2 Роботы и поля</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4"/>
        <w:gridCol w:w="3324"/>
        <w:gridCol w:w="3324"/>
      </w:tblGrid>
      <w:tr>
        <w:trPr>
          <w:tblHeader w:val="true"/>
          <w:cantSplit/>
          <w:tblHeader/>
        </w:trPr>
        <w:tc>
          <w:tcPr>
            <w:tcW w:type="dxa" w:w="2381"/>
            <w:vAlign w:val="center"/>
            <w:shd w:fill="E7EBEF"/>
            <w:tcMar>
              <w:top w:w="85" w:type="dxa"/>
              <w:start w:w="110" w:type="dxa"/>
              <w:bottom w:w="85" w:type="dxa"/>
              <w:end w:w="110" w:type="dxa"/>
              <w:left w:w="85" w:type="dxa"/>
              <w:right w:w="85" w:type="dxa"/>
            </w:tcMar>
          </w:tcPr>
          <w:p>
            <w:pPr>
              <w:keepNext/>
              <w:spacing w:after="60" w:line="252" w:lineRule="auto"/>
            </w:pPr>
            <w:r>
              <w:rPr>
                <w:b/>
                <w:color w:val="000000"/>
                <w:sz w:val="20"/>
              </w:rPr>
              <w:t>Элемент</w:t>
            </w:r>
          </w:p>
        </w:tc>
        <w:tc>
          <w:tcPr>
            <w:tcW w:type="dxa" w:w="3515"/>
            <w:vAlign w:val="center"/>
            <w:shd w:fill="E7EBEF"/>
            <w:tcMar>
              <w:top w:w="85" w:type="dxa"/>
              <w:start w:w="110" w:type="dxa"/>
              <w:bottom w:w="85" w:type="dxa"/>
              <w:end w:w="110" w:type="dxa"/>
              <w:left w:w="85" w:type="dxa"/>
              <w:right w:w="85" w:type="dxa"/>
            </w:tcMar>
          </w:tcPr>
          <w:p>
            <w:pPr>
              <w:keepNext/>
              <w:spacing w:after="60" w:line="252" w:lineRule="auto"/>
            </w:pPr>
            <w:r>
              <w:rPr>
                <w:b/>
                <w:color w:val="000000"/>
                <w:sz w:val="20"/>
              </w:rPr>
              <w:t>Реализация</w:t>
            </w:r>
          </w:p>
        </w:tc>
        <w:tc>
          <w:tcPr>
            <w:tcW w:type="dxa" w:w="3742"/>
            <w:vAlign w:val="center"/>
            <w:shd w:fill="E7EBEF"/>
            <w:tcMar>
              <w:top w:w="85" w:type="dxa"/>
              <w:start w:w="110" w:type="dxa"/>
              <w:bottom w:w="85" w:type="dxa"/>
              <w:end w:w="110" w:type="dxa"/>
              <w:left w:w="85" w:type="dxa"/>
              <w:right w:w="85" w:type="dxa"/>
            </w:tcMar>
          </w:tcPr>
          <w:p>
            <w:pPr>
              <w:keepNext/>
              <w:spacing w:after="60" w:line="252" w:lineRule="auto"/>
            </w:pPr>
            <w:r>
              <w:rPr>
                <w:b/>
                <w:color w:val="000000"/>
                <w:sz w:val="20"/>
              </w:rPr>
              <w:t>Статус</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Стадия «Обследование назначено»</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20"/>
              </w:rPr>
              <w:t>Робот «Поставить задачу» «Провести обследование: {Название}»; исполнитель — роль «Ответственный» (координатор), который назначает техника; срок — «Дата и время обследования».</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Работает; ровно одна задача при первом входе</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Стадия «Обследование проведено — на проверке»</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20"/>
              </w:rPr>
              <w:t>Робот «Принять обследование: {Название}»; исполнитель — «Ответственный»; очередь «Независимо от других роботов», так как перед ним в стадии стоит старый робот с задержкой; срок — 1 рабочий день (формула workdateadd).</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Работает; срок 1 рабочий день</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Основной бонус техника</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На «Успешно реализовано» два робота «Изменить элемент»: валовая прибыль не больше 1 000 000 ₸ — 10 000 ₸, больше — 20 000 ₸; условия: сумма первой оплаты заполнена, статус бонуса пуст; результат — UF_CRM_1790774951 и статус «Ожидает подтверждения» (UF_CRM_1790774987).</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Проверено оба варианта и идемпотентность</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Бонус за ЛПР 5 000 ₸</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Отдельные поля UF_CRM_1790826959 (сумма) и UF_CRM_1790826968 (статус: Не начислен, Ожидает подтверждения, Одобрен, Выплачен, Отказано). Роботы на «Согласование условий» (при заполненной дате повторной встречи с ЛПР UF_CRM_1790774946) и на «Договор заключён»; срабатывают только при пустом статусе.</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Проверено; повторного начисления нет. Поля выведены в карточку 1 октября 2026.</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Месячные итоги бонусов</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В списке «Сделки» настроены «Ответственный инженер», суммы и статусы обоих бонусов; фильтр «Бонусы техников: месяц» использует дату первой оплаты.</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Работает</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Старые поля</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20"/>
              </w:rPr>
              <w:t>UF_CRM_SERVICE_SCHEDULE_DATE и дублирующие поля «Контроль качества» удалены 2 октября 2026. Дата планового ТО — UF_CRM_NEXT_SERVICE_DATE; качество обследования определяется стадией.</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Выполнено по документам</w:t>
            </w:r>
          </w:p>
        </w:tc>
      </w:tr>
    </w:tbl>
    <w:p/>
    <w:p>
      <w:pPr>
        <w:pStyle w:val="ListBullet"/>
      </w:pPr>
      <w:r>
        <w:t>Триггеры «Пересчёт ICP при изменении полей» (7 штук, Общая воронка) удалены 1 октября 2026. Триггер FIELD_CHANGED с запретом возврата переводит сделку на свою стадию при любой правке подвязанных полей, поэтому сделка перепрыгивала вперед мимо «Обязательное на стадии». Теперь ICP пересчитывается роботами только при входе на стадию (в том числе перед приемкой); при правке полей на той же стадии балл обновляется при следующем переводе. Пересчет при правке без смены стадии, если потребуется, выполняется вебхуком Cloud Run. Обязательное правило: триггеры «изменение поля» для пересчета в воронке обследования не использовать.</w:t>
      </w:r>
    </w:p>
    <w:p>
      <w:pPr>
        <w:pStyle w:val="Heading2"/>
      </w:pPr>
      <w:r>
        <w:rPr>
          <w:color w:val="000000"/>
          <w:u w:val="none"/>
        </w:rPr>
        <w:t>22.8.3 Результаты тестов раздела 22.6</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4"/>
        <w:gridCol w:w="3324"/>
        <w:gridCol w:w="3324"/>
      </w:tblGrid>
      <w:tr>
        <w:trPr>
          <w:tblHeader w:val="true"/>
          <w:cantSplit/>
          <w:tblHeader/>
        </w:trPr>
        <w:tc>
          <w:tcPr>
            <w:tcW w:type="dxa" w:w="2381"/>
            <w:vAlign w:val="center"/>
            <w:shd w:fill="E7EBEF"/>
            <w:tcMar>
              <w:top w:w="85" w:type="dxa"/>
              <w:start w:w="110" w:type="dxa"/>
              <w:bottom w:w="85" w:type="dxa"/>
              <w:end w:w="110" w:type="dxa"/>
              <w:left w:w="85" w:type="dxa"/>
              <w:right w:w="85" w:type="dxa"/>
            </w:tcMar>
          </w:tcPr>
          <w:p>
            <w:pPr>
              <w:keepNext/>
              <w:spacing w:after="60" w:line="252" w:lineRule="auto"/>
            </w:pPr>
            <w:r>
              <w:rPr>
                <w:b/>
                <w:color w:val="000000"/>
                <w:sz w:val="20"/>
              </w:rPr>
              <w:t>Тест</w:t>
            </w:r>
          </w:p>
        </w:tc>
        <w:tc>
          <w:tcPr>
            <w:tcW w:type="dxa" w:w="3515"/>
            <w:vAlign w:val="center"/>
            <w:shd w:fill="E7EBEF"/>
            <w:tcMar>
              <w:top w:w="85" w:type="dxa"/>
              <w:start w:w="110" w:type="dxa"/>
              <w:bottom w:w="85" w:type="dxa"/>
              <w:end w:w="110" w:type="dxa"/>
              <w:left w:w="85" w:type="dxa"/>
              <w:right w:w="85" w:type="dxa"/>
            </w:tcMar>
          </w:tcPr>
          <w:p>
            <w:pPr>
              <w:keepNext/>
              <w:spacing w:after="60" w:line="252" w:lineRule="auto"/>
            </w:pPr>
            <w:r>
              <w:rPr>
                <w:b/>
                <w:color w:val="000000"/>
                <w:sz w:val="20"/>
              </w:rPr>
              <w:t>Результат</w:t>
            </w:r>
          </w:p>
        </w:tc>
        <w:tc>
          <w:tcPr>
            <w:tcW w:type="dxa" w:w="3742"/>
            <w:vAlign w:val="center"/>
            <w:shd w:fill="E7EBEF"/>
            <w:tcMar>
              <w:top w:w="85" w:type="dxa"/>
              <w:start w:w="110" w:type="dxa"/>
              <w:bottom w:w="85" w:type="dxa"/>
              <w:end w:w="110" w:type="dxa"/>
              <w:left w:w="85" w:type="dxa"/>
              <w:right w:w="85" w:type="dxa"/>
            </w:tcMar>
          </w:tcPr>
          <w:p>
            <w:pPr>
              <w:keepNext/>
              <w:spacing w:after="60" w:line="252" w:lineRule="auto"/>
            </w:pPr>
            <w:r>
              <w:rPr>
                <w:b/>
                <w:color w:val="000000"/>
                <w:sz w:val="20"/>
              </w:rPr>
              <w:t>Комментарий</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30. Блокировка «назначено», одна задача</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Пройден</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Блокировка проверена, создана одна задача</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31. Блокировка «на проверке», одна задача приемки</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Пройден</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После смены очереди на «Независимо» робот срабатывает</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32. Возврат на доработку без дублей</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Пройден</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Робот «Завершить задачу» на «на проверке» закрывает прежнюю задачу; повторный вход не создает дублей</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33. Приемка ICP, следующий шаг и visit_done</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Пройден по документам</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ICP и следующий шаг проверены 1 октября; запись visit_done и дедупликация — 2 октября. Смена воронки той же сделки координатором; доставка в GA4/Ads отдельно.</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34. Бонус один раз, после первой оплаты</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Пройден</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Основной бонус и бонус за ЛПР; повторный запуск не меняет сумму</w:t>
            </w:r>
          </w:p>
        </w:tc>
      </w:tr>
    </w:tbl>
    <w:p/>
    <w:p>
      <w:pPr>
        <w:pStyle w:val="Heading1"/>
      </w:pPr>
      <w:r>
        <w:rPr>
          <w:color w:val="000000"/>
          <w:u w:val="none"/>
        </w:rPr>
        <w:t>23 Связь настройки Bitrix24 с Медиапланом v4.3</w:t>
      </w:r>
    </w:p>
    <w:p>
      <w:r>
        <w:t>Раздел сохраняет привязку к этапам 0–9 и исходному 90-дневному графику Медиаплана v4.3. Это этапы медиаплана, а не этапы внедрения Bitrix24: для CRM действует двухэтапный порядок раздела 14. Недели ниже — исходные ориентиры, фактические сроки исполнитель уточняет по готовности страниц и данных. Рекламу подключать после сквозной проверки «форма → обращение в CRM → обследование → расчет» без потери атрибуции и дублей. Рабочий сайт создает сделки напрямую; промежуточный Лид не обязателен.</w:t>
      </w:r>
    </w:p>
    <w:p>
      <w:pPr>
        <w:pStyle w:val="Heading2"/>
      </w:pPr>
      <w:r>
        <w:rPr>
          <w:color w:val="000000"/>
          <w:u w:val="none"/>
        </w:rPr>
        <w:t>23.1 Сделано к 1 октября 2026 (Этап 0, неделя 1)</w:t>
      </w:r>
    </w:p>
    <w:p>
      <w:pPr>
        <w:pStyle w:val="ListBullet"/>
      </w:pPr>
      <w:r>
        <w:t>Три стадии обследования в Общей воронке, роботы задач координатору, обязательные поля на стадиях.</w:t>
      </w:r>
    </w:p>
    <w:p>
      <w:pPr>
        <w:pStyle w:val="ListBullet"/>
      </w:pPr>
      <w:r>
        <w:t>Поля ICP, обследования и бонусов с каноническими кодами; ICP-поля обязательны на стадии, а не при создании.</w:t>
      </w:r>
    </w:p>
    <w:p>
      <w:pPr>
        <w:pStyle w:val="ListBullet"/>
      </w:pPr>
      <w:r>
        <w:t>Бонусы техника (основной и за ЛПР), статусы, месячный список с фильтром.</w:t>
      </w:r>
    </w:p>
    <w:p>
      <w:pPr>
        <w:pStyle w:val="ListBullet"/>
      </w:pPr>
      <w:r>
        <w:t>Определения «состоявшийся выезд», «персональный расчет» и «квалифицированное обращение» зафиксированы в Медиаплане (п. 12); в Bitrix24 состоявшимся выездом считается дата и время обследования (UF_CRM_1788952307) при переходе сделки на «Обследование принято».</w:t>
      </w:r>
    </w:p>
    <w:p>
      <w:pPr>
        <w:pStyle w:val="Heading2"/>
      </w:pPr>
      <w:r>
        <w:rPr>
          <w:color w:val="000000"/>
          <w:u w:val="none"/>
        </w:rPr>
        <w:t>23.2 Ближайшие доработки обследования (Этап 0, неделя 1–2)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4"/>
        <w:gridCol w:w="3324"/>
        <w:gridCol w:w="3324"/>
      </w:tblGrid>
      <w:tr>
        <w:trPr>
          <w:tblHeader w:val="true"/>
          <w:cantSplit/>
          <w:tblHeader/>
        </w:trPr>
        <w:tc>
          <w:tcPr>
            <w:tcW w:type="dxa" w:w="2381"/>
            <w:vAlign w:val="center"/>
            <w:shd w:fill="E7EBEF"/>
            <w:tcMar>
              <w:top w:w="85" w:type="dxa"/>
              <w:start w:w="110" w:type="dxa"/>
              <w:bottom w:w="85" w:type="dxa"/>
              <w:end w:w="110" w:type="dxa"/>
              <w:left w:w="85" w:type="dxa"/>
              <w:right w:w="85" w:type="dxa"/>
            </w:tcMar>
          </w:tcPr>
          <w:p>
            <w:pPr>
              <w:keepNext/>
              <w:spacing w:after="60" w:line="252" w:lineRule="auto"/>
            </w:pPr>
            <w:r>
              <w:rPr>
                <w:b/>
                <w:color w:val="000000"/>
                <w:sz w:val="20"/>
              </w:rPr>
              <w:t>№</w:t>
            </w:r>
          </w:p>
        </w:tc>
        <w:tc>
          <w:tcPr>
            <w:tcW w:type="dxa" w:w="3515"/>
            <w:vAlign w:val="center"/>
            <w:shd w:fill="E7EBEF"/>
            <w:tcMar>
              <w:top w:w="85" w:type="dxa"/>
              <w:start w:w="110" w:type="dxa"/>
              <w:bottom w:w="85" w:type="dxa"/>
              <w:end w:w="110" w:type="dxa"/>
              <w:left w:w="85" w:type="dxa"/>
              <w:right w:w="85" w:type="dxa"/>
            </w:tcMar>
          </w:tcPr>
          <w:p>
            <w:pPr>
              <w:keepNext/>
              <w:spacing w:after="60" w:line="252" w:lineRule="auto"/>
            </w:pPr>
            <w:r>
              <w:rPr>
                <w:b/>
                <w:color w:val="000000"/>
                <w:sz w:val="20"/>
              </w:rPr>
              <w:t>Задача</w:t>
            </w:r>
          </w:p>
        </w:tc>
        <w:tc>
          <w:tcPr>
            <w:tcW w:type="dxa" w:w="3742"/>
            <w:vAlign w:val="center"/>
            <w:shd w:fill="E7EBEF"/>
            <w:tcMar>
              <w:top w:w="85" w:type="dxa"/>
              <w:start w:w="110" w:type="dxa"/>
              <w:bottom w:w="85" w:type="dxa"/>
              <w:end w:w="110" w:type="dxa"/>
              <w:left w:w="85" w:type="dxa"/>
              <w:right w:w="85" w:type="dxa"/>
            </w:tcMar>
          </w:tcPr>
          <w:p>
            <w:pPr>
              <w:keepNext/>
              <w:spacing w:after="60" w:line="252" w:lineRule="auto"/>
            </w:pPr>
            <w:r>
              <w:rPr>
                <w:b/>
                <w:color w:val="000000"/>
                <w:sz w:val="20"/>
              </w:rPr>
              <w:t>Критерий готовности</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1</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20"/>
              </w:rPr>
              <w:t>Робот «Завершить задачу» на входе в «Обследование назначено» перед созданием новой задачи (устранение дублей). Реализовано 1 октября 2026.</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Тест 32 пройден</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2</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20"/>
              </w:rPr>
              <w:t>Срок задачи «Принять обследование» — 1 рабочий день (отдельный робот с «Ждать до» либо срок в шаблоне). Реализовано 1 октября 2026.</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Задача имеет срок; просроченные видны в списке задач</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3</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rFonts w:ascii="Arial" w:hAnsi="Arial"/>
                <w:color w:val="000000"/>
                <w:sz w:val="18"/>
              </w:rPr>
              <w:t>На «Обследование принято» пересчитать ICP, поставить следующий шаг и зафиксировать visit_done один раз по event_id. Реализовано по документам на 2 октября 2026: crm-events развернут, вебхуки ключевых стадий пишут в BigQuery. Координатор меняет воронку той же сделки; копирования продажи нет.</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Тест 33 пройден</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4</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Вынести в карточку блок «Бонус за ЛПР» (UF_CRM_1790826959, UF_CRM_1790826968) и добавить в список колонки сумм и статусов обоих бонусов. Реализовано 1 октября 2026: поля в секции «Информация об объекте», колонки уже были в списке.</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Директор видит все бонусы месяца в одном списке</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5</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rFonts w:ascii="Arial" w:hAnsi="Arial"/>
                <w:color w:val="000000"/>
                <w:sz w:val="18"/>
              </w:rPr>
              <w:t>Вывести из использования UF_CRM_SERVICE_SCHEDULE_DATE и дублирующие поля «Контроль качества». Реализовано 2 октября 2026: поля удалены из CRM.</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Один источник даты и качества</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6</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rFonts w:ascii="Arial" w:hAnsi="Arial"/>
                <w:color w:val="000000"/>
                <w:sz w:val="18"/>
              </w:rPr>
              <w:t>Обновить ТЗ и инструкцию координатору и технику. Реализовано 2 октября 2026: памятка добавлена в репозиторий в форматах Markdown и Word.</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Пилотное обследование проходит по инструкции</w:t>
            </w:r>
          </w:p>
        </w:tc>
      </w:tr>
    </w:tbl>
    <w:p/>
    <w:p>
      <w:pPr>
        <w:pStyle w:val="Heading2"/>
      </w:pPr>
      <w:r>
        <w:rPr>
          <w:color w:val="000000"/>
        </w:rPr>
        <w:t>23.3 Атрибуция и прямой вход сделки</w:t>
      </w:r>
    </w:p>
    <w:p>
      <w:pPr>
        <w:pStyle w:val="ListBullet"/>
      </w:pPr>
      <w:r>
        <w:t>Поля Лида и Сделки: UTM source/medium/campaign/content/term, landing page, referrer, GCLID, GBRAID, WBRAID, GA4 client_id; first-touch и last-touch отдельно, first-touch не перезаписывается (п. 4.2 и 18.2 ТЗ).</w:t>
      </w:r>
    </w:p>
    <w:p>
      <w:pPr>
        <w:pStyle w:val="ListBullet"/>
      </w:pPr>
      <w:r>
        <w:t>Рабочий поток сайта — Cloud Run tilda-webhook-to-bigquery с crm.deal.add. Netlify lead.js — резервный контур; передача first-touch/last-touch, click ID, GA4 client_id, landing и referrer в нем реализована. Не заменять действующий поток ради обязательного создания Лида. Перед запуском страницы проверить фактическое заполнение канонических полей в рабочем потоке.</w:t>
      </w:r>
      <w:r>
        <w:rPr>
          <w:rStyle w:val="CommentReference"/>
        </w:rPr>
      </w:r>
    </w:p>
    <w:p>
      <w:pPr>
        <w:pStyle w:val="ListBullet"/>
      </w:pPr>
      <w:r>
        <w:t>Если отдельный канал использует Лиды, проверить сохранение атрибуции, услуги, ICP-типа и комментария при конвертации. Для прямой сделки проверить эти данные при создании. Обращение и его переходы не должны повторно увеличивать число первичных обращений.</w:t>
      </w:r>
    </w:p>
    <w:p>
      <w:pPr>
        <w:pStyle w:val="ListBullet"/>
      </w:pPr>
      <w:r>
        <w:t>Справочники: источник, услуга, триггер, тип объекта, отрасль и сценарий обработки (Авария, Новый объект, Регулярное обслуживание, Проверка, Отдельная услуга, Прогрев). UF_CRM_SERVICE_TYPE в действующем портале имеет ярлык «Категория обращения» и хранит услугу, например «Пожарный аудит». Не записывать в него одновременно сценарий и услугу: карту фактических полей и код отдельного сценария подтвердить до настройки.</w:t>
      </w:r>
      <w:r>
        <w:rPr>
          <w:rStyle w:val="CommentReference"/>
        </w:rPr>
      </w:r>
    </w:p>
    <w:p>
      <w:pPr>
        <w:pStyle w:val="ListBullet"/>
      </w:pPr>
      <w:r>
        <w:t>Критерий: контрольное обращение из каждой готовой формы поступает в CRM, проходит до обследования и расчета; данные и первая атрибуция сохраняются, повторная доставка не создает дубли компаний, контактов и событий.</w:t>
      </w:r>
    </w:p>
    <w:p>
      <w:pPr>
        <w:pStyle w:val="Heading2"/>
      </w:pPr>
      <w:r>
        <w:rPr>
          <w:color w:val="000000"/>
          <w:u w:val="none"/>
        </w:rPr>
        <w:t>23.4 Этап 1: основные конверсионные страницы (недели 2–6)</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4"/>
        <w:gridCol w:w="3324"/>
        <w:gridCol w:w="3324"/>
      </w:tblGrid>
      <w:tr>
        <w:trPr>
          <w:tblHeader w:val="true"/>
          <w:cantSplit/>
          <w:tblHeader/>
        </w:trPr>
        <w:tc>
          <w:tcPr>
            <w:tcW w:type="dxa" w:w="2381"/>
            <w:vAlign w:val="center"/>
            <w:shd w:fill="E7EBEF"/>
            <w:tcMar>
              <w:top w:w="85" w:type="dxa"/>
              <w:start w:w="110" w:type="dxa"/>
              <w:bottom w:w="85" w:type="dxa"/>
              <w:end w:w="110" w:type="dxa"/>
              <w:left w:w="85" w:type="dxa"/>
              <w:right w:w="85" w:type="dxa"/>
            </w:tcMar>
          </w:tcPr>
          <w:p>
            <w:pPr>
              <w:keepNext/>
              <w:spacing w:after="60" w:line="252" w:lineRule="auto"/>
            </w:pPr>
            <w:r>
              <w:rPr>
                <w:b/>
                <w:color w:val="000000"/>
                <w:sz w:val="20"/>
              </w:rPr>
              <w:t>Страница Медиаплана</w:t>
            </w:r>
          </w:p>
        </w:tc>
        <w:tc>
          <w:tcPr>
            <w:tcW w:type="dxa" w:w="3515"/>
            <w:vAlign w:val="center"/>
            <w:shd w:fill="E7EBEF"/>
            <w:tcMar>
              <w:top w:w="85" w:type="dxa"/>
              <w:start w:w="110" w:type="dxa"/>
              <w:bottom w:w="85" w:type="dxa"/>
              <w:end w:w="110" w:type="dxa"/>
              <w:left w:w="85" w:type="dxa"/>
              <w:right w:w="85" w:type="dxa"/>
            </w:tcMar>
          </w:tcPr>
          <w:p>
            <w:pPr>
              <w:keepNext/>
              <w:spacing w:after="60" w:line="252" w:lineRule="auto"/>
            </w:pPr>
            <w:r>
              <w:rPr>
                <w:b/>
                <w:color w:val="000000"/>
                <w:sz w:val="20"/>
              </w:rPr>
              <w:t>Настройка Bitrix24</w:t>
            </w:r>
          </w:p>
        </w:tc>
        <w:tc>
          <w:tcPr>
            <w:tcW w:type="dxa" w:w="3742"/>
            <w:vAlign w:val="center"/>
            <w:shd w:fill="E7EBEF"/>
            <w:tcMar>
              <w:top w:w="85" w:type="dxa"/>
              <w:start w:w="110" w:type="dxa"/>
              <w:bottom w:w="85" w:type="dxa"/>
              <w:end w:w="110" w:type="dxa"/>
              <w:left w:w="85" w:type="dxa"/>
              <w:right w:w="85" w:type="dxa"/>
            </w:tcMar>
          </w:tcPr>
          <w:p>
            <w:pPr>
              <w:keepNext/>
              <w:spacing w:after="60" w:line="252" w:lineRule="auto"/>
            </w:pPr>
            <w:r>
              <w:rPr>
                <w:b/>
                <w:color w:val="000000"/>
                <w:sz w:val="20"/>
              </w:rPr>
              <w:t>Критерий готовности</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/obsluzhivanie/, /smena-podryadchika/ (неделя 3)</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rPr>
              <w:t>Сценарий «Регулярное обслуживание» хранится отдельно от услуги в UF_CRM_SERVICE_TYPE. Задача квалификации с SLA 30 минут в рабочее время; предложение обследования; поля ТО по карте портала.</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rPr>
              <w:t>Форма создаёт прямую сделку с каноническими данными; SLA-задача появляется.</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/montazh/ (неделя 4)</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rPr>
              <w:t>Сценарий «Новый объект» отдельно от услуги; SLA 30 минут; дата открытия, площадь и проект; поля монтажа и воронка 6.2.</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rPr>
              <w:t>Прямая сделка из калькулятора сохраняет исходную услугу и параметры расчёта.</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/srabotka/ (неделя 5)</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rPr>
              <w:t>Сценарий «Авария» отдельно от услуги; SLA 15 минут; срочная задача и уведомление дежурному; звонок/WhatsApp фиксируются как обращения.</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Срочная задача создается за секунды, SLA виден в списке</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/audit/ (неделя 6)</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rPr>
              <w:t>Услуга «Пожарный аудит» для fire_audit в UF_CRM_SERVICE_TYPE; сценарий «Проверка» — отдельный атрибут. Уточнить дату проверки и назначить выезд; далее раздел 22.</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Назначенный выезд проходит по процессу раздела 22</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Калькуляторы /kalkulyatory/…</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Поля «Сумма расчета», «Дата отправки расчета» (персональный расчет); отметка «расчет ориентировочный / персональный»; автоматическая общая вилка в метрику не входит.</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Персональные расчеты считаются только при идентифицированном клиенте</w:t>
            </w:r>
          </w:p>
        </w:tc>
      </w:tr>
    </w:tbl>
    <w:p/>
    <w:p>
      <w:pPr>
        <w:pStyle w:val="ListBullet"/>
      </w:pPr>
      <w:r>
        <w:t>События для GA4 и Google Ads из Bitrix24: qualified_lead, visit_scheduled, visit_done, quote_sent, contract_won (с value и currency) через BigQuery или webhook (раздел 18.3). На старте оптимизация по qualified_lead и visit_done; contract_won добавляется после накопления данных.</w:t>
      </w:r>
    </w:p>
    <w:p>
      <w:pPr>
        <w:pStyle w:val="ListBullet"/>
      </w:pPr>
      <w:r>
        <w:t>Performance Max не включается, пока не работает импорт офлайн-конверсий из Bitrix24 (Медиаплан, п. 10).</w:t>
      </w:r>
    </w:p>
    <w:p>
      <w:pPr>
        <w:pStyle w:val="ListBullet"/>
      </w:pPr>
      <w:r>
        <w:t>Реклама на страницу запускается только после проверки цепочки лида на этой странице.</w:t>
      </w:r>
    </w:p>
    <w:p>
      <w:pPr>
        <w:pStyle w:val="Heading2"/>
      </w:pPr>
      <w:r>
        <w:rPr>
          <w:color w:val="000000"/>
          <w:u w:val="none"/>
        </w:rPr>
        <w:t>23.5 Этап 2–3: входные продукты, кейсы (недели 7–9)</w:t>
      </w:r>
    </w:p>
    <w:p>
      <w:pPr>
        <w:pStyle w:val="ListBullet"/>
      </w:pPr>
      <w:r>
        <w:t>Категория «Отдельная услуга» для /ognetushiteli/ и /plany-evakuacii/: SLA 2 часа, подтверждение количества и отправка счета или расчета; быстрые товары и счета.</w:t>
      </w:r>
    </w:p>
    <w:p>
      <w:pPr>
        <w:pStyle w:val="ListBullet"/>
      </w:pPr>
      <w:r>
        <w:t>Поля для расчета: тип и количество огнетушителей, дата последней перезарядки, доставка; количество этажей и планов, наличие исходников, материал.</w:t>
      </w:r>
    </w:p>
    <w:p>
      <w:pPr>
        <w:pStyle w:val="ListBullet"/>
      </w:pPr>
      <w:r>
        <w:t>Кейсы: поле «Страница-источник» в сделке для оценки ассистирующих конверсий; список клиентов для первых пяти кейсов с согласием на публикацию.</w:t>
      </w:r>
    </w:p>
    <w:p>
      <w:pPr>
        <w:pStyle w:val="Heading2"/>
      </w:pPr>
      <w:r>
        <w:rPr>
          <w:color w:val="000000"/>
          <w:u w:val="none"/>
        </w:rPr>
        <w:t>23.6 Этапы 4–5: SEO и документы-магниты (недели 10–11)</w:t>
      </w:r>
    </w:p>
    <w:p>
      <w:pPr>
        <w:pStyle w:val="ListBullet"/>
      </w:pPr>
      <w:r>
        <w:t>Для документа-магнита определить измеряемое событие и условия создания обращения: при известном контакте и подтвержденном запросе оно содержит название документа, источник и сведения об объекте. Анонимное скачивание учитывается событием сайта и само по себе не создает Лид. Сценарий «Прогрев» и SLA 1 рабочий день применяются к идентифицированному обращению.</w:t>
      </w:r>
    </w:p>
    <w:p>
      <w:pPr>
        <w:pStyle w:val="ListBullet"/>
      </w:pPr>
      <w:r>
        <w:t>Определение роли контакта (ЛПР / влияющий / procurement / технический) при первом контакте; робот задачи «определить должность и наличие объекта».</w:t>
      </w:r>
    </w:p>
    <w:p>
      <w:pPr>
        <w:pStyle w:val="ListBullet"/>
      </w:pPr>
      <w:r>
        <w:t>Отчет «Лиды по посадочной» для SEO: показы и клики из Search Console, лиды и выезды из CRM (после 8 недель данных).</w:t>
      </w:r>
    </w:p>
    <w:p>
      <w:pPr>
        <w:pStyle w:val="Heading2"/>
      </w:pPr>
      <w:r>
        <w:rPr>
          <w:color w:val="000000"/>
          <w:u w:val="none"/>
        </w:rPr>
        <w:t>23.7 Этапы 6–9: отрасли, дополнительные услуги, пакеты, служебные страницы</w:t>
      </w:r>
    </w:p>
    <w:p>
      <w:pPr>
        <w:pStyle w:val="ListBullet"/>
      </w:pPr>
      <w:r>
        <w:t>Справочник отраслей и приоритет ICP по отрасли; воронка «Проектирование» и дополнительные услуги (огнезащита, пожарные краны, ЗСИ) подключаются после проверки экономики.</w:t>
      </w:r>
    </w:p>
    <w:p>
      <w:pPr>
        <w:pStyle w:val="ListBullet"/>
      </w:pPr>
      <w:r>
        <w:t>Пакеты CONTROL, SERVICE, FULL SAFE: каталог товаров и услуг, MRR и срок договора в сделке, КП из каталога; выигранная сделка запускает воронку «Обслуживание текущих клиентов» и три вида ТО (разделы 6.1 и 6.4).</w:t>
      </w:r>
    </w:p>
    <w:p>
      <w:pPr>
        <w:pStyle w:val="ListBullet"/>
      </w:pPr>
      <w:r>
        <w:t>Служебные страницы (/privacy/, /terms/, страницы успешной отправки): проверка согласий и отсутствия персональных данных в параметрах URL.</w:t>
      </w:r>
    </w:p>
    <w:p>
      <w:pPr>
        <w:pStyle w:val="Heading2"/>
      </w:pPr>
      <w:r>
        <w:rPr>
          <w:color w:val="000000"/>
          <w:u w:val="none"/>
        </w:rPr>
        <w:t>23.8 Сквозные работы (параллельно, недели 1–12)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4"/>
        <w:gridCol w:w="3324"/>
        <w:gridCol w:w="3324"/>
      </w:tblGrid>
      <w:tr>
        <w:trPr>
          <w:tblHeader w:val="true"/>
          <w:cantSplit/>
          <w:tblHeader/>
        </w:trPr>
        <w:tc>
          <w:tcPr>
            <w:tcW w:type="dxa" w:w="2381"/>
            <w:vAlign w:val="center"/>
            <w:shd w:fill="E7EBEF"/>
            <w:tcMar>
              <w:top w:w="85" w:type="dxa"/>
              <w:start w:w="110" w:type="dxa"/>
              <w:bottom w:w="85" w:type="dxa"/>
              <w:end w:w="110" w:type="dxa"/>
              <w:left w:w="85" w:type="dxa"/>
              <w:right w:w="85" w:type="dxa"/>
            </w:tcMar>
          </w:tcPr>
          <w:p>
            <w:pPr>
              <w:keepNext/>
              <w:spacing w:after="60" w:line="252" w:lineRule="auto"/>
            </w:pPr>
            <w:r>
              <w:rPr>
                <w:b/>
                <w:color w:val="000000"/>
                <w:sz w:val="20"/>
              </w:rPr>
              <w:t>Блок</w:t>
            </w:r>
          </w:p>
        </w:tc>
        <w:tc>
          <w:tcPr>
            <w:tcW w:type="dxa" w:w="3515"/>
            <w:vAlign w:val="center"/>
            <w:shd w:fill="E7EBEF"/>
            <w:tcMar>
              <w:top w:w="85" w:type="dxa"/>
              <w:start w:w="110" w:type="dxa"/>
              <w:bottom w:w="85" w:type="dxa"/>
              <w:end w:w="110" w:type="dxa"/>
              <w:left w:w="85" w:type="dxa"/>
              <w:right w:w="85" w:type="dxa"/>
            </w:tcMar>
          </w:tcPr>
          <w:p>
            <w:pPr>
              <w:keepNext/>
              <w:spacing w:after="60" w:line="252" w:lineRule="auto"/>
            </w:pPr>
            <w:r>
              <w:rPr>
                <w:b/>
                <w:color w:val="000000"/>
                <w:sz w:val="20"/>
              </w:rPr>
              <w:t>Содержание</w:t>
            </w:r>
          </w:p>
        </w:tc>
        <w:tc>
          <w:tcPr>
            <w:tcW w:type="dxa" w:w="3742"/>
            <w:vAlign w:val="center"/>
            <w:shd w:fill="E7EBEF"/>
            <w:tcMar>
              <w:top w:w="85" w:type="dxa"/>
              <w:start w:w="110" w:type="dxa"/>
              <w:bottom w:w="85" w:type="dxa"/>
              <w:end w:w="110" w:type="dxa"/>
              <w:left w:w="85" w:type="dxa"/>
              <w:right w:w="85" w:type="dxa"/>
            </w:tcMar>
          </w:tcPr>
          <w:p>
            <w:pPr>
              <w:keepNext/>
              <w:spacing w:after="60" w:line="252" w:lineRule="auto"/>
            </w:pPr>
            <w:r>
              <w:rPr>
                <w:b/>
                <w:color w:val="000000"/>
                <w:sz w:val="20"/>
              </w:rPr>
              <w:t>Срок</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Роли и права</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20"/>
              </w:rPr>
              <w:t>Техник видит и меняет только поля своей стадии; ICP-балл и класс доступны только роботам; бонусы одобряет директор.</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Неделя 2</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Мобильный сценарий техника</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Проверка перевода сделки на «на проверке» из мобильного приложения, загрузка фото и чек-листа.</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Неделя 2–3</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Контроль качества данных</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Еженедельный аудит карточек первых 6 недель: пустые обязательные поля, дубли, зависшие стадии.</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Еженедельно</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Отчеты и дашборды</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20"/>
              </w:rPr>
              <w:t>Стоимость состоявшегося выезда и персонального расчета по каналу; воронка «квал-лид → выезд → расчет → договор»; бонусы за месяц.</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Недели 4–8</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Пилот и обучение</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Не менее двух обследований по полному циклу; обучение координаторов и техников; исправление замечаний.</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Недели 3–6</w:t>
            </w:r>
          </w:p>
        </w:tc>
      </w:tr>
      <w:tr>
        <w:trPr>
          <w:cantSplit/>
        </w:trPr>
        <w:tc>
          <w:tcPr>
            <w:tcW w:type="dxa" w:w="2381"/>
            <w:vAlign w:val="center"/>
            <w:tcMar>
              <w:top w:w="85" w:type="dxa"/>
              <w:start w:w="110" w:type="dxa"/>
              <w:bottom w:w="85" w:type="dxa"/>
              <w:end w:w="110" w:type="dxa"/>
              <w:left w:w="85" w:type="dxa"/>
              <w:right w:w="85" w:type="dxa"/>
            </w:tcMar>
            <w:shd w:fill="FFFFFF"/>
          </w:tcPr>
          <w:p>
            <w:pPr>
              <w:spacing w:after="60" w:line="252" w:lineRule="auto"/>
            </w:pPr>
            <w:r>
              <w:rPr>
                <w:color w:val="000000"/>
                <w:sz w:val="20"/>
              </w:rPr>
              <w:t>Разбор CRM и перераспределение бюджета</w:t>
            </w:r>
          </w:p>
        </w:tc>
        <w:tc>
          <w:tcPr>
            <w:tcW w:type="dxa" w:w="3515"/>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Недели 6 и 12: решение по кампаниям по правилам Медиаплана (п. 14): пауза, смена посадочной, перенос бюджета.</w:t>
            </w:r>
          </w:p>
        </w:tc>
        <w:tc>
          <w:tcPr>
            <w:tcW w:type="dxa" w:w="3742"/>
            <w:vAlign w:val="center"/>
            <w:tcMar>
              <w:top w:w="85" w:type="dxa"/>
              <w:start w:w="110" w:type="dxa"/>
              <w:bottom w:w="85" w:type="dxa"/>
              <w:end w:w="110" w:type="dxa"/>
              <w:left w:w="85" w:type="dxa"/>
              <w:right w:w="85" w:type="dxa"/>
            </w:tcMar>
            <w:shd w:fill="FFFFFF"/>
          </w:tcPr>
          <w:p>
            <w:pPr>
              <w:spacing w:after="60" w:line="252" w:lineRule="auto"/>
            </w:pPr>
            <w:r>
              <w:rPr>
                <w:color w:val="000000"/>
                <w:sz w:val="20"/>
              </w:rPr>
              <w:t>Недели 6, 12</w:t>
            </w:r>
          </w:p>
        </w:tc>
      </w:tr>
    </w:tbl>
    <w:p/>
    <w:p>
      <w:pPr>
        <w:pStyle w:val="Heading2"/>
      </w:pPr>
      <w:r>
        <w:rPr>
          <w:color w:val="000000"/>
          <w:u w:val="none"/>
        </w:rPr>
        <w:t>23.9 Контрольные точки</w:t>
      </w:r>
    </w:p>
    <w:p>
      <w:pPr>
        <w:pStyle w:val="ListBullet"/>
      </w:pPr>
      <w:r>
        <w:t>Контрольная точка первого этапа CRM: подтвердить результаты 23.2 и тесты 30–34, затем проверить цепочку каждой готовой формы до обследования и расчета. Подключение рекламы конкретной страницы допускается после ее собственного сквозного теста, без ожидания готовности остальных страниц.</w:t>
      </w:r>
    </w:p>
    <w:p>
      <w:pPr>
        <w:pStyle w:val="ListBullet"/>
      </w:pPr>
      <w:r>
        <w:t>Неделя 6: атрибуция передается в Google Ads через офлайн-конверсии, отчет по стоимости выезда и расчета работает.</w:t>
      </w:r>
    </w:p>
    <w:p>
      <w:pPr>
        <w:pStyle w:val="ListBullet"/>
      </w:pPr>
      <w:r>
        <w:t>Неделя 12: отчет по каналам, решение по бюджету, список изменений ТЗ по итогам фактических данных.</w:t>
      </w:r>
    </w:p>
    <w:p>
      <w:pPr>
        <w:pStyle w:val="Heading2"/>
      </w:pPr>
      <w:r>
        <w:rPr>
          <w:color w:val="000000"/>
          <w:u w:val="none"/>
        </w:rPr>
        <w:t>23.10 Статус плана работ и последовательность дальнейших шагов (на 2 октября 2026)</w:t>
      </w:r>
    </w:p>
    <w:p>
      <w:r>
        <w:t>«Выполнено по документам» означает результат, зафиксированный в v1.22 и статусе репозитория на 2 октября 2026; в этой редакции повторная проверка живого портала не проводилась. «В очереди» — предстоит внедрить; «Требует проверки» — есть требование или поля, но нет достаточного подтверждения полного сценария. Процент готовности всей CRM по числу строк этой таблицы не рассчитывать.</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567"/>
        <w:gridCol w:w="3628"/>
        <w:gridCol w:w="1814"/>
        <w:gridCol w:w="3742"/>
      </w:tblGrid>
      <w:tr>
        <w:trPr>
          <w:cantSplit/>
          <w:tblHeader/>
        </w:trPr>
        <w:tc>
          <w:tcPr>
            <w:tcW w:type="dxa" w:w="567"/>
            <w:shd w:fill="E7EBEF"/>
            <w:vAlign w:val="center"/>
            <w:tcMar>
              <w:top w:w="85" w:type="dxa"/>
              <w:bottom w:w="85" w:type="dxa"/>
              <w:left w:w="85" w:type="dxa"/>
              <w:right w:w="85" w:type="dxa"/>
            </w:tcMar>
          </w:tcPr>
          <w:p>
            <w:pPr>
              <w:keepNext/>
              <w:spacing w:after="60" w:line="252" w:lineRule="auto"/>
            </w:pPr>
            <w:r>
              <w:rPr>
                <w:b/>
                <w:color w:val="000000"/>
                <w:sz w:val="20"/>
              </w:rPr>
              <w:t>№</w:t>
            </w:r>
          </w:p>
        </w:tc>
        <w:tc>
          <w:tcPr>
            <w:tcW w:type="dxa" w:w="3628"/>
            <w:shd w:fill="E7EBEF"/>
            <w:vAlign w:val="center"/>
            <w:tcMar>
              <w:top w:w="85" w:type="dxa"/>
              <w:bottom w:w="85" w:type="dxa"/>
              <w:left w:w="85" w:type="dxa"/>
              <w:right w:w="85" w:type="dxa"/>
            </w:tcMar>
          </w:tcPr>
          <w:p>
            <w:pPr>
              <w:keepNext/>
              <w:spacing w:after="60" w:line="252" w:lineRule="auto"/>
            </w:pPr>
            <w:r>
              <w:rPr>
                <w:b/>
                <w:color w:val="000000"/>
                <w:sz w:val="20"/>
              </w:rPr>
              <w:t>Работа</w:t>
            </w:r>
          </w:p>
        </w:tc>
        <w:tc>
          <w:tcPr>
            <w:tcW w:type="dxa" w:w="1814"/>
            <w:shd w:fill="E7EBEF"/>
            <w:vAlign w:val="center"/>
            <w:tcMar>
              <w:top w:w="85" w:type="dxa"/>
              <w:bottom w:w="85" w:type="dxa"/>
              <w:left w:w="85" w:type="dxa"/>
              <w:right w:w="85" w:type="dxa"/>
            </w:tcMar>
          </w:tcPr>
          <w:p>
            <w:pPr>
              <w:keepNext/>
              <w:spacing w:after="60" w:line="252" w:lineRule="auto"/>
            </w:pPr>
            <w:r>
              <w:rPr>
                <w:b/>
                <w:color w:val="000000"/>
                <w:sz w:val="20"/>
              </w:rPr>
              <w:t>Статус</w:t>
            </w:r>
          </w:p>
        </w:tc>
        <w:tc>
          <w:tcPr>
            <w:tcW w:type="dxa" w:w="3742"/>
            <w:shd w:fill="E7EBEF"/>
            <w:vAlign w:val="center"/>
            <w:tcMar>
              <w:top w:w="85" w:type="dxa"/>
              <w:bottom w:w="85" w:type="dxa"/>
              <w:left w:w="85" w:type="dxa"/>
              <w:right w:w="85" w:type="dxa"/>
            </w:tcMar>
          </w:tcPr>
          <w:p>
            <w:pPr>
              <w:keepNext/>
              <w:spacing w:after="60" w:line="252" w:lineRule="auto"/>
            </w:pPr>
            <w:r>
              <w:rPr>
                <w:b/>
                <w:color w:val="000000"/>
                <w:sz w:val="20"/>
              </w:rPr>
              <w:t>Примечание</w:t>
            </w:r>
          </w:p>
        </w:tc>
      </w:tr>
      <w:tr>
        <w:trPr>
          <w:cantSplit/>
        </w:trPr>
        <w:tc>
          <w:tcPr>
            <w:tcW w:type="dxa" w:w="567"/>
            <w:vAlign w:val="center"/>
            <w:shd w:fill="FFFFFF"/>
            <w:tcMar>
              <w:top w:w="85" w:type="dxa"/>
              <w:bottom w:w="85" w:type="dxa"/>
              <w:left w:w="85" w:type="dxa"/>
              <w:right w:w="85" w:type="dxa"/>
            </w:tcMar>
          </w:tcPr>
          <w:p>
            <w:pPr>
              <w:spacing w:after="60" w:line="252" w:lineRule="auto"/>
            </w:pPr>
            <w:r>
              <w:rPr>
                <w:color w:val="000000"/>
                <w:sz w:val="20"/>
              </w:rPr>
              <w:t>1</w:t>
            </w:r>
          </w:p>
        </w:tc>
        <w:tc>
          <w:tcPr>
            <w:tcW w:type="dxa" w:w="3628"/>
            <w:vAlign w:val="center"/>
            <w:shd w:fill="FFFFFF"/>
            <w:tcMar>
              <w:top w:w="85" w:type="dxa"/>
              <w:bottom w:w="85" w:type="dxa"/>
              <w:left w:w="85" w:type="dxa"/>
              <w:right w:w="85" w:type="dxa"/>
            </w:tcMar>
          </w:tcPr>
          <w:p>
            <w:pPr>
              <w:spacing w:after="60" w:line="252" w:lineRule="auto"/>
            </w:pPr>
            <w:r>
              <w:rPr>
                <w:color w:val="000000"/>
                <w:sz w:val="20"/>
              </w:rPr>
              <w:t>Стадии обследования, обязательность на стадии, задачи и сроки (разд. 22)</w:t>
            </w:r>
          </w:p>
        </w:tc>
        <w:tc>
          <w:tcPr>
            <w:tcW w:type="dxa" w:w="1814"/>
            <w:vAlign w:val="center"/>
            <w:shd w:fill="FFFFFF"/>
            <w:tcMar>
              <w:top w:w="85" w:type="dxa"/>
              <w:bottom w:w="85" w:type="dxa"/>
              <w:left w:w="85" w:type="dxa"/>
              <w:right w:w="85" w:type="dxa"/>
            </w:tcMar>
          </w:tcPr>
          <w:p>
            <w:pPr>
              <w:spacing w:after="60" w:line="252" w:lineRule="auto"/>
            </w:pPr>
            <w:r>
              <w:rPr>
                <w:color w:val="000000"/>
                <w:sz w:val="20"/>
              </w:rPr>
              <w:t>Выполнено</w:t>
            </w:r>
          </w:p>
        </w:tc>
        <w:tc>
          <w:tcPr>
            <w:tcW w:type="dxa" w:w="3742"/>
            <w:vAlign w:val="center"/>
            <w:shd w:fill="FFFFFF"/>
            <w:tcMar>
              <w:top w:w="85" w:type="dxa"/>
              <w:bottom w:w="85" w:type="dxa"/>
              <w:left w:w="85" w:type="dxa"/>
              <w:right w:w="85" w:type="dxa"/>
            </w:tcMar>
          </w:tcPr>
          <w:p>
            <w:pPr>
              <w:spacing w:after="60" w:line="252" w:lineRule="auto"/>
            </w:pPr>
            <w:r>
              <w:rPr>
                <w:color w:val="000000"/>
                <w:sz w:val="20"/>
              </w:rPr>
              <w:t>Тесты 32 и 33 пройдены; триггеры пересчета ICP удалены</w:t>
            </w:r>
          </w:p>
        </w:tc>
      </w:tr>
      <w:tr>
        <w:trPr>
          <w:cantSplit/>
        </w:trPr>
        <w:tc>
          <w:tcPr>
            <w:tcW w:type="dxa" w:w="567"/>
            <w:vAlign w:val="center"/>
            <w:shd w:fill="FFFFFF"/>
            <w:tcMar>
              <w:top w:w="85" w:type="dxa"/>
              <w:bottom w:w="85" w:type="dxa"/>
              <w:left w:w="85" w:type="dxa"/>
              <w:right w:w="85" w:type="dxa"/>
            </w:tcMar>
          </w:tcPr>
          <w:p>
            <w:pPr>
              <w:spacing w:after="60" w:line="252" w:lineRule="auto"/>
            </w:pPr>
            <w:r>
              <w:rPr>
                <w:color w:val="000000"/>
                <w:sz w:val="20"/>
              </w:rPr>
              <w:t>2</w:t>
            </w:r>
          </w:p>
        </w:tc>
        <w:tc>
          <w:tcPr>
            <w:tcW w:type="dxa" w:w="3628"/>
            <w:vAlign w:val="center"/>
            <w:shd w:fill="FFFFFF"/>
            <w:tcMar>
              <w:top w:w="85" w:type="dxa"/>
              <w:bottom w:w="85" w:type="dxa"/>
              <w:left w:w="85" w:type="dxa"/>
              <w:right w:w="85" w:type="dxa"/>
            </w:tcMar>
          </w:tcPr>
          <w:p>
            <w:pPr>
              <w:spacing w:after="60" w:line="252" w:lineRule="auto"/>
            </w:pPr>
            <w:r>
              <w:rPr>
                <w:color w:val="000000"/>
                <w:sz w:val="20"/>
              </w:rPr>
              <w:t>Цепочка ICP на «Обследование принято» (13 роботов)</w:t>
            </w:r>
          </w:p>
        </w:tc>
        <w:tc>
          <w:tcPr>
            <w:tcW w:type="dxa" w:w="1814"/>
            <w:vAlign w:val="center"/>
            <w:shd w:fill="FFFFFF"/>
            <w:tcMar>
              <w:top w:w="85" w:type="dxa"/>
              <w:bottom w:w="85" w:type="dxa"/>
              <w:left w:w="85" w:type="dxa"/>
              <w:right w:w="85" w:type="dxa"/>
            </w:tcMar>
          </w:tcPr>
          <w:p>
            <w:pPr>
              <w:spacing w:after="60" w:line="252" w:lineRule="auto"/>
            </w:pPr>
            <w:r>
              <w:rPr>
                <w:color w:val="000000"/>
                <w:sz w:val="20"/>
              </w:rPr>
              <w:t>Выполнено</w:t>
            </w:r>
          </w:p>
        </w:tc>
        <w:tc>
          <w:tcPr>
            <w:tcW w:type="dxa" w:w="3742"/>
            <w:vAlign w:val="center"/>
            <w:shd w:fill="FFFFFF"/>
            <w:tcMar>
              <w:top w:w="85" w:type="dxa"/>
              <w:bottom w:w="85" w:type="dxa"/>
              <w:left w:w="85" w:type="dxa"/>
              <w:right w:w="85" w:type="dxa"/>
            </w:tcMar>
          </w:tcPr>
          <w:p>
            <w:pPr>
              <w:spacing w:after="60" w:line="252" w:lineRule="auto"/>
            </w:pPr>
            <w:r>
              <w:rPr>
                <w:color w:val="000000"/>
                <w:sz w:val="20"/>
              </w:rPr>
              <w:t>Скопирована и проверена: ICP пересчитывается при входе на стадию</w:t>
            </w:r>
          </w:p>
        </w:tc>
      </w:tr>
      <w:tr>
        <w:trPr>
          <w:cantSplit/>
        </w:trPr>
        <w:tc>
          <w:tcPr>
            <w:tcW w:type="dxa" w:w="567"/>
            <w:vAlign w:val="center"/>
            <w:shd w:fill="FFFFFF"/>
            <w:tcMar>
              <w:top w:w="85" w:type="dxa"/>
              <w:bottom w:w="85" w:type="dxa"/>
              <w:left w:w="85" w:type="dxa"/>
              <w:right w:w="85" w:type="dxa"/>
            </w:tcMar>
          </w:tcPr>
          <w:p>
            <w:pPr>
              <w:spacing w:after="60" w:line="252" w:lineRule="auto"/>
            </w:pPr>
            <w:r>
              <w:rPr>
                <w:color w:val="000000"/>
                <w:sz w:val="20"/>
              </w:rPr>
              <w:t>3</w:t>
            </w:r>
          </w:p>
        </w:tc>
        <w:tc>
          <w:tcPr>
            <w:tcW w:type="dxa" w:w="3628"/>
            <w:vAlign w:val="center"/>
            <w:shd w:fill="FFFFFF"/>
            <w:tcMar>
              <w:top w:w="85" w:type="dxa"/>
              <w:bottom w:w="85" w:type="dxa"/>
              <w:left w:w="85" w:type="dxa"/>
              <w:right w:w="85" w:type="dxa"/>
            </w:tcMar>
          </w:tcPr>
          <w:p>
            <w:pPr>
              <w:spacing w:after="60" w:line="252" w:lineRule="auto"/>
            </w:pPr>
            <w:r>
              <w:rPr>
                <w:color w:val="000000"/>
                <w:sz w:val="20"/>
              </w:rPr>
              <w:t>Робот-задача «Следующий шаг» на «принято» (срок — дата следующего шага)</w:t>
            </w:r>
          </w:p>
        </w:tc>
        <w:tc>
          <w:tcPr>
            <w:tcW w:type="dxa" w:w="1814"/>
            <w:vAlign w:val="center"/>
            <w:shd w:fill="FFFFFF"/>
            <w:tcMar>
              <w:top w:w="85" w:type="dxa"/>
              <w:bottom w:w="85" w:type="dxa"/>
              <w:left w:w="85" w:type="dxa"/>
              <w:right w:w="85" w:type="dxa"/>
            </w:tcMar>
          </w:tcPr>
          <w:p>
            <w:pPr>
              <w:spacing w:after="60" w:line="252" w:lineRule="auto"/>
            </w:pPr>
            <w:r>
              <w:rPr>
                <w:color w:val="000000"/>
                <w:sz w:val="20"/>
              </w:rPr>
              <w:t>Выполнено</w:t>
            </w:r>
          </w:p>
        </w:tc>
        <w:tc>
          <w:tcPr>
            <w:tcW w:type="dxa" w:w="3742"/>
            <w:vAlign w:val="center"/>
            <w:shd w:fill="FFFFFF"/>
            <w:tcMar>
              <w:top w:w="85" w:type="dxa"/>
              <w:bottom w:w="85" w:type="dxa"/>
              <w:left w:w="85" w:type="dxa"/>
              <w:right w:w="85" w:type="dxa"/>
            </w:tcMar>
          </w:tcPr>
          <w:p>
            <w:pPr>
              <w:spacing w:after="60" w:line="252" w:lineRule="auto"/>
            </w:pPr>
            <w:r>
              <w:rPr>
                <w:color w:val="000000"/>
                <w:sz w:val="20"/>
              </w:rPr>
              <w:t>Проверено на тестовой сделке 1 октября 2026</w:t>
            </w:r>
          </w:p>
        </w:tc>
      </w:tr>
      <w:tr>
        <w:trPr>
          <w:cantSplit/>
        </w:trPr>
        <w:tc>
          <w:tcPr>
            <w:tcW w:type="dxa" w:w="567"/>
            <w:vAlign w:val="center"/>
            <w:shd w:fill="FFFFFF"/>
            <w:tcMar>
              <w:top w:w="85" w:type="dxa"/>
              <w:bottom w:w="85" w:type="dxa"/>
              <w:left w:w="85" w:type="dxa"/>
              <w:right w:w="85" w:type="dxa"/>
            </w:tcMar>
          </w:tcPr>
          <w:p>
            <w:pPr>
              <w:spacing w:after="60" w:line="252" w:lineRule="auto"/>
            </w:pPr>
            <w:r>
              <w:rPr>
                <w:color w:val="000000"/>
                <w:sz w:val="20"/>
              </w:rPr>
              <w:t>4</w:t>
            </w:r>
          </w:p>
        </w:tc>
        <w:tc>
          <w:tcPr>
            <w:tcW w:type="dxa" w:w="3628"/>
            <w:vAlign w:val="center"/>
            <w:shd w:fill="FFFFFF"/>
            <w:tcMar>
              <w:top w:w="85" w:type="dxa"/>
              <w:bottom w:w="85" w:type="dxa"/>
              <w:left w:w="85" w:type="dxa"/>
              <w:right w:w="85" w:type="dxa"/>
            </w:tcMar>
          </w:tcPr>
          <w:p>
            <w:pPr>
              <w:spacing w:after="60" w:line="252" w:lineRule="auto"/>
            </w:pPr>
            <w:r>
              <w:rPr>
                <w:color w:val="000000"/>
                <w:sz w:val="20"/>
              </w:rPr>
              <w:t>Маршрутизация после обследования</w:t>
            </w:r>
          </w:p>
        </w:tc>
        <w:tc>
          <w:tcPr>
            <w:tcW w:type="dxa" w:w="1814"/>
            <w:vAlign w:val="center"/>
            <w:shd w:fill="FFFFFF"/>
            <w:tcMar>
              <w:top w:w="85" w:type="dxa"/>
              <w:bottom w:w="85" w:type="dxa"/>
              <w:left w:w="85" w:type="dxa"/>
              <w:right w:w="85" w:type="dxa"/>
            </w:tcMar>
          </w:tcPr>
          <w:p>
            <w:pPr>
              <w:spacing w:after="60" w:line="252" w:lineRule="auto"/>
            </w:pPr>
            <w:r>
              <w:rPr>
                <w:color w:val="000000"/>
                <w:sz w:val="20"/>
              </w:rPr>
              <w:t>Выполнено (уточнено)</w:t>
            </w:r>
          </w:p>
        </w:tc>
        <w:tc>
          <w:tcPr>
            <w:tcW w:type="dxa" w:w="3742"/>
            <w:vAlign w:val="center"/>
            <w:shd w:fill="FFFFFF"/>
            <w:tcMar>
              <w:top w:w="85" w:type="dxa"/>
              <w:bottom w:w="85" w:type="dxa"/>
              <w:left w:w="85" w:type="dxa"/>
              <w:right w:w="85" w:type="dxa"/>
            </w:tcMar>
          </w:tcPr>
          <w:p>
            <w:pPr>
              <w:spacing w:after="60" w:line="252" w:lineRule="auto"/>
            </w:pPr>
            <w:r>
              <w:rPr>
                <w:color w:val="000000"/>
                <w:sz w:val="20"/>
              </w:rPr>
              <w:t>Сделка не копируется: на «Согласование условий» координатор меняет воронку или ведет разовую сделку на «Счет / договор»</w:t>
            </w:r>
          </w:p>
        </w:tc>
      </w:tr>
      <w:tr>
        <w:trPr>
          <w:cantSplit/>
        </w:trPr>
        <w:tc>
          <w:tcPr>
            <w:tcW w:type="dxa" w:w="567"/>
            <w:vAlign w:val="center"/>
            <w:shd w:fill="FFFFFF"/>
            <w:tcMar>
              <w:top w:w="85" w:type="dxa"/>
              <w:bottom w:w="85" w:type="dxa"/>
              <w:left w:w="85" w:type="dxa"/>
              <w:right w:w="85" w:type="dxa"/>
            </w:tcMar>
          </w:tcPr>
          <w:p>
            <w:pPr>
              <w:spacing w:after="60" w:line="252" w:lineRule="auto"/>
            </w:pPr>
            <w:r>
              <w:rPr>
                <w:color w:val="000000"/>
                <w:sz w:val="20"/>
              </w:rPr>
              <w:t>5</w:t>
            </w:r>
          </w:p>
        </w:tc>
        <w:tc>
          <w:tcPr>
            <w:tcW w:type="dxa" w:w="3628"/>
            <w:vAlign w:val="center"/>
            <w:shd w:fill="FFFFFF"/>
            <w:tcMar>
              <w:top w:w="85" w:type="dxa"/>
              <w:bottom w:w="85" w:type="dxa"/>
              <w:left w:w="85" w:type="dxa"/>
              <w:right w:w="85" w:type="dxa"/>
            </w:tcMar>
          </w:tcPr>
          <w:p>
            <w:pPr>
              <w:spacing w:after="60" w:line="252" w:lineRule="auto"/>
            </w:pPr>
            <w:r>
              <w:rPr>
                <w:color w:val="000000"/>
                <w:sz w:val="20"/>
              </w:rPr>
              <w:t>Бонусные поля техника и ЛПР в карточке</w:t>
            </w:r>
          </w:p>
        </w:tc>
        <w:tc>
          <w:tcPr>
            <w:tcW w:type="dxa" w:w="1814"/>
            <w:vAlign w:val="center"/>
            <w:shd w:fill="FFFFFF"/>
            <w:tcMar>
              <w:top w:w="85" w:type="dxa"/>
              <w:bottom w:w="85" w:type="dxa"/>
              <w:left w:w="85" w:type="dxa"/>
              <w:right w:w="85" w:type="dxa"/>
            </w:tcMar>
          </w:tcPr>
          <w:p>
            <w:pPr>
              <w:spacing w:after="60" w:line="252" w:lineRule="auto"/>
            </w:pPr>
            <w:r>
              <w:rPr>
                <w:color w:val="000000"/>
                <w:sz w:val="20"/>
              </w:rPr>
              <w:t>Выполнено</w:t>
            </w:r>
          </w:p>
        </w:tc>
        <w:tc>
          <w:tcPr>
            <w:tcW w:type="dxa" w:w="3742"/>
            <w:vAlign w:val="center"/>
            <w:shd w:fill="FFFFFF"/>
            <w:tcMar>
              <w:top w:w="85" w:type="dxa"/>
              <w:bottom w:w="85" w:type="dxa"/>
              <w:left w:w="85" w:type="dxa"/>
              <w:right w:w="85" w:type="dxa"/>
            </w:tcMar>
          </w:tcPr>
          <w:p>
            <w:pPr>
              <w:spacing w:after="60" w:line="252" w:lineRule="auto"/>
            </w:pPr>
            <w:r>
              <w:rPr>
                <w:color w:val="000000"/>
                <w:sz w:val="20"/>
              </w:rPr>
              <w:t>Поля UF_CRM_1790826959 и UF_CRM_1790826968</w:t>
            </w:r>
          </w:p>
        </w:tc>
      </w:tr>
      <w:tr>
        <w:trPr>
          <w:cantSplit/>
        </w:trPr>
        <w:tc>
          <w:tcPr>
            <w:tcW w:type="dxa" w:w="567"/>
            <w:vAlign w:val="center"/>
            <w:shd w:fill="FFFFFF"/>
            <w:tcMar>
              <w:top w:w="85" w:type="dxa"/>
              <w:bottom w:w="85" w:type="dxa"/>
              <w:left w:w="85" w:type="dxa"/>
              <w:right w:w="85" w:type="dxa"/>
            </w:tcMar>
          </w:tcPr>
          <w:p>
            <w:pPr>
              <w:spacing w:after="60" w:line="252" w:lineRule="auto"/>
            </w:pPr>
            <w:r>
              <w:rPr>
                <w:color w:val="000000"/>
                <w:sz w:val="20"/>
              </w:rPr>
              <w:t>6</w:t>
            </w:r>
          </w:p>
        </w:tc>
        <w:tc>
          <w:tcPr>
            <w:tcW w:type="dxa" w:w="3628"/>
            <w:vAlign w:val="center"/>
            <w:shd w:fill="FFFFFF"/>
            <w:tcMar>
              <w:top w:w="85" w:type="dxa"/>
              <w:bottom w:w="85" w:type="dxa"/>
              <w:left w:w="85" w:type="dxa"/>
              <w:right w:w="85" w:type="dxa"/>
            </w:tcMar>
          </w:tcPr>
          <w:p>
            <w:pPr>
              <w:spacing w:after="60" w:line="252" w:lineRule="auto"/>
            </w:pPr>
            <w:r>
              <w:rPr>
                <w:color w:val="000000"/>
                <w:sz w:val="20"/>
              </w:rPr>
              <w:t>Событие visit_done: сервис cloud-run/crm-events</w:t>
            </w:r>
          </w:p>
        </w:tc>
        <w:tc>
          <w:tcPr>
            <w:tcW w:type="dxa" w:w="1814"/>
            <w:vAlign w:val="center"/>
            <w:shd w:fill="FFFFFF"/>
            <w:tcMar>
              <w:top w:w="85" w:type="dxa"/>
              <w:bottom w:w="85" w:type="dxa"/>
              <w:left w:w="85" w:type="dxa"/>
              <w:right w:w="85" w:type="dxa"/>
            </w:tcMar>
          </w:tcPr>
          <w:p>
            <w:pPr>
              <w:spacing w:after="60" w:line="252" w:lineRule="auto"/>
            </w:pPr>
            <w:r>
              <w:rPr>
                <w:rFonts w:ascii="Arial" w:hAnsi="Arial"/>
                <w:color w:val="000000"/>
                <w:sz w:val="18"/>
              </w:rPr>
              <w:t>Выполнено</w:t>
            </w:r>
          </w:p>
        </w:tc>
        <w:tc>
          <w:tcPr>
            <w:tcW w:type="dxa" w:w="3742"/>
            <w:vAlign w:val="center"/>
            <w:shd w:fill="FFFFFF"/>
            <w:tcMar>
              <w:top w:w="85" w:type="dxa"/>
              <w:bottom w:w="85" w:type="dxa"/>
              <w:left w:w="85" w:type="dxa"/>
              <w:right w:w="85" w:type="dxa"/>
            </w:tcMar>
          </w:tcPr>
          <w:p>
            <w:pPr>
              <w:spacing w:after="60" w:line="252" w:lineRule="auto"/>
            </w:pPr>
            <w:r>
              <w:rPr>
                <w:rFonts w:ascii="Arial" w:hAnsi="Arial"/>
                <w:color w:val="000000"/>
                <w:sz w:val="18"/>
              </w:rPr>
              <w:t>Сервис развернут в Cloud Run, события пишутся в существующую crm_events; тесты пройдены, дубликатов событий нет</w:t>
            </w:r>
          </w:p>
        </w:tc>
      </w:tr>
      <w:tr>
        <w:trPr>
          <w:cantSplit/>
        </w:trPr>
        <w:tc>
          <w:tcPr>
            <w:tcW w:type="dxa" w:w="567"/>
            <w:vAlign w:val="center"/>
            <w:shd w:fill="FFFFFF"/>
            <w:tcMar>
              <w:top w:w="85" w:type="dxa"/>
              <w:bottom w:w="85" w:type="dxa"/>
              <w:left w:w="85" w:type="dxa"/>
              <w:right w:w="85" w:type="dxa"/>
            </w:tcMar>
          </w:tcPr>
          <w:p>
            <w:pPr>
              <w:spacing w:after="60" w:line="252" w:lineRule="auto"/>
            </w:pPr>
            <w:r>
              <w:rPr>
                <w:color w:val="000000"/>
                <w:sz w:val="20"/>
              </w:rPr>
              <w:t>7</w:t>
            </w:r>
          </w:p>
        </w:tc>
        <w:tc>
          <w:tcPr>
            <w:tcW w:type="dxa" w:w="3628"/>
            <w:vAlign w:val="center"/>
            <w:shd w:fill="FFFFFF"/>
            <w:tcMar>
              <w:top w:w="85" w:type="dxa"/>
              <w:bottom w:w="85" w:type="dxa"/>
              <w:left w:w="85" w:type="dxa"/>
              <w:right w:w="85" w:type="dxa"/>
            </w:tcMar>
          </w:tcPr>
          <w:p>
            <w:pPr>
              <w:spacing w:after="60" w:line="252" w:lineRule="auto"/>
            </w:pPr>
            <w:r>
              <w:rPr>
                <w:color w:val="000000"/>
                <w:sz w:val="20"/>
              </w:rPr>
              <w:t>Развертывание crm-events в Cloud Run (BITRIX_WEBHOOK_URL, ROBOT_SECRET)</w:t>
            </w:r>
          </w:p>
        </w:tc>
        <w:tc>
          <w:tcPr>
            <w:tcW w:type="dxa" w:w="1814"/>
            <w:vAlign w:val="center"/>
            <w:shd w:fill="FFFFFF"/>
            <w:tcMar>
              <w:top w:w="85" w:type="dxa"/>
              <w:bottom w:w="85" w:type="dxa"/>
              <w:left w:w="85" w:type="dxa"/>
              <w:right w:w="85" w:type="dxa"/>
            </w:tcMar>
          </w:tcPr>
          <w:p>
            <w:pPr>
              <w:spacing w:after="60" w:line="252" w:lineRule="auto"/>
            </w:pPr>
            <w:r>
              <w:rPr>
                <w:rFonts w:ascii="Arial" w:hAnsi="Arial"/>
                <w:color w:val="000000"/>
                <w:sz w:val="18"/>
              </w:rPr>
              <w:t>Выполнено</w:t>
            </w:r>
          </w:p>
        </w:tc>
        <w:tc>
          <w:tcPr>
            <w:tcW w:type="dxa" w:w="3742"/>
            <w:vAlign w:val="center"/>
            <w:shd w:fill="FFFFFF"/>
            <w:tcMar>
              <w:top w:w="85" w:type="dxa"/>
              <w:bottom w:w="85" w:type="dxa"/>
              <w:left w:w="85" w:type="dxa"/>
              <w:right w:w="85" w:type="dxa"/>
            </w:tcMar>
          </w:tcPr>
          <w:p>
            <w:pPr>
              <w:spacing w:after="60" w:line="252" w:lineRule="auto"/>
            </w:pPr>
            <w:r>
              <w:rPr>
                <w:rFonts w:ascii="Arial" w:hAnsi="Arial"/>
                <w:color w:val="000000"/>
                <w:sz w:val="18"/>
              </w:rPr>
              <w:t>Cloud Run развернут в регионе europe-west3; секреты заданы владельцем</w:t>
            </w:r>
          </w:p>
        </w:tc>
      </w:tr>
      <w:tr>
        <w:trPr>
          <w:cantSplit/>
        </w:trPr>
        <w:tc>
          <w:tcPr>
            <w:tcW w:type="dxa" w:w="567"/>
            <w:vAlign w:val="center"/>
            <w:shd w:fill="FFFFFF"/>
            <w:tcMar>
              <w:top w:w="85" w:type="dxa"/>
              <w:bottom w:w="85" w:type="dxa"/>
              <w:left w:w="85" w:type="dxa"/>
              <w:right w:w="85" w:type="dxa"/>
            </w:tcMar>
          </w:tcPr>
          <w:p>
            <w:pPr>
              <w:spacing w:after="60" w:line="252" w:lineRule="auto"/>
            </w:pPr>
            <w:r>
              <w:rPr>
                <w:color w:val="000000"/>
                <w:sz w:val="20"/>
              </w:rPr>
              <w:t>8</w:t>
            </w:r>
          </w:p>
        </w:tc>
        <w:tc>
          <w:tcPr>
            <w:tcW w:type="dxa" w:w="3628"/>
            <w:vAlign w:val="center"/>
            <w:shd w:fill="FFFFFF"/>
            <w:tcMar>
              <w:top w:w="85" w:type="dxa"/>
              <w:bottom w:w="85" w:type="dxa"/>
              <w:left w:w="85" w:type="dxa"/>
              <w:right w:w="85" w:type="dxa"/>
            </w:tcMar>
          </w:tcPr>
          <w:p>
            <w:pPr>
              <w:spacing w:after="60" w:line="252" w:lineRule="auto"/>
            </w:pPr>
            <w:r>
              <w:rPr>
                <w:color w:val="000000"/>
                <w:sz w:val="20"/>
              </w:rPr>
              <w:t>Робот «Вебхук» на «принято»: POST /event?name=visit_done&amp;deal_id={=Document:ID}</w:t>
            </w:r>
          </w:p>
        </w:tc>
        <w:tc>
          <w:tcPr>
            <w:tcW w:type="dxa" w:w="1814"/>
            <w:vAlign w:val="center"/>
            <w:shd w:fill="FFFFFF"/>
            <w:tcMar>
              <w:top w:w="85" w:type="dxa"/>
              <w:bottom w:w="85" w:type="dxa"/>
              <w:left w:w="85" w:type="dxa"/>
              <w:right w:w="85" w:type="dxa"/>
            </w:tcMar>
          </w:tcPr>
          <w:p>
            <w:pPr>
              <w:spacing w:after="60" w:line="252" w:lineRule="auto"/>
            </w:pPr>
            <w:r>
              <w:rPr>
                <w:rFonts w:ascii="Arial" w:hAnsi="Arial"/>
                <w:color w:val="000000"/>
                <w:sz w:val="18"/>
              </w:rPr>
              <w:t>Выполнено</w:t>
            </w:r>
          </w:p>
        </w:tc>
        <w:tc>
          <w:tcPr>
            <w:tcW w:type="dxa" w:w="3742"/>
            <w:vAlign w:val="center"/>
            <w:shd w:fill="FFFFFF"/>
            <w:tcMar>
              <w:top w:w="85" w:type="dxa"/>
              <w:bottom w:w="85" w:type="dxa"/>
              <w:left w:w="85" w:type="dxa"/>
              <w:right w:w="85" w:type="dxa"/>
            </w:tcMar>
          </w:tcPr>
          <w:p>
            <w:pPr>
              <w:spacing w:after="60" w:line="252" w:lineRule="auto"/>
            </w:pPr>
            <w:r>
              <w:rPr>
                <w:rFonts w:ascii="Arial" w:hAnsi="Arial"/>
                <w:color w:val="000000"/>
                <w:sz w:val="18"/>
              </w:rPr>
              <w:t>Роботы вебхука настроены на «Квалифицирована», «Обследование назначено», «Обследование принято», «Счёт / договор отправлен» и «Договор заключён»</w:t>
            </w:r>
          </w:p>
        </w:tc>
      </w:tr>
      <w:tr>
        <w:trPr>
          <w:cantSplit/>
        </w:trPr>
        <w:tc>
          <w:tcPr>
            <w:tcW w:type="dxa" w:w="567"/>
            <w:vAlign w:val="center"/>
            <w:shd w:fill="FFFFFF"/>
            <w:tcMar>
              <w:top w:w="85" w:type="dxa"/>
              <w:bottom w:w="85" w:type="dxa"/>
              <w:left w:w="85" w:type="dxa"/>
              <w:right w:w="85" w:type="dxa"/>
            </w:tcMar>
          </w:tcPr>
          <w:p>
            <w:pPr>
              <w:spacing w:after="60" w:line="252" w:lineRule="auto"/>
            </w:pPr>
            <w:r>
              <w:rPr>
                <w:color w:val="000000"/>
                <w:sz w:val="20"/>
              </w:rPr>
              <w:t>9</w:t>
            </w:r>
          </w:p>
        </w:tc>
        <w:tc>
          <w:tcPr>
            <w:tcW w:type="dxa" w:w="3628"/>
            <w:vAlign w:val="center"/>
            <w:shd w:fill="FFFFFF"/>
            <w:tcMar>
              <w:top w:w="85" w:type="dxa"/>
              <w:bottom w:w="85" w:type="dxa"/>
              <w:left w:w="85" w:type="dxa"/>
              <w:right w:w="85" w:type="dxa"/>
            </w:tcMar>
          </w:tcPr>
          <w:p>
            <w:pPr>
              <w:spacing w:after="60" w:line="252" w:lineRule="auto"/>
            </w:pPr>
            <w:r>
              <w:rPr>
                <w:color w:val="000000"/>
                <w:sz w:val="20"/>
              </w:rPr>
              <w:t>Вывод из работы старых полей (UF_CRM_SERVICE_SCHEDULE_DATE, «Контроль качества»)</w:t>
            </w:r>
          </w:p>
        </w:tc>
        <w:tc>
          <w:tcPr>
            <w:tcW w:type="dxa" w:w="1814"/>
            <w:vAlign w:val="center"/>
            <w:shd w:fill="FFFFFF"/>
            <w:tcMar>
              <w:top w:w="85" w:type="dxa"/>
              <w:bottom w:w="85" w:type="dxa"/>
              <w:left w:w="85" w:type="dxa"/>
              <w:right w:w="85" w:type="dxa"/>
            </w:tcMar>
          </w:tcPr>
          <w:p>
            <w:pPr>
              <w:spacing w:after="60" w:line="252" w:lineRule="auto"/>
            </w:pPr>
            <w:r>
              <w:rPr>
                <w:rFonts w:ascii="Arial" w:hAnsi="Arial"/>
                <w:color w:val="000000"/>
                <w:sz w:val="18"/>
              </w:rPr>
              <w:t>Выполнено</w:t>
            </w:r>
          </w:p>
        </w:tc>
        <w:tc>
          <w:tcPr>
            <w:tcW w:type="dxa" w:w="3742"/>
            <w:vAlign w:val="center"/>
            <w:shd w:fill="FFFFFF"/>
            <w:tcMar>
              <w:top w:w="85" w:type="dxa"/>
              <w:bottom w:w="85" w:type="dxa"/>
              <w:left w:w="85" w:type="dxa"/>
              <w:right w:w="85" w:type="dxa"/>
            </w:tcMar>
          </w:tcPr>
          <w:p>
            <w:pPr>
              <w:spacing w:after="60" w:line="252" w:lineRule="auto"/>
            </w:pPr>
            <w:r>
              <w:rPr>
                <w:rFonts w:ascii="Arial" w:hAnsi="Arial"/>
                <w:color w:val="000000"/>
                <w:sz w:val="18"/>
              </w:rPr>
              <w:t>UF_CRM_SERVICE_SCHEDULE_DATE и дублирующие поля контроля качества удалены</w:t>
            </w:r>
          </w:p>
        </w:tc>
      </w:tr>
      <w:tr>
        <w:trPr>
          <w:cantSplit/>
        </w:trPr>
        <w:tc>
          <w:tcPr>
            <w:tcW w:type="dxa" w:w="567"/>
            <w:vAlign w:val="center"/>
            <w:shd w:fill="FFFFFF"/>
            <w:tcMar>
              <w:top w:w="85" w:type="dxa"/>
              <w:bottom w:w="85" w:type="dxa"/>
              <w:left w:w="85" w:type="dxa"/>
              <w:right w:w="85" w:type="dxa"/>
            </w:tcMar>
          </w:tcPr>
          <w:p>
            <w:pPr>
              <w:spacing w:after="60" w:line="252" w:lineRule="auto"/>
            </w:pPr>
            <w:r>
              <w:rPr>
                <w:color w:val="000000"/>
                <w:sz w:val="20"/>
              </w:rPr>
              <w:t>10</w:t>
            </w:r>
          </w:p>
        </w:tc>
        <w:tc>
          <w:tcPr>
            <w:tcW w:type="dxa" w:w="3628"/>
            <w:vAlign w:val="center"/>
            <w:shd w:fill="FFFFFF"/>
            <w:tcMar>
              <w:top w:w="85" w:type="dxa"/>
              <w:bottom w:w="85" w:type="dxa"/>
              <w:left w:w="85" w:type="dxa"/>
              <w:right w:w="85" w:type="dxa"/>
            </w:tcMar>
          </w:tcPr>
          <w:p>
            <w:pPr>
              <w:spacing w:after="60" w:line="252" w:lineRule="auto"/>
            </w:pPr>
            <w:r>
              <w:rPr>
                <w:color w:val="000000"/>
                <w:sz w:val="20"/>
              </w:rPr>
              <w:t>Инструкции координатору и технику</w:t>
            </w:r>
          </w:p>
        </w:tc>
        <w:tc>
          <w:tcPr>
            <w:tcW w:type="dxa" w:w="1814"/>
            <w:vAlign w:val="center"/>
            <w:shd w:fill="FFFFFF"/>
            <w:tcMar>
              <w:top w:w="85" w:type="dxa"/>
              <w:bottom w:w="85" w:type="dxa"/>
              <w:left w:w="85" w:type="dxa"/>
              <w:right w:w="85" w:type="dxa"/>
            </w:tcMar>
          </w:tcPr>
          <w:p>
            <w:pPr>
              <w:spacing w:after="60" w:line="252" w:lineRule="auto"/>
            </w:pPr>
            <w:r>
              <w:rPr>
                <w:rFonts w:ascii="Arial" w:hAnsi="Arial"/>
                <w:color w:val="000000"/>
                <w:sz w:val="18"/>
              </w:rPr>
              <w:t>Выполнено</w:t>
            </w:r>
          </w:p>
        </w:tc>
        <w:tc>
          <w:tcPr>
            <w:tcW w:type="dxa" w:w="3742"/>
            <w:vAlign w:val="center"/>
            <w:shd w:fill="FFFFFF"/>
            <w:tcMar>
              <w:top w:w="85" w:type="dxa"/>
              <w:bottom w:w="85" w:type="dxa"/>
              <w:left w:w="85" w:type="dxa"/>
              <w:right w:w="85" w:type="dxa"/>
            </w:tcMar>
          </w:tcPr>
          <w:p>
            <w:pPr>
              <w:spacing w:after="60" w:line="252" w:lineRule="auto"/>
            </w:pPr>
            <w:r>
              <w:rPr>
                <w:rFonts w:ascii="Arial" w:hAnsi="Arial"/>
                <w:color w:val="000000"/>
                <w:sz w:val="18"/>
              </w:rPr>
              <w:t>Памятка для координатора и техника добавлена в репозиторий в Markdown и Word</w:t>
            </w:r>
          </w:p>
        </w:tc>
      </w:tr>
      <w:tr>
        <w:trPr>
          <w:cantSplit/>
        </w:trPr>
        <w:tc>
          <w:tcPr>
            <w:tcW w:type="dxa" w:w="567"/>
            <w:vAlign w:val="center"/>
            <w:shd w:fill="FFFFFF"/>
            <w:tcMar>
              <w:top w:w="85" w:type="dxa"/>
              <w:bottom w:w="85" w:type="dxa"/>
              <w:left w:w="85" w:type="dxa"/>
              <w:right w:w="85" w:type="dxa"/>
            </w:tcMar>
          </w:tcPr>
          <w:p>
            <w:pPr>
              <w:spacing w:after="60" w:line="252" w:lineRule="auto"/>
            </w:pPr>
            <w:r>
              <w:rPr>
                <w:color w:val="000000"/>
                <w:sz w:val="20"/>
              </w:rPr>
              <w:t>11</w:t>
            </w:r>
          </w:p>
        </w:tc>
        <w:tc>
          <w:tcPr>
            <w:tcW w:type="dxa" w:w="3628"/>
            <w:vAlign w:val="center"/>
            <w:shd w:fill="FFFFFF"/>
            <w:tcMar>
              <w:top w:w="85" w:type="dxa"/>
              <w:bottom w:w="85" w:type="dxa"/>
              <w:left w:w="85" w:type="dxa"/>
              <w:right w:w="85" w:type="dxa"/>
            </w:tcMar>
          </w:tcPr>
          <w:p>
            <w:pPr>
              <w:spacing w:after="60" w:line="252" w:lineRule="auto"/>
            </w:pPr>
            <w:r>
              <w:rPr>
                <w:color w:val="000000"/>
                <w:sz w:val="20"/>
              </w:rPr>
              <w:t>Атрибуция в lead.js (UTM, GCLID, GA4 client_id), п. 23.3</w:t>
            </w:r>
          </w:p>
        </w:tc>
        <w:tc>
          <w:tcPr>
            <w:tcW w:type="dxa" w:w="1814"/>
            <w:vAlign w:val="center"/>
            <w:shd w:fill="FFFFFF"/>
            <w:tcMar>
              <w:top w:w="85" w:type="dxa"/>
              <w:bottom w:w="85" w:type="dxa"/>
              <w:left w:w="85" w:type="dxa"/>
              <w:right w:w="85" w:type="dxa"/>
            </w:tcMar>
          </w:tcPr>
          <w:p>
            <w:pPr>
              <w:spacing w:after="60" w:line="252" w:lineRule="auto"/>
            </w:pPr>
            <w:r>
              <w:rPr>
                <w:color w:val="000000"/>
                <w:sz w:val="20"/>
              </w:rPr>
              <w:t>Выполнено</w:t>
            </w:r>
          </w:p>
        </w:tc>
        <w:tc>
          <w:tcPr>
            <w:tcW w:type="dxa" w:w="3742"/>
            <w:vAlign w:val="center"/>
            <w:shd w:fill="FFFFFF"/>
            <w:tcMar>
              <w:top w:w="85" w:type="dxa"/>
              <w:bottom w:w="85" w:type="dxa"/>
              <w:left w:w="85" w:type="dxa"/>
              <w:right w:w="85" w:type="dxa"/>
            </w:tcMar>
          </w:tcPr>
          <w:p>
            <w:pPr>
              <w:spacing w:after="60" w:line="252" w:lineRule="auto"/>
            </w:pPr>
            <w:r>
              <w:rPr>
                <w:color w:val="000000"/>
                <w:sz w:val="20"/>
              </w:rPr>
              <w:t>lead.js передаёт first-touch и last-touch UTM, GCLID и другие click ID, GA4 client_id, landing и referrer в канонические поля Bitrix24; тесты 5 из 5 пройдены</w:t>
            </w:r>
          </w:p>
        </w:tc>
      </w:tr>
      <w:tr>
        <w:trPr>
          <w:cantSplit/>
        </w:trPr>
        <w:tc>
          <w:tcPr>
            <w:tcW w:type="dxa" w:w="567"/>
            <w:vAlign w:val="center"/>
            <w:shd w:fill="FFFFFF"/>
            <w:tcMar>
              <w:top w:w="85" w:type="dxa"/>
              <w:bottom w:w="85" w:type="dxa"/>
              <w:left w:w="85" w:type="dxa"/>
              <w:right w:w="85" w:type="dxa"/>
            </w:tcMar>
          </w:tcPr>
          <w:p>
            <w:pPr>
              <w:spacing w:after="60" w:line="252" w:lineRule="auto"/>
            </w:pPr>
            <w:r>
              <w:rPr>
                <w:color w:val="000000"/>
                <w:sz w:val="20"/>
              </w:rPr>
              <w:t>12</w:t>
            </w:r>
          </w:p>
        </w:tc>
        <w:tc>
          <w:tcPr>
            <w:tcW w:type="dxa" w:w="3628"/>
            <w:vAlign w:val="center"/>
            <w:shd w:fill="FFFFFF"/>
            <w:tcMar>
              <w:top w:w="85" w:type="dxa"/>
              <w:bottom w:w="85" w:type="dxa"/>
              <w:left w:w="85" w:type="dxa"/>
              <w:right w:w="85" w:type="dxa"/>
            </w:tcMar>
          </w:tcPr>
          <w:p>
            <w:pPr>
              <w:spacing w:after="60" w:line="252" w:lineRule="auto"/>
            </w:pPr>
            <w:r>
              <w:rPr>
                <w:color w:val="000000"/>
                <w:sz w:val="20"/>
              </w:rPr>
              <w:t>Этап 1 Медиаплана: категории заявок, SLA, роботы контроля (п. 23.4)</w:t>
            </w:r>
          </w:p>
        </w:tc>
        <w:tc>
          <w:tcPr>
            <w:tcW w:type="dxa" w:w="1814"/>
            <w:vAlign w:val="center"/>
            <w:shd w:fill="FFFFFF"/>
            <w:tcMar>
              <w:top w:w="85" w:type="dxa"/>
              <w:bottom w:w="85" w:type="dxa"/>
              <w:left w:w="85" w:type="dxa"/>
              <w:right w:w="85" w:type="dxa"/>
            </w:tcMar>
          </w:tcPr>
          <w:p>
            <w:pPr>
              <w:spacing w:after="60" w:line="252" w:lineRule="auto"/>
            </w:pPr>
            <w:r>
              <w:rPr>
                <w:rFonts w:ascii="Arial" w:hAnsi="Arial"/>
                <w:color w:val="000000"/>
                <w:sz w:val="18"/>
              </w:rPr>
              <w:t>Следующий</w:t>
            </w:r>
          </w:p>
        </w:tc>
        <w:tc>
          <w:tcPr>
            <w:tcW w:type="dxa" w:w="3742"/>
            <w:vAlign w:val="center"/>
            <w:shd w:fill="FFFFFF"/>
            <w:tcMar>
              <w:top w:w="85" w:type="dxa"/>
              <w:bottom w:w="85" w:type="dxa"/>
              <w:left w:w="85" w:type="dxa"/>
              <w:right w:w="85" w:type="dxa"/>
            </w:tcMar>
          </w:tcPr>
          <w:p>
            <w:pPr>
              <w:spacing w:after="60" w:line="252" w:lineRule="auto"/>
            </w:pPr>
            <w:r>
              <w:rPr>
                <w:rFonts w:ascii="Arial" w:hAnsi="Arial"/>
                <w:color w:val="000000"/>
                <w:sz w:val="18"/>
              </w:rPr>
              <w:t>Настройка категорий заявок, SLA и роботов контроля для основных посадочных страниц; выполняется в Bitrix24 после готовности входящих форм</w:t>
            </w:r>
          </w:p>
        </w:tc>
      </w:tr>
      <w:tr>
        <w:trPr>
          <w:cantSplit/>
        </w:trPr>
        <w:tc>
          <w:tcPr>
            <w:tcW w:type="dxa" w:w="567"/>
            <w:vAlign w:val="center"/>
            <w:shd w:fill="FFFFFF"/>
            <w:tcMar>
              <w:top w:w="85" w:type="dxa"/>
              <w:bottom w:w="85" w:type="dxa"/>
              <w:left w:w="85" w:type="dxa"/>
              <w:right w:w="85" w:type="dxa"/>
            </w:tcMar>
          </w:tcPr>
          <w:p>
            <w:pPr>
              <w:spacing w:after="60" w:line="252" w:lineRule="auto"/>
            </w:pPr>
            <w:r>
              <w:rPr>
                <w:color w:val="000000"/>
                <w:sz w:val="20"/>
              </w:rPr>
              <w:t>13</w:t>
            </w:r>
          </w:p>
        </w:tc>
        <w:tc>
          <w:tcPr>
            <w:tcW w:type="dxa" w:w="3628"/>
            <w:vAlign w:val="center"/>
            <w:shd w:fill="FFFFFF"/>
            <w:tcMar>
              <w:top w:w="85" w:type="dxa"/>
              <w:bottom w:w="85" w:type="dxa"/>
              <w:left w:w="85" w:type="dxa"/>
              <w:right w:w="85" w:type="dxa"/>
            </w:tcMar>
          </w:tcPr>
          <w:p>
            <w:pPr>
              <w:spacing w:after="60" w:line="252" w:lineRule="auto"/>
            </w:pPr>
            <w:r>
              <w:rPr>
                <w:color w:val="000000"/>
                <w:sz w:val="20"/>
              </w:rPr>
              <w:t>Передача событий из crm_events в GA4 и Google Ads (п. 18.5), этапы 2–9</w:t>
            </w:r>
          </w:p>
        </w:tc>
        <w:tc>
          <w:tcPr>
            <w:tcW w:type="dxa" w:w="1814"/>
            <w:vAlign w:val="center"/>
            <w:shd w:fill="FFFFFF"/>
            <w:tcMar>
              <w:top w:w="85" w:type="dxa"/>
              <w:bottom w:w="85" w:type="dxa"/>
              <w:left w:w="85" w:type="dxa"/>
              <w:right w:w="85" w:type="dxa"/>
            </w:tcMar>
          </w:tcPr>
          <w:p>
            <w:pPr>
              <w:spacing w:after="60" w:line="252" w:lineRule="auto"/>
            </w:pPr>
            <w:r>
              <w:rPr>
                <w:rFonts w:ascii="Arial" w:hAnsi="Arial"/>
                <w:color w:val="000000"/>
                <w:sz w:val="18"/>
              </w:rPr>
              <w:t>Следующий</w:t>
            </w:r>
          </w:p>
        </w:tc>
        <w:tc>
          <w:tcPr>
            <w:tcW w:type="dxa" w:w="3742"/>
            <w:vAlign w:val="center"/>
            <w:shd w:fill="FFFFFF"/>
            <w:tcMar>
              <w:top w:w="85" w:type="dxa"/>
              <w:bottom w:w="85" w:type="dxa"/>
              <w:left w:w="85" w:type="dxa"/>
              <w:right w:w="85" w:type="dxa"/>
            </w:tcMar>
          </w:tcPr>
          <w:p>
            <w:pPr>
              <w:spacing w:after="60" w:line="252" w:lineRule="auto"/>
            </w:pPr>
            <w:r>
              <w:rPr>
                <w:rFonts w:ascii="Arial" w:hAnsi="Arial"/>
                <w:color w:val="000000"/>
                <w:sz w:val="18"/>
              </w:rPr>
              <w:t>Передача событий из crm_events в GA4 и Google Ads — после сквозного теста сайта и рекламы</w:t>
            </w:r>
          </w:p>
        </w:tc>
      </w:tr>
    </w:tbl>
    <w:p>
      <w:r>
        <w:br w:type="page"/>
      </w:r>
    </w:p>
    <w:p>
      <w:pPr>
        <w:pStyle w:val="Heading1"/>
      </w:pPr>
      <w:r>
        <w:rPr>
          <w:color w:val="000000"/>
          <w:u w:val="none"/>
        </w:rPr>
        <w:t>23.11 Фактический статус интеграции сайта, Cloud Run и Bitrix24 на 2 октября 2026</w:t>
      </w:r>
    </w:p>
    <w:p>
      <w:pPr/>
      <w:r>
        <w:t>Раздел фиксирует результаты выпуска и контрольной проверки. Рабочий поток заявок с сайта создаёт сделки напрямую через сервис Cloud Run tilda-webhook-to-bigquery. Изменения Netlify lead.js являются отдельным резервным контуром и не заменяют этот рабочий поток.</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4"/>
        <w:gridCol w:w="3324"/>
        <w:gridCol w:w="3324"/>
      </w:tblGrid>
      <w:tr>
        <w:trPr>
          <w:cantSplit/>
          <w:tblHeader/>
        </w:trPr>
        <w:tc>
          <w:tcPr>
            <w:tcW w:type="dxa" w:w="3324"/>
            <w:shd w:fill="E7EBEF"/>
            <w:vAlign w:val="center"/>
            <w:tcMar>
              <w:top w:w="85" w:type="dxa"/>
              <w:bottom w:w="85" w:type="dxa"/>
              <w:left w:w="85" w:type="dxa"/>
              <w:right w:w="85" w:type="dxa"/>
            </w:tcMar>
          </w:tcPr>
          <w:p>
            <w:pPr>
              <w:keepNext/>
              <w:spacing w:after="60" w:line="252" w:lineRule="auto"/>
            </w:pPr>
            <w:r>
              <w:rPr>
                <w:b/>
                <w:color w:val="000000"/>
                <w:sz w:val="20"/>
              </w:rPr>
              <w:t>Компонент</w:t>
            </w:r>
          </w:p>
        </w:tc>
        <w:tc>
          <w:tcPr>
            <w:tcW w:type="dxa" w:w="3324"/>
            <w:shd w:fill="E7EBEF"/>
            <w:vAlign w:val="center"/>
            <w:tcMar>
              <w:top w:w="85" w:type="dxa"/>
              <w:bottom w:w="85" w:type="dxa"/>
              <w:left w:w="85" w:type="dxa"/>
              <w:right w:w="85" w:type="dxa"/>
            </w:tcMar>
          </w:tcPr>
          <w:p>
            <w:pPr>
              <w:keepNext/>
              <w:spacing w:after="60" w:line="252" w:lineRule="auto"/>
            </w:pPr>
            <w:r>
              <w:rPr>
                <w:b/>
                <w:color w:val="000000"/>
                <w:sz w:val="20"/>
              </w:rPr>
              <w:t>Статус</w:t>
            </w:r>
          </w:p>
        </w:tc>
        <w:tc>
          <w:tcPr>
            <w:tcW w:type="dxa" w:w="3324"/>
            <w:shd w:fill="E7EBEF"/>
            <w:vAlign w:val="center"/>
            <w:tcMar>
              <w:top w:w="85" w:type="dxa"/>
              <w:bottom w:w="85" w:type="dxa"/>
              <w:left w:w="85" w:type="dxa"/>
              <w:right w:w="85" w:type="dxa"/>
            </w:tcMar>
          </w:tcPr>
          <w:p>
            <w:pPr>
              <w:keepNext/>
              <w:spacing w:after="60" w:line="252" w:lineRule="auto"/>
            </w:pPr>
            <w:r>
              <w:rPr>
                <w:b/>
                <w:color w:val="000000"/>
                <w:sz w:val="20"/>
              </w:rPr>
              <w:t>Фактический результат</w:t>
            </w:r>
          </w:p>
        </w:tc>
      </w:tr>
      <w:tr>
        <w:trPr>
          <w:cantSplit/>
        </w:trPr>
        <w:tc>
          <w:tcPr>
            <w:tcW w:type="dxa" w:w="3324"/>
            <w:vAlign w:val="center"/>
            <w:shd w:fill="FFFFFF"/>
            <w:tcMar>
              <w:top w:w="85" w:type="dxa"/>
              <w:bottom w:w="85" w:type="dxa"/>
              <w:left w:w="85" w:type="dxa"/>
              <w:right w:w="85" w:type="dxa"/>
            </w:tcMar>
          </w:tcPr>
          <w:p>
            <w:pPr>
              <w:spacing w:after="60" w:line="252" w:lineRule="auto"/>
            </w:pPr>
            <w:r>
              <w:rPr>
                <w:color w:val="000000"/>
                <w:sz w:val="20"/>
              </w:rPr>
            </w:r>
            <w:r>
              <w:rPr>
                <w:b w:val="0"/>
                <w:color w:val="000000"/>
                <w:sz w:val="20"/>
              </w:rPr>
              <w:t>Cloud Run tilda-webhook-to-bigquery</w:t>
            </w:r>
          </w:p>
        </w:tc>
        <w:tc>
          <w:tcPr>
            <w:tcW w:type="dxa" w:w="3324"/>
            <w:vAlign w:val="center"/>
            <w:shd w:fill="FFFFFF"/>
            <w:tcMar>
              <w:top w:w="85" w:type="dxa"/>
              <w:bottom w:w="85" w:type="dxa"/>
              <w:left w:w="85" w:type="dxa"/>
              <w:right w:w="85" w:type="dxa"/>
            </w:tcMar>
          </w:tcPr>
          <w:p>
            <w:pPr>
              <w:spacing w:after="60" w:line="252" w:lineRule="auto"/>
            </w:pPr>
            <w:r>
              <w:rPr>
                <w:color w:val="000000"/>
                <w:sz w:val="20"/>
              </w:rPr>
            </w:r>
            <w:r>
              <w:rPr>
                <w:b/>
                <w:color w:val="000000"/>
                <w:sz w:val="20"/>
              </w:rPr>
              <w:t>Выполнено</w:t>
            </w:r>
          </w:p>
        </w:tc>
        <w:tc>
          <w:tcPr>
            <w:tcW w:type="dxa" w:w="3324"/>
            <w:vAlign w:val="center"/>
            <w:shd w:fill="FFFFFF"/>
            <w:tcMar>
              <w:top w:w="85" w:type="dxa"/>
              <w:bottom w:w="85" w:type="dxa"/>
              <w:left w:w="85" w:type="dxa"/>
              <w:right w:w="85" w:type="dxa"/>
            </w:tcMar>
          </w:tcPr>
          <w:p>
            <w:pPr>
              <w:spacing w:after="60" w:line="252" w:lineRule="auto"/>
            </w:pPr>
            <w:r>
              <w:rPr>
                <w:color w:val="000000"/>
                <w:sz w:val="20"/>
              </w:rPr>
              <w:t>Выпущена ревизия tilda-webhook-to-bigquery-00077-lzc в регионе europe-west3; на ревизию направлено 100 процентов трафика. Актуальная ревизия — 00086-r8r (раздел 28.5).</w:t>
            </w:r>
          </w:p>
        </w:tc>
      </w:tr>
      <w:tr>
        <w:trPr>
          <w:cantSplit/>
        </w:trPr>
        <w:tc>
          <w:tcPr>
            <w:tcW w:type="dxa" w:w="3324"/>
            <w:shd w:fill="FFFFFF"/>
            <w:vAlign w:val="center"/>
            <w:tcMar>
              <w:top w:w="85" w:type="dxa"/>
              <w:bottom w:w="85" w:type="dxa"/>
              <w:left w:w="85" w:type="dxa"/>
              <w:right w:w="85" w:type="dxa"/>
            </w:tcMar>
          </w:tcPr>
          <w:p>
            <w:pPr>
              <w:spacing w:after="60" w:line="252" w:lineRule="auto"/>
            </w:pPr>
            <w:r>
              <w:rPr>
                <w:color w:val="000000"/>
                <w:sz w:val="20"/>
              </w:rPr>
            </w:r>
            <w:r>
              <w:rPr>
                <w:b w:val="0"/>
                <w:color w:val="000000"/>
                <w:sz w:val="20"/>
              </w:rPr>
              <w:t>Создание сделки</w:t>
            </w:r>
          </w:p>
        </w:tc>
        <w:tc>
          <w:tcPr>
            <w:tcW w:type="dxa" w:w="3324"/>
            <w:shd w:fill="FFFFFF"/>
            <w:vAlign w:val="center"/>
            <w:tcMar>
              <w:top w:w="85" w:type="dxa"/>
              <w:bottom w:w="85" w:type="dxa"/>
              <w:left w:w="85" w:type="dxa"/>
              <w:right w:w="85" w:type="dxa"/>
            </w:tcMar>
          </w:tcPr>
          <w:p>
            <w:pPr>
              <w:spacing w:after="60" w:line="252" w:lineRule="auto"/>
            </w:pPr>
            <w:r>
              <w:rPr>
                <w:color w:val="000000"/>
                <w:sz w:val="20"/>
              </w:rPr>
            </w:r>
            <w:r>
              <w:rPr>
                <w:b/>
                <w:color w:val="000000"/>
                <w:sz w:val="20"/>
              </w:rPr>
              <w:t>Выполнено</w:t>
            </w:r>
          </w:p>
        </w:tc>
        <w:tc>
          <w:tcPr>
            <w:tcW w:type="dxa" w:w="3324"/>
            <w:shd w:fill="FFFFFF"/>
            <w:vAlign w:val="center"/>
            <w:tcMar>
              <w:top w:w="85" w:type="dxa"/>
              <w:bottom w:w="85" w:type="dxa"/>
              <w:left w:w="85" w:type="dxa"/>
              <w:right w:w="85" w:type="dxa"/>
            </w:tcMar>
          </w:tcPr>
          <w:p>
            <w:pPr>
              <w:spacing w:after="60" w:line="252" w:lineRule="auto"/>
            </w:pPr>
            <w:r>
              <w:rPr>
                <w:color w:val="000000"/>
                <w:sz w:val="20"/>
              </w:rPr>
            </w:r>
            <w:r>
              <w:rPr>
                <w:b w:val="0"/>
                <w:color w:val="000000"/>
                <w:sz w:val="20"/>
              </w:rPr>
              <w:t>Cloud Run создаёт сделку напрямую через crm.deal.add. Поле категории обращения передаётся в UF_CRM_SERVICE_TYPE.</w:t>
            </w:r>
          </w:p>
        </w:tc>
      </w:tr>
      <w:tr>
        <w:trPr>
          <w:cantSplit/>
        </w:trPr>
        <w:tc>
          <w:tcPr>
            <w:tcW w:type="dxa" w:w="3324"/>
            <w:vAlign w:val="center"/>
            <w:shd w:fill="FFFFFF"/>
            <w:tcMar>
              <w:top w:w="85" w:type="dxa"/>
              <w:bottom w:w="85" w:type="dxa"/>
              <w:left w:w="85" w:type="dxa"/>
              <w:right w:w="85" w:type="dxa"/>
            </w:tcMar>
          </w:tcPr>
          <w:p>
            <w:pPr>
              <w:spacing w:after="60" w:line="252" w:lineRule="auto"/>
            </w:pPr>
            <w:r>
              <w:rPr>
                <w:color w:val="000000"/>
                <w:sz w:val="20"/>
              </w:rPr>
            </w:r>
            <w:r>
              <w:rPr>
                <w:b w:val="0"/>
                <w:color w:val="000000"/>
                <w:sz w:val="20"/>
              </w:rPr>
              <w:t>Категория обращения fire_audit</w:t>
            </w:r>
          </w:p>
        </w:tc>
        <w:tc>
          <w:tcPr>
            <w:tcW w:type="dxa" w:w="3324"/>
            <w:vAlign w:val="center"/>
            <w:shd w:fill="FFFFFF"/>
            <w:tcMar>
              <w:top w:w="85" w:type="dxa"/>
              <w:bottom w:w="85" w:type="dxa"/>
              <w:left w:w="85" w:type="dxa"/>
              <w:right w:w="85" w:type="dxa"/>
            </w:tcMar>
          </w:tcPr>
          <w:p>
            <w:pPr>
              <w:spacing w:after="60" w:line="252" w:lineRule="auto"/>
            </w:pPr>
            <w:r>
              <w:rPr>
                <w:color w:val="000000"/>
                <w:sz w:val="20"/>
              </w:rPr>
            </w:r>
            <w:r>
              <w:rPr>
                <w:b/>
                <w:color w:val="000000"/>
                <w:sz w:val="20"/>
              </w:rPr>
              <w:t>Выполнено</w:t>
            </w:r>
          </w:p>
        </w:tc>
        <w:tc>
          <w:tcPr>
            <w:tcW w:type="dxa" w:w="3324"/>
            <w:vAlign w:val="center"/>
            <w:shd w:fill="FFFFFF"/>
            <w:tcMar>
              <w:top w:w="85" w:type="dxa"/>
              <w:bottom w:w="85" w:type="dxa"/>
              <w:left w:w="85" w:type="dxa"/>
              <w:right w:w="85" w:type="dxa"/>
            </w:tcMar>
          </w:tcPr>
          <w:p>
            <w:pPr>
              <w:spacing w:after="60" w:line="252" w:lineRule="auto"/>
            </w:pPr>
            <w:r>
              <w:rPr>
                <w:color w:val="000000"/>
                <w:sz w:val="20"/>
              </w:rPr>
            </w:r>
            <w:r>
              <w:rPr>
                <w:b w:val="0"/>
                <w:color w:val="000000"/>
                <w:sz w:val="20"/>
              </w:rPr>
              <w:t>Утверждённое значение: «Пожарный аудит». Контрольная сделка подтвердила заполнение этого значения в поле «Категория обращения».</w:t>
            </w:r>
          </w:p>
        </w:tc>
      </w:tr>
      <w:tr>
        <w:trPr>
          <w:cantSplit/>
        </w:trPr>
        <w:tc>
          <w:tcPr>
            <w:tcW w:type="dxa" w:w="3324"/>
            <w:shd w:fill="FFFFFF"/>
            <w:vAlign w:val="center"/>
            <w:tcMar>
              <w:top w:w="85" w:type="dxa"/>
              <w:bottom w:w="85" w:type="dxa"/>
              <w:left w:w="85" w:type="dxa"/>
              <w:right w:w="85" w:type="dxa"/>
            </w:tcMar>
          </w:tcPr>
          <w:p>
            <w:pPr>
              <w:spacing w:after="60" w:line="252" w:lineRule="auto"/>
            </w:pPr>
            <w:r>
              <w:rPr>
                <w:color w:val="000000"/>
                <w:sz w:val="20"/>
              </w:rPr>
            </w:r>
            <w:r>
              <w:rPr>
                <w:b w:val="0"/>
                <w:color w:val="000000"/>
                <w:sz w:val="20"/>
              </w:rPr>
              <w:t>Название услуги fire_audit</w:t>
            </w:r>
          </w:p>
        </w:tc>
        <w:tc>
          <w:tcPr>
            <w:tcW w:type="dxa" w:w="3324"/>
            <w:shd w:fill="FFFFFF"/>
            <w:vAlign w:val="center"/>
            <w:tcMar>
              <w:top w:w="85" w:type="dxa"/>
              <w:bottom w:w="85" w:type="dxa"/>
              <w:left w:w="85" w:type="dxa"/>
              <w:right w:w="85" w:type="dxa"/>
            </w:tcMar>
          </w:tcPr>
          <w:p>
            <w:pPr>
              <w:spacing w:after="60" w:line="252" w:lineRule="auto"/>
            </w:pPr>
            <w:r>
              <w:rPr>
                <w:color w:val="000000"/>
                <w:sz w:val="20"/>
              </w:rPr>
            </w:r>
            <w:r>
              <w:rPr>
                <w:b/>
                <w:color w:val="000000"/>
                <w:sz w:val="20"/>
              </w:rPr>
              <w:t>Выполнено</w:t>
            </w:r>
          </w:p>
        </w:tc>
        <w:tc>
          <w:tcPr>
            <w:tcW w:type="dxa" w:w="3324"/>
            <w:shd w:fill="FFFFFF"/>
            <w:vAlign w:val="center"/>
            <w:tcMar>
              <w:top w:w="85" w:type="dxa"/>
              <w:bottom w:w="85" w:type="dxa"/>
              <w:left w:w="85" w:type="dxa"/>
              <w:right w:w="85" w:type="dxa"/>
            </w:tcMar>
          </w:tcPr>
          <w:p>
            <w:pPr>
              <w:spacing w:after="60" w:line="252" w:lineRule="auto"/>
            </w:pPr>
            <w:r>
              <w:rPr>
                <w:color w:val="000000"/>
                <w:sz w:val="20"/>
              </w:rPr>
            </w:r>
            <w:r>
              <w:rPr>
                <w:b w:val="0"/>
                <w:color w:val="000000"/>
                <w:sz w:val="20"/>
              </w:rPr>
              <w:t>В новых сделках технический код заменяется на понятное название «Пожарный аудит».</w:t>
            </w:r>
          </w:p>
        </w:tc>
      </w:tr>
      <w:tr>
        <w:trPr>
          <w:cantSplit/>
        </w:trPr>
        <w:tc>
          <w:tcPr>
            <w:tcW w:type="dxa" w:w="3324"/>
            <w:vAlign w:val="center"/>
            <w:shd w:fill="FFFFFF"/>
            <w:tcMar>
              <w:top w:w="85" w:type="dxa"/>
              <w:bottom w:w="85" w:type="dxa"/>
              <w:left w:w="85" w:type="dxa"/>
              <w:right w:w="85" w:type="dxa"/>
            </w:tcMar>
          </w:tcPr>
          <w:p>
            <w:pPr>
              <w:spacing w:after="60" w:line="252" w:lineRule="auto"/>
            </w:pPr>
            <w:r>
              <w:rPr>
                <w:color w:val="000000"/>
                <w:sz w:val="20"/>
              </w:rPr>
            </w:r>
            <w:r>
              <w:rPr>
                <w:b w:val="0"/>
                <w:color w:val="000000"/>
                <w:sz w:val="20"/>
              </w:rPr>
              <w:t>Контрольная заявка</w:t>
            </w:r>
          </w:p>
        </w:tc>
        <w:tc>
          <w:tcPr>
            <w:tcW w:type="dxa" w:w="3324"/>
            <w:vAlign w:val="center"/>
            <w:shd w:fill="FFFFFF"/>
            <w:tcMar>
              <w:top w:w="85" w:type="dxa"/>
              <w:bottom w:w="85" w:type="dxa"/>
              <w:left w:w="85" w:type="dxa"/>
              <w:right w:w="85" w:type="dxa"/>
            </w:tcMar>
          </w:tcPr>
          <w:p>
            <w:pPr>
              <w:spacing w:after="60" w:line="252" w:lineRule="auto"/>
            </w:pPr>
            <w:r>
              <w:rPr>
                <w:color w:val="000000"/>
                <w:sz w:val="20"/>
              </w:rPr>
            </w:r>
            <w:r>
              <w:rPr>
                <w:b/>
                <w:color w:val="000000"/>
                <w:sz w:val="20"/>
              </w:rPr>
              <w:t>Пройдено</w:t>
            </w:r>
          </w:p>
        </w:tc>
        <w:tc>
          <w:tcPr>
            <w:tcW w:type="dxa" w:w="3324"/>
            <w:vAlign w:val="center"/>
            <w:shd w:fill="FFFFFF"/>
            <w:tcMar>
              <w:top w:w="85" w:type="dxa"/>
              <w:bottom w:w="85" w:type="dxa"/>
              <w:left w:w="85" w:type="dxa"/>
              <w:right w:w="85" w:type="dxa"/>
            </w:tcMar>
          </w:tcPr>
          <w:p>
            <w:pPr>
              <w:spacing w:after="60" w:line="252" w:lineRule="auto"/>
            </w:pPr>
            <w:r>
              <w:rPr>
                <w:color w:val="000000"/>
                <w:sz w:val="20"/>
              </w:rPr>
            </w:r>
            <w:r>
              <w:rPr>
                <w:b w:val="0"/>
                <w:color w:val="000000"/>
                <w:sz w:val="20"/>
              </w:rPr>
              <w:t>Создана тестовая сделка №316 с пометкой «ТЕСТ — НЕ ЗВОНИТЬ». Проверены название услуги, страница /audit, комментарий и поле «Категория обращения».</w:t>
            </w:r>
          </w:p>
        </w:tc>
      </w:tr>
      <w:tr>
        <w:trPr>
          <w:cantSplit/>
        </w:trPr>
        <w:tc>
          <w:tcPr>
            <w:tcW w:type="dxa" w:w="3324"/>
            <w:shd w:fill="FFFFFF"/>
            <w:vAlign w:val="center"/>
            <w:tcMar>
              <w:top w:w="85" w:type="dxa"/>
              <w:bottom w:w="85" w:type="dxa"/>
              <w:left w:w="85" w:type="dxa"/>
              <w:right w:w="85" w:type="dxa"/>
            </w:tcMar>
          </w:tcPr>
          <w:p>
            <w:pPr>
              <w:spacing w:after="60" w:line="252" w:lineRule="auto"/>
            </w:pPr>
            <w:r>
              <w:rPr>
                <w:color w:val="000000"/>
                <w:sz w:val="20"/>
              </w:rPr>
            </w:r>
            <w:r>
              <w:rPr>
                <w:b w:val="0"/>
                <w:color w:val="000000"/>
                <w:sz w:val="20"/>
              </w:rPr>
              <w:t>Репозиторий сайта</w:t>
            </w:r>
          </w:p>
        </w:tc>
        <w:tc>
          <w:tcPr>
            <w:tcW w:type="dxa" w:w="3324"/>
            <w:shd w:fill="FFFFFF"/>
            <w:vAlign w:val="center"/>
            <w:tcMar>
              <w:top w:w="85" w:type="dxa"/>
              <w:bottom w:w="85" w:type="dxa"/>
              <w:left w:w="85" w:type="dxa"/>
              <w:right w:w="85" w:type="dxa"/>
            </w:tcMar>
          </w:tcPr>
          <w:p>
            <w:pPr>
              <w:spacing w:after="60" w:line="252" w:lineRule="auto"/>
            </w:pPr>
            <w:r>
              <w:rPr>
                <w:color w:val="000000"/>
                <w:sz w:val="20"/>
              </w:rPr>
            </w:r>
            <w:r>
              <w:rPr>
                <w:b/>
                <w:color w:val="000000"/>
                <w:sz w:val="20"/>
              </w:rPr>
              <w:t>Выполнено</w:t>
            </w:r>
          </w:p>
        </w:tc>
        <w:tc>
          <w:tcPr>
            <w:tcW w:type="dxa" w:w="3324"/>
            <w:shd w:fill="FFFFFF"/>
            <w:vAlign w:val="center"/>
            <w:tcMar>
              <w:top w:w="85" w:type="dxa"/>
              <w:bottom w:w="85" w:type="dxa"/>
              <w:left w:w="85" w:type="dxa"/>
              <w:right w:w="85" w:type="dxa"/>
            </w:tcMar>
          </w:tcPr>
          <w:p>
            <w:pPr>
              <w:spacing w:after="60" w:line="252" w:lineRule="auto"/>
            </w:pPr>
            <w:r>
              <w:rPr>
                <w:color w:val="000000"/>
                <w:sz w:val="20"/>
              </w:rPr>
            </w:r>
            <w:r>
              <w:rPr>
                <w:b w:val="0"/>
                <w:color w:val="000000"/>
                <w:sz w:val="20"/>
              </w:rPr>
              <w:t>Коммит eaa5c14 Map site service types to Bitrix deal categories добавляет передачу UF_CRM_SERVICE_TYPE в Netlify lead.js; пройдены 7 автоматических тестов. Для рабочего Cloud Run-потока это резервный контур.</w:t>
            </w:r>
          </w:p>
        </w:tc>
      </w:tr>
      <w:tr>
        <w:trPr>
          <w:cantSplit/>
        </w:trPr>
        <w:tc>
          <w:tcPr>
            <w:tcW w:type="dxa" w:w="3324"/>
            <w:vAlign w:val="center"/>
            <w:shd w:fill="FFFFFF"/>
            <w:tcMar>
              <w:top w:w="85" w:type="dxa"/>
              <w:bottom w:w="85" w:type="dxa"/>
              <w:left w:w="85" w:type="dxa"/>
              <w:right w:w="85" w:type="dxa"/>
            </w:tcMar>
          </w:tcPr>
          <w:p>
            <w:pPr>
              <w:spacing w:after="60" w:line="252" w:lineRule="auto"/>
            </w:pPr>
            <w:r>
              <w:rPr>
                <w:color w:val="000000"/>
                <w:sz w:val="20"/>
              </w:rPr>
            </w:r>
            <w:r>
              <w:rPr>
                <w:b w:val="0"/>
                <w:color w:val="000000"/>
                <w:sz w:val="20"/>
              </w:rPr>
              <w:t>Событийный контур crm-events</w:t>
            </w:r>
          </w:p>
        </w:tc>
        <w:tc>
          <w:tcPr>
            <w:tcW w:type="dxa" w:w="3324"/>
            <w:vAlign w:val="center"/>
            <w:shd w:fill="FFFFFF"/>
            <w:tcMar>
              <w:top w:w="85" w:type="dxa"/>
              <w:bottom w:w="85" w:type="dxa"/>
              <w:left w:w="85" w:type="dxa"/>
              <w:right w:w="85" w:type="dxa"/>
            </w:tcMar>
          </w:tcPr>
          <w:p>
            <w:pPr>
              <w:spacing w:after="60" w:line="252" w:lineRule="auto"/>
            </w:pPr>
            <w:r>
              <w:rPr>
                <w:color w:val="000000"/>
                <w:sz w:val="20"/>
              </w:rPr>
            </w:r>
            <w:r>
              <w:rPr>
                <w:b/>
                <w:color w:val="000000"/>
                <w:sz w:val="20"/>
              </w:rPr>
              <w:t>Выполнено</w:t>
            </w:r>
          </w:p>
        </w:tc>
        <w:tc>
          <w:tcPr>
            <w:tcW w:type="dxa" w:w="3324"/>
            <w:vAlign w:val="center"/>
            <w:shd w:fill="FFFFFF"/>
            <w:tcMar>
              <w:top w:w="85" w:type="dxa"/>
              <w:bottom w:w="85" w:type="dxa"/>
              <w:left w:w="85" w:type="dxa"/>
              <w:right w:w="85" w:type="dxa"/>
            </w:tcMar>
          </w:tcPr>
          <w:p>
            <w:pPr>
              <w:spacing w:after="60" w:line="252" w:lineRule="auto"/>
            </w:pPr>
            <w:r>
              <w:rPr>
                <w:color w:val="000000"/>
                <w:sz w:val="20"/>
              </w:rPr>
            </w:r>
            <w:r>
              <w:rPr>
                <w:b w:val="0"/>
                <w:color w:val="000000"/>
                <w:sz w:val="20"/>
              </w:rPr>
              <w:t>Сервис продолжает принимать стадийные события, записывать их в существующую таблицу crm_events BigQuery и исключать дубли по event_id.</w:t>
            </w:r>
          </w:p>
        </w:tc>
      </w:tr>
      <w:tr>
        <w:trPr>
          <w:cantSplit/>
        </w:trPr>
        <w:tc>
          <w:tcPr>
            <w:tcW w:type="dxa" w:w="3324"/>
            <w:shd w:fill="FFFFFF"/>
            <w:vAlign w:val="center"/>
            <w:tcMar>
              <w:top w:w="85" w:type="dxa"/>
              <w:bottom w:w="85" w:type="dxa"/>
              <w:left w:w="85" w:type="dxa"/>
              <w:right w:w="85" w:type="dxa"/>
            </w:tcMar>
          </w:tcPr>
          <w:p>
            <w:pPr>
              <w:spacing w:after="60" w:line="252" w:lineRule="auto"/>
            </w:pPr>
            <w:r>
              <w:rPr>
                <w:color w:val="000000"/>
                <w:sz w:val="20"/>
              </w:rPr>
            </w:r>
            <w:r>
              <w:rPr>
                <w:b w:val="0"/>
                <w:color w:val="000000"/>
                <w:sz w:val="20"/>
              </w:rPr>
              <w:t>Telegram по контрольной заявке</w:t>
            </w:r>
          </w:p>
        </w:tc>
        <w:tc>
          <w:tcPr>
            <w:tcW w:type="dxa" w:w="3324"/>
            <w:shd w:fill="FFFFFF"/>
            <w:vAlign w:val="center"/>
            <w:tcMar>
              <w:top w:w="85" w:type="dxa"/>
              <w:bottom w:w="85" w:type="dxa"/>
              <w:left w:w="85" w:type="dxa"/>
              <w:right w:w="85" w:type="dxa"/>
            </w:tcMar>
          </w:tcPr>
          <w:p>
            <w:pPr>
              <w:spacing w:after="60" w:line="252" w:lineRule="auto"/>
            </w:pPr>
            <w:r>
              <w:rPr>
                <w:color w:val="000000"/>
                <w:sz w:val="20"/>
              </w:rPr>
            </w:r>
            <w:r>
              <w:rPr>
                <w:b/>
                <w:color w:val="000000"/>
                <w:sz w:val="20"/>
              </w:rPr>
              <w:t>Требует проверки</w:t>
            </w:r>
          </w:p>
        </w:tc>
        <w:tc>
          <w:tcPr>
            <w:tcW w:type="dxa" w:w="3324"/>
            <w:shd w:fill="FFFFFF"/>
            <w:vAlign w:val="center"/>
            <w:tcMar>
              <w:top w:w="85" w:type="dxa"/>
              <w:bottom w:w="85" w:type="dxa"/>
              <w:left w:w="85" w:type="dxa"/>
              <w:right w:w="85" w:type="dxa"/>
            </w:tcMar>
          </w:tcPr>
          <w:p>
            <w:pPr>
              <w:spacing w:after="60" w:line="252" w:lineRule="auto"/>
            </w:pPr>
            <w:r>
              <w:rPr>
                <w:color w:val="000000"/>
                <w:sz w:val="20"/>
              </w:rPr>
            </w:r>
            <w:r>
              <w:rPr>
                <w:b w:val="0"/>
                <w:color w:val="000000"/>
                <w:sz w:val="20"/>
              </w:rPr>
              <w:t>Создание сделки прошло успешно, но отправка Telegram для контрольной заявки вернула HTTP 400. Диагностика уведомления выполняется отдельно; это не влияет на создание сделки и заполнение категории.</w:t>
            </w:r>
          </w:p>
        </w:tc>
      </w:tr>
    </w:tbl>
    <w:p>
      <w:pPr>
        <w:pStyle w:val="Heading2"/>
      </w:pPr>
      <w:r>
        <w:rPr>
          <w:color w:val="000000"/>
          <w:u w:val="none"/>
        </w:rPr>
        <w:t>Следующие действия</w:t>
      </w:r>
    </w:p>
    <w:p>
      <w:pPr>
        <w:pStyle w:val="ListBullet"/>
      </w:pPr>
      <w:r>
        <w:t>По сообщению заказчика от 2 октября получено корректное Telegram-уведомление «Пожарный аудит». Далее проверить услуги, страницу и доставку для остальных готовых страниц в техническом канале. Исторический HTTP 400 не объявлять текущим дефектом без новой проверки.</w:t>
      </w:r>
    </w:p>
    <w:p>
      <w:pPr>
        <w:pStyle w:val="ListBullet"/>
      </w:pPr>
      <w:r>
        <w:t>После выпуска рекламных и страницевых изменений выполнить сквозную проверку формы на каждой посадочной странице. Эта проверка находится в контуре сайта и рекламы.</w:t>
      </w:r>
    </w:p>
    <w:p>
      <w:pPr>
        <w:pStyle w:val="ListBullet"/>
      </w:pPr>
      <w:r>
        <w:t>Продолжить передачу согласованных CRM-событий из crm_events в GA4 и Google Ads по плану раздела 23.</w:t>
      </w:r>
    </w:p>
    <w:p>
      <w:pPr>
        <w:pStyle w:val="Heading1"/>
        <w:pageBreakBefore/>
      </w:pPr>
      <w:r>
        <w:rPr>
          <w:color w:val="000000"/>
          <w:u w:val="none"/>
        </w:rPr>
        <w:t>24 Два этапа и актуальная очередь работ</w:t>
      </w:r>
    </w:p>
    <w:p>
      <w:r>
        <w:t>Основа проверки — версия 1.22 и BITRIX24_IMPLEMENTATION_STATUS.md в коммите 0e8ceaf от 2 октября 2026. В живой CRM в рамках подготовки этой редакции изменения не выполнялись. Перечень ниже не означает, что неподтвержденные функции отсутствуют: исполнитель сначала проверяет существующую настройку.</w:t>
      </w:r>
    </w:p>
    <w:p>
      <w:pPr>
        <w:pStyle w:val="Heading2"/>
      </w:pPr>
      <w:r>
        <w:rPr>
          <w:color w:val="000000"/>
          <w:u w:val="none"/>
        </w:rPr>
        <w:t>24.1 Первый этап</w:t>
      </w:r>
    </w:p>
    <w:p>
      <w:r>
        <w:t>Подтверждены по историческим документам стадии и обязательность обследования, задачи и ICP при входе, следующий шаг, бонусы, смена воронки той же сделки, crm-events и рабочий вход сайта. По сообщению заказчика получено корректное Telegram «Пожарный аудит»; остальные страницы проверяются отдельно. Далее: карта полей и связей, начальные договоры/объекты, SLA, предложение ТО и полный цикл обслуживания, четыре отчёта 1, 2, 4, 10. Наличие полей времени не подтверждает автоматический расчёт; его принимают на пилоте.</w:t>
      </w:r>
    </w:p>
    <w:p>
      <w:pPr>
        <w:pStyle w:val="Heading2"/>
      </w:pPr>
      <w:r>
        <w:rPr>
          <w:color w:val="000000"/>
          <w:u w:val="none"/>
        </w:rPr>
        <w:t>24.2 Второй этап</w:t>
      </w:r>
    </w:p>
    <w:p>
      <w:r>
        <w:t>Расширить единый каталог до десяти отчётов по отчётности v1.3. Экономика и финансовые данные рассчитываются управленческой системой v1.1 из подтверждённых банка/1С/CRM по утверждённой методике; BI показывает разрешённые согласованные представления. Основная единица сервиса — объект за месяц. CAC/окупаемость новых постоянных клиентов требуют рекламного источника, LTV — достаточной истории. Приёмка данных и функций проводится раздельно по общему плану.</w:t>
      </w:r>
    </w:p>
    <w:p>
      <w:pPr>
        <w:pStyle w:val="Heading2"/>
      </w:pPr>
      <w:r>
        <w:rPr>
          <w:color w:val="000000"/>
          <w:u w:val="none"/>
        </w:rPr>
        <w:t>24.3 Приемка и порядок изменений</w:t>
      </w:r>
    </w:p>
    <w:p>
      <w:r>
        <w:t>Этап 1: зафиксированы карта полей и связи, начальный реестр активных договоров, контрольные сценарии продаж и обслуживания минимум на двух объектах, отчетные сверки и права. Этап 2: проверен полный закрытый месяц работ и затрат, утверждены правила распределения, сверены показатели с первичными документами, все десять отчетов имеют паспорт и статус готовности, проведен первый месячный разбор с задачами. При отсутствии данных конкретный показатель обозначается как недоступный; срок внедрения согласуется после обследования портала.</w:t>
      </w:r>
    </w:p>
    <w:p>
      <w:pPr>
        <w:pStyle w:val="Heading2"/>
      </w:pPr>
      <w:r>
        <w:rPr>
          <w:color w:val="000000"/>
          <w:u w:val="none"/>
        </w:rPr>
        <w:t>24.4 История редакции</w:t>
      </w:r>
    </w:p>
    <w:p>
      <w:r>
        <w:t>Версия 1.23 от 2 октября 2026. Обновлены рабочий маршрут сайта, маршрутизация сделки, пересчет ICP, тест 33, срок приемки и статус старых полей. Установлены два этапа CRM, связанное ТЗ отчетности v1.2 с десятью месячными отчетами и методикой юнит экономики. Прежние версии сохраняются как история.</w:t>
      </w:r>
    </w:p>
    <w:p>
      <w:r>
        <w:t>Версия 1.25 от 5 октября 2026. Добавлен раздел 26: поля «ID договора» и «ID объекта», правило присвоения по номеру первой сделки, обязательность на стадии заключения договора, независимость настройки Bitrix24 от приостановленной управленческой системы, фиксация прав удаления сделок.</w:t>
      </w:r>
    </w:p>
    <w:p>
      <w:r>
        <w:t>Версия 1.26 от 5 октября 2026. Добавлен раздел 27: ежедневные очереди координатора как сохранённые фильтры сделок, поле «Категория отказа», решение по полям перспективы и предложения ТО, итоги проверки вебхуков.</w:t>
      </w:r>
    </w:p>
    <w:p>
      <w:r>
        <w:t>Версия 1.27 от 6 октября 2026. Добавлен раздел 28: утверждённый список категорий обращения и карта технических кодов, маршрут всех заявок сайта через Общую воронку и обследование, решение по SLA, состояние Cloud Run (ревизия 00087-lmp), контрольные заявки и открытые вопросы по реестру договоров; решение директора: «ID договора» всегда вносится вручную; устранён дубль заявок с /obsluzhivanie/ (мост Tilda убран, защита в Cloud Run).</w:t>
      </w:r>
    </w:p>
    <w:p>
      <w:pPr>
        <w:pStyle w:val="Heading1"/>
      </w:pPr>
      <w:r>
        <w:rPr>
          <w:color w:val="000000"/>
        </w:rPr>
        <w:t>25 Общие требования управленческой системы</w:t>
      </w:r>
      <w:r>
        <w:rPr>
          <w:rStyle w:val="CommentReference"/>
          <w:color w:val="000000"/>
        </w:rPr>
      </w:r>
    </w:p>
    <w:p>
      <w:r>
        <w:t>25.1 Обязателен общий паспорт MG-01–10 управленческого ТЗ v1.1: стабильные company_id/object_id/contract_service_id/work_id, N:M договор–объект и оплаты–обязательства, история действия и импорта, проверка активности, явное неизвестное. Новые UF-коды и физические сущности подтверждаются после выгрузки схемы. Аналитический импорт не меняет реальные карточки без отдельного поручения.</w:t>
      </w:r>
    </w:p>
    <w:p>
      <w:r>
        <w:t>25.2 Один официальный финансовый расчёт выполняется в локальном ядре. Bitrix24 отвечает за фактические действия, документы операционного процесса и ссылки. В CRM могут отражаться подтверждённые итоги по утверждённой карте, но их повторная запись и потребление не создают циклический пересчёт. Влияющая на бонус подтверждённая прибыль содержит период, методику и основание; старые начисления не переписываются при новой финансовой редакции без решения директора.</w:t>
      </w:r>
    </w:p>
    <w:p>
      <w:r>
        <w:t>25.3 Существующие одноразовые event_id, включая b24_visit_done_&lt;сделка&gt;_v1, сохраняются для совместимости. Для повторных работ, частичных оплат, пересмотра договора и нескольких КП используются ID соответствующего бизнес-факта и revision_id. Версия схемы/адаптера сама по себе не разрешает повторную бизнес-конверсию. По каждому получателю ведутся самостоятельный статус и ответ доставки; изменение финансовой версии не отправляет рекламе новую продажу автоматически.</w:t>
      </w:r>
    </w:p>
    <w:p>
      <w:r>
        <w:t>Подтверждённый операционный факт не блокируется отсутствием финансовых сведений. Неизвестные прибыль, value и MRR не заменяются нулём: контракт события фиксирует обязательные операционные поля и допустимые необязательные финансовые атрибуты. Для рекламной отправки отдельно утверждается правило конверсионной стоимости; предварительная/неизвестная прибыль не передаётся как подтверждённая.</w:t>
      </w:r>
    </w:p>
    <w:p>
      <w:r>
        <w:t>25.4 Инкрементальный импорт CRM применяет перекрывающее окно, полную сверку ID и транзакционную точку успешной загрузки. Удаление/слияние фиксируется подтверждённым событием либо проверенным сверочным решением; пропуск в странице API не удаляет локальную историю. История цены, статуса, работ и замечаний сохраняется с даты запуска. Закрытые отчёты воспроизводятся по снимку и версиям.</w:t>
      </w:r>
    </w:p>
    <w:p>
      <w:r>
        <w:t>25.5 Четыре CRM-отчёта и ежедневные очереди принимаются на этапе продаж/обслуживания. Финансовый этап требует U4–U6, методики MG-11–12 и закрытого месяца; независимые нефинансовые отчёты продолжаются при задержке банка, 1С или рекламы. Операционный контур сохраняет работоспособность при выключенной локальной системе.</w:t>
      </w:r>
    </w:p>
    <w:p>
      <w:r>
        <w:t>25.6 Дополнительная приёмка: два объекта одного договора на одну дату дают две работы и один MRR; прекращение одной услуги сохраняет другую; повтор платежа не дублирует оплату, разные payment_id не теряются; импорт не объединяет похожие компании; результат финансового KPI в BI совпадает с согласованным локальным снимком. Обязательны UAT02–07, UAT12–20, UAT22–24 и UAT26 в применимой части.</w:t>
      </w:r>
    </w:p>
    <w:p>
      <w:r>
        <w:t>25.7 Реестр внедрения содержит requirement_id, зависимость, статус, реальные ID, владельца, доказательство, дату и следующий шаг. Исторические подтверждения 1–2 октября 2026 остаются историческими; редакция 1.24 не является повторной проверкой портала. В сообщении заказчика от 2 октября подтверждено получение Telegram с названием «Пожарный аудит»; общий сценарий других страниц и актуальная конфигурация требуют отдельной проверки. Прежняя ошибка HTTP 400 сохраняется в истории, а не объявляется текущим подтверждённым сбоем.</w:t>
      </w:r>
    </w:p>
    <w:p>
      <w:r>
        <w:t>25.8 Версия 1.24 от 5 октября 2026 согласует CRM с управленческим ТЗ v1.1 и отчётностью v1.3. Исправлены источник оплаты, активность компании, кардинальность договоров/объектов, ключ плановых работ/платежей и коллизии услуги/сценария. Сохранены существующие коды, обследование, бонусные решения и два этапа CRM. Правила MG имеют силу требований; реальные настройки подтверждаются протоколом.</w:t>
      </w:r>
    </w:p>
    <w:p>
      <w:pPr>
        <w:pStyle w:val="Heading1"/>
      </w:pPr>
      <w:r>
        <w:rPr>
          <w:color w:val="000000"/>
        </w:rPr>
        <w:t>26 Идентификаторы договора и объекта (редакция 1.25)</w:t>
      </w:r>
      <w:r>
        <w:rPr>
          <w:rStyle w:val="CommentReference"/>
          <w:color w:val="000000"/>
        </w:rPr>
      </w:r>
    </w:p>
    <w:p>
      <w:r>
        <w:t>26.1 Модель данных. Одна сделка соответствует одному объекту. У компании может быть несколько договоров — это разные сделки. Договор с несколькими объектами оформляется несколькими сделками с общим «ID договора».</w:t>
      </w:r>
    </w:p>
    <w:p>
      <w:r>
        <w:t>26.2 Поля сделки. «ID договора» (UF_CRM_1791192601) и «ID объекта» (UF_CRM_1791192653) созданы в портале 5 октября 2026. Значение — номер первой сделки договора (объекта). У первой сделки поле равно её собственному ID; у остальных сделок того же договора копируется значение первой. Значение присваивается на стадии заключения договора и в дальнейшем не меняется и не переиспользуется. Реализовано 6 октября 2026: робот «Изменить элемент» (UF_CRM_1791192653 = {=Document:ID}) на стадиях подписания договора четырёх воронок — Общая («Договор заключён»), Проект АПС («Договор и счёт подписан», C8:FINAL_INVOICE), Монтаж («Договор и счёт подписаны», C10:EXECUTING), Продажа ТО АПС («Договор на ТО подписан», C2:WON). Проверено на сделке 398: при входе на стадию «ID объекта» стало равно ID сделки. «ID договора» всегда вносится вручную (решение директора от 6 октября 2026): у первой сделки договора равен её ID, у остальных копируется; автоматический робот для него не создаётся. Номер договора вносит ответственный за договоры (Карина), автонумерация договоров в CRM не вводится.</w:t>
      </w:r>
    </w:p>
    <w:p>
      <w:r>
        <w:t>26.3 Обязательность. Поле «ID договора» обязательно на стадии заключения договора в воронках: Общая («9. Договор заключён»), Продажа Монтажные работы («5. Договор и счёт подписаны»), Продажа ТО АПС («5. Договор на ТО подписан»), Разработка проекта АПС (стадия заключения договора, название уточняется при настройке). В воронке «Обслуживание текущих клиентов» не требуется. Способ настройки (проверено 5 октября 2026): карточка сделки → режим «изменить» → значок ⚙ у поля → «Настроить» → «Обязательное на стадии». Поля «ID договора» и «ID объекта» пока не добавлены в вид карточки «Рабочая карточка — все воронки кроме текущего обслуживания» (ID 2), поэтому сначала их добавляют в карточку через «Выбрать поле», затем включают обязательность для стадий заключения договора. Статус: не выполнено, ждёт добавления полей в карточку.</w:t>
      </w:r>
    </w:p>
    <w:p>
      <w:r>
        <w:t>26.4 Существующие сделки. «ID договора» и «ID объекта» заполняются по списку действующих договоров с начала 2026 года (решение D04, список готовит ответственный за договоры). Массовое заполнение без списка не выполняется; дубли и неоднозначные случаи выносятся на решение директора.</w:t>
      </w:r>
    </w:p>
    <w:p>
      <w:r>
        <w:t>26.5 Связь с управленческой системой. Работа над управленческой системой приостановлена с 5 октября 2026. Настройка Bitrix24 продолжается независимо и не ждёт её. «ID договора» и «ID объекта» — внешние ключи для будущего согласования с общим паспортом MG-01–10 (company_id, object_id, contract_service_id); связь N:M по разделу 25.1 остаётся целевой моделью, а в CRM выражается несколькими сделками с общим ID договора. Выполнение требований раздела 25 для CRM ведётся единым реестром внедрения (25.7).</w:t>
      </w:r>
    </w:p>
    <w:p>
      <w:r>
        <w:t>26.6 Права на удаление сделок. В портале три роли: «Администратор», «Менеджер», «Техник». Решение директора от 5 октября 2026: права роли «Менеджер» на удаление сделок пока не меняются. Техник удалять сделки не может (подтверждено для воронки «Разработка проекта АПС», остальные воронки проверяются). Риск: удаление первой сделки договора нарушает ключ, поэтому номер удалённой сделки остаётся значением «ID договора» и не выдаётся повторно; удаления сделок договорных воронок отслеживаются и сверяются с реестром договоров.</w:t>
      </w:r>
    </w:p>
    <w:p>
      <w:r>
        <w:t>26.7 Приёмка. На контрольных сделках: у первой сделки «ID договора» равно её ID; у второй сделки того же договора значение скопировано; переход на стадию заключения договора без значения блокируется (после настройки по 26.3); существующие сделки из списка договоров заполнены, расхождений нет.</w:t>
      </w:r>
    </w:p>
    <w:p>
      <w:r>
        <w:t>26.8 Порядок внесения договора в CRM (инструкция ответственному за договоры). Одна сделка — один объект. (1) Создать сделку в воронке: ТО АПС — «Продажа ТО АПС», монтаж — «Продажа Монтажные работы», прочее — «Общая воронка»; привязать компанию. (2) Заполнить «Номер договора», «Дата договора», «Адрес объекта» по реестру договоров. (3) Перевести сделку на стадию заключения договора («5. Договор на ТО подписан», «5. Договор и счёт подписаны» или «9. Договор заключён»). (4) Первая сделка договора: «ID договора» и «ID объекта» равны номеру самой сделки (число из адреса /crm/deal/details/&lt;номер&gt;/). (5) Дополнительный объект того же договора — отдельная сделка: «ID договора» копируется из первой сделки, «ID объекта» равен номеру новой сделки. (6) Два договора одной компании — разные сделки с разными «ID договора». (7) Сделки договоров не удалять, номера не переиспользовать. До включения обязательности поля проверять заполнение «ID договора» вручную. Реестр действующих договоров вносит Карина Маратова (решение от 5 октября 2026).</w:t>
      </w:r>
    </w:p>
    <w:p>
      <w:pPr>
        <w:pStyle w:val="Heading1"/>
      </w:pPr>
      <w:r>
        <w:rPr>
          <w:color w:val="000000"/>
        </w:rPr>
        <w:t>27 Ежедневные очереди, категория отказа и интеграции (редакция 1.26)</w:t>
      </w:r>
    </w:p>
    <w:p>
      <w:r>
        <w:t xml:space="preserve">27.1 Ежедневные очереди координатора. В списке сделок сохранены фильтры для группы стадий «Сделка в работе»: «Очередь: просрочен следующий шаг» (дела просрочены), «Очередь: нет следующего шага» (нет дел), «Очередь: неизвестный источник» (источник не выбран), «Очередь: не оценена перспектива ТО» (Перспектива ТО = «Не оценено») и «Очередь: ТО не предложено» (Предложение ТО = «Не предлагали»). Фильтры только показывают данные и ничего в сделках не меняют. Для очереди «неизвестный источник» исключение воронки «Обслуживание текущих клиентов» и сделок «ТЕСТ» добавляется отдельно. Фильтры ТО не ограничены воронками: если сделка в обслуживании, аварийной или замене оборудования получит значение по умолчанию, она попадёт в очередь; при необходимости добавляется исключение этих воронок. </w:t>
      </w:r>
    </w:p>
    <w:p>
      <w:r>
        <w:t>27.2 Категория отказа. В сделке создано поле-список «Категория отказа» (UF_CRM_1791203045): Дорого; Выбрали другого подрядчика; Отложили решение; Нет бюджета; Не наш профиль; Нет связи с клиентом; Другое. Поле «Причина отказа» остаётся текстовым полем для комментариев. 5 октября 2026 поля «ID договора», «ID объекта», «Категория отказа» и «Причина отказа» добавлены в карточки всех семи воронок, а «Категория отказа» сделана обязательной на стадиях провала: Общая — Нецелевой лид, Не удалось связаться, Отказ клиента, Отложенный спрос; Разработка проекта АПС — Проект отклонён, Приостановлено; Продажа Монтажные работы — Монтаж отменён, Приостановлено; Продажа ТО АПС — Отказ / остался у текущего подрядчика, Отложено — ждём окончания текущего договора; Обслуживание текущих клиентов — Расторжение договора; Замена оборудования — Сделка провалена, Анализ причины провала; Аварийная — Нецелевой / ложный вызов, Работы отложены клиентом. Очередь «Нет причины отказа» фильтром не строится, так как фильтр списка не ищет пустое значение; контроль обеспечивается обязательностью поля.</w:t>
      </w:r>
    </w:p>
    <w:p>
      <w:r>
        <w:t xml:space="preserve">27.3 Перспектива и предложение ТО. 5 октября 2026 созданы поля сделки «Перспектива ТО» (UF_CRM_1791205741; Не оценено — по умолчанию; Подходит сейчас; Подходит после подготовки; Не подходит), «Предложение ТО» (UF_CRM_1791205857; Не предлагали — по умолчанию; Предложено устно; КП отправлено; Отказ; Договор подписан) и «Дата предложения ТО» (UF_CRM_1791205896). Поля добавлены в карточки воронок «Общая», «Разработка проекта АПС», «Продажа Монтажные работы» и «Продажа ТО АПС» и не добавлены в воронки обслуживания и аварийную. «Перспектива ТО» обязательна на стадии «Обследование принято» Общей воронки. В открытых сделках этих четырёх воронок значения по умолчанию проставлены разово с разрешения директора, чтобы очереди 1 и 2 находили записи. Робот «Предложить ТО» (срок 2 рабочих дня) настраивается позже. </w:t>
      </w:r>
    </w:p>
    <w:p>
      <w:r>
        <w:t>27.4 Вебхуки. По состоянию на 5 октября 2026 в портале существует один вебхук: входящий №10 (доступ CRM). Вебхуки для учёта рабочего времени не создавались; такие вебхуки и деплой кода учёта времени остаются в приостановленной части проекта.</w:t>
      </w:r>
    </w:p>
    <w:p>
      <w:r>
        <w:t>27.5 Приёмка. Каждый из пяти фильтров очередей открывается у координатора и возвращает записи, соответствующие условию; поле «Категория отказа» присутствует в списке полей сделки с семью значениями и обязательно на стадиях провала всех семи воронок; поля ТО присутствуют в карточках четырёх воронок.</w:t>
      </w:r>
    </w:p>
    <w:p>
      <w:r>
        <w:t xml:space="preserve">27.6 Данные договоров и справочники. В Общей воронке «Договор заключён», в воронках «Разработка проекта АПС» («Договор и счёт подписан»), «Продажа Монтажные работы» («Договор и счёт подписаны») и «Продажа ТО АПС» («Договор на ТО подписан») поле «ID договора» обязательно на стадии подписания договора. Названия 21 компании приведены к официальным названиям из реестра договоров (ИП ГОЛЛИВУДСКАЯ УЛЫБКА оставлено без кавычек по решению директора). В сделке 332 (Danone) указан наш номер договора 13092024-01, номер клиента DB-CO-561/24 записан в комментарий сделки. Тестовые сделки удалены директором; названия сделок со старыми названиями компаний и адреса объектов в 30 сделках остаются на доработке (адреса вносит Карина Маратова). </w:t>
      </w:r>
    </w:p>
    <w:p>
      <w:pPr>
        <w:pStyle w:val="Heading1"/>
      </w:pPr>
      <w:r>
        <w:rPr>
          <w:color w:val="000000"/>
        </w:rPr>
        <w:t>28 Категории обращения, маршрут заявок и SLA (редакция 1.27)</w:t>
      </w:r>
    </w:p>
    <w:p>
      <w:r>
        <w:t>28.1 Список категорий обращения. Поле сделки «Категория обращения» (UF_CRM_SERVICE_TYPE) принимает восемь значений: Обслуживание, Проверка, Монтаж, Модернизация, Авария, Пожарный аудит, Отдельная услуга, Проектирование. «Проектирование» утверждено директором 7 октября 2026 года как восьмая категория (коды fire_alarm_design, aps_design и design; маршрут — воронка 8 «Проект АПС» после обследования в общей воронке).</w:t>
      </w:r>
    </w:p>
    <w:p>
      <w:r>
        <w:t>28.2 Карта технических кодов. aps_maintenance → Обслуживание; inspection → Проверка; installation и aps_installation → Монтаж; aps_modernization → Модернизация; emergency_visit, emergency_service, lead_srabotka и aps_repair → Авария; fire_audit → Пожарный аудит; extinguisher_recharge, evacuation_plans, fire_hydrant_testing, ispytaniya_pk («Испытания пожарных кранов») и stress_test («Стресс-тест») → Отдельная услуга. Карта одинакова в Cloud Run (рабочий контур) и в netlify/functions/lead.js (резервный контур). Страницы /modernizaciya/ на сайте нет: код aps_modernization проверен только автоматическими тестами.</w:t>
      </w:r>
    </w:p>
    <w:p>
      <w:r>
        <w:t>28.3 Маршрут заявки. Решение директора от 6 октября 2026: все заявки с сайта, включая монтаж и срочные выезды, создаются в Общей воронке (категория 0) на стадии «Новая заявка» и проходят этап «Обследование», так как клиент часто не знает, какая услуга ему нужна на самом деле. Категория обращения не определяет воронку. Профильная воронка назначается координатором после обследования сменой воронки той же сделки. Прямая маршрутизация срочных заявок в воронку «Аварийная» и монтажа в воронку «Монтаж» не применяется.</w:t>
      </w:r>
    </w:p>
    <w:p>
      <w:r>
        <w:t>28.4 SLA. Принята простая схема: один общий робот первого контакта с SLA 30 минут в рабочее время для всех категорий. Срочные заявки («Авария») остаются в Общей воронке и получают то же напоминание через 30 минут. Отдельный SLA 2 часа для категории «Отдельная услуга» и отдельные сроки 15 минут для аварии не вводятся; пункт раздела 6 о SLA 2 часа сохраняется как справочный. Проверено 6 октября 2026: контрольная сделка №442 (категория «Отдельная услуга», страница планов эвакуации) создана в 16:54 в Общей воронке на стадии «Новая заявка»; робот создал задачу «Квалификация новой заявки» со сроком 17:24, то есть через 30 минут. Для категорий «Авария» и «Отдельная услуга» используется тот же робот.</w:t>
      </w:r>
    </w:p>
    <w:p>
      <w:r>
        <w:t>28.5 Состояние Cloud Run. Сервис tilda-webhook-to-bigquery выпущен в ревизии tilda-webhook-to-bigquery-00087-lmp (6 октября 2026, 100 процентов трафика; в ней добавлены коды ispytaniya_pk и stress_test), заменившей ревизию 00077-lzc из раздела 23.11. Код хранится в репозитории: cloud-run/tilda-webhook-to-bigquery/main.py, ветка cloud-run-appeal-categories (в main не влита). С 6 октября 2026 в код добавлена защита от дублей: если за последние 3 минуты уже есть сделка с тем же названием (услуга и имя клиента), вторая сделка и контакт не создаются; при одновременной доставке двух копий защита может не сработать.</w:t>
      </w:r>
    </w:p>
    <w:p>
      <w:r>
        <w:t>28.6 Данные. Значение «Обслуживание» проставлено в сделках №206–216. Четыре сделки сохраняют прежнее значение «Другое обращение»; у закрытых сделок №30, №112, №172 и нескольких открытых сделок категория пуста — заполняют ответственные.</w:t>
      </w:r>
    </w:p>
    <w:p>
      <w:r>
        <w:t>28.7 Приёмка и результаты контрольных заявок. 6 октября 2026 контрольные заявки с /obsluzhivanie/, /montazh/, /audit/ и /srabotka/ создали сделки в Общей воронке на стадии «Новая заявка» с категориями Обслуживание, Монтаж, Пожарный аудит и Авария (сделки №408, 410, 412, 414, 426, 428). Контрольная сделка №418 создана до выпуска и осталась в воронке «Аварийная». Все тестовые сделки и задачи удаляет директор.</w:t>
      </w:r>
    </w:p>
    <w:p>
      <w:r>
        <w:t>28.8 Открытые вопросы по реестру договоров (пункт 2 этапа 1). Название сделки №332 нужно привести к номеру договора 13092024-01; плановые даты следующего обслуживания пусты у всех 34 сделок воронки «Обслуживание текущих клиентов» и должны быть получены у ответственного за договоры; у 11 сделок этой воронки (№74, 76, 90, 92, 94, 96, 104, 106, 108, 110, 152) нет ID договора; все сделки воронки находятся на стадии «Новая». Автонумерация договоров пока не вводится.</w:t>
      </w:r>
    </w:p>
    <w:p>
      <w:r>
        <w:t>28.9 Нумерация. Решение директора от 6 октября 2026: «ID объекта» заполняется автоматически роботом на стадиях подписания договора (раздел 26.2); «ID договора» и номер договора всегда вносятся вручную ответственным за договоры. Автонумерация договоров не вводится.</w:t>
      </w:r>
    </w:p>
    <w:p>
      <w:r>
        <w:t>28.10 Дубли заявок с /obsluzhivanie/. 6 октября 2026 контрольная заявка создала две сделки: страница отправляла форму напрямую в Cloud Run, а скрипт-мост в странице Tilda (признак __pzTildaBridgeInstalled) одновременно заполнял скрытую форму Tilda form4204699703 и отправлял вторую копию через вебхук Tilda. Решение директора: рабочий путь — прямая отправка из страницы в Cloud Run, мост через Tilda убирается. Выполнено: из страницы удалены блок скрытой формы и скрипт-мост (стили блока сохранены), страница опубликована; в Cloud Run выпущена защита от дублей (28.5). Мост был только на /obsluzhivanie/; на /montazh/, /audit/ и /srabotka/ его нет, а второе уведомление «Расчёт монтажа АПС» на /montazh/ относится к калькулятору. Приёмка: контрольная заявка с /obsluzhivanie/ даёт одну сделку и одно уведомление. Результат проверки: сделка одна (№440); старая копия страницы из кэша ещё отправила вторую копию, но вторая сделка не создалась.</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5F5F"/>
        <w:sz w:val="16"/>
      </w:rPr>
      <w:t xml:space="preserve">Pozharnik.kz · ТЗ Bitrix24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rial" w:hAnsi="Arial"/>
      <w:b/>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