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</w:rPr>
        <w:t>Техническое задание на настройку Google Ads Pozharnik</w:t>
      </w:r>
    </w:p>
    <w:p>
      <w:pPr>
        <w:pStyle w:val="Subtitle"/>
      </w:pPr>
      <w:r>
        <w:rPr>
          <w:rFonts w:ascii="Arial" w:hAnsi="Arial"/>
        </w:rPr>
        <w:t>Search кампании 5 ICP офлайн конверсии Bitrix24 и Consent Mode v2</w:t>
      </w:r>
    </w:p>
    <w:p>
      <w:r>
        <w:t>Версия 1.4   Контракт данных 1.6   30 сентября 2026 года</w:t>
      </w:r>
    </w:p>
    <w:p>
      <w:r>
        <w:rPr>
          <w:rFonts w:ascii="Arial" w:hAnsi="Arial"/>
        </w:rPr>
        <w:t>Цель настройки — привлекать обращения организаций по пожарной безопасности и оптимизировать рекламу по подтвержденным бизнес-результатам: ICP A/B, выезду, отправленному КП, оплате и выигранной сделке. Обычная отправка формы не является основной целью оптимизации.</w:t>
      </w:r>
    </w:p>
    <w:p>
      <w:pPr>
        <w:pStyle w:val="Heading1"/>
      </w:pPr>
      <w:r>
        <w:rPr>
          <w:rFonts w:ascii="Arial" w:hAnsi="Arial"/>
        </w:rPr>
        <w:t>1 Объем работ и результат</w:t>
      </w:r>
    </w:p>
    <w:p>
      <w:pPr>
        <w:pStyle w:val="ListBullet"/>
      </w:pPr>
      <w:r>
        <w:rPr>
          <w:rFonts w:ascii="Arial" w:hAnsi="Arial"/>
        </w:rPr>
        <w:t>Настроить аккаунт Google Ads, измерение, Search кампании, аудитории наблюдения, минус-слова, объявления и расширения.</w:t>
      </w:r>
    </w:p>
    <w:p>
      <w:pPr>
        <w:pStyle w:val="ListBullet"/>
      </w:pPr>
      <w:r>
        <w:rPr>
          <w:rFonts w:ascii="Arial" w:hAnsi="Arial"/>
        </w:rPr>
        <w:t>Связать Google Ads с GA4 G-K3055R6Y7X и GTM GTM-WVGQ5BZ4 без создания дублирующих тегов.</w:t>
      </w:r>
    </w:p>
    <w:p>
      <w:pPr>
        <w:pStyle w:val="ListBullet"/>
      </w:pPr>
      <w:r>
        <w:rPr>
          <w:rFonts w:ascii="Arial" w:hAnsi="Arial"/>
        </w:rPr>
        <w:t>Настроить enhanced conversions for leads и автоматический импорт офлайн-конверсий из Bitrix24 через Cloud Run или Google Ads Data Manager.</w:t>
      </w:r>
    </w:p>
    <w:p>
      <w:pPr>
        <w:pStyle w:val="ListBullet"/>
      </w:pPr>
      <w:r>
        <w:rPr>
          <w:rFonts w:ascii="Arial" w:hAnsi="Arial"/>
        </w:rPr>
        <w:t>Сохранить gclid, gbraid и wbraid с момента клика до CRM-события и передавать value в KZT для денежных конверсий.</w:t>
      </w:r>
    </w:p>
    <w:p>
      <w:pPr>
        <w:pStyle w:val="ListBullet"/>
      </w:pPr>
      <w:r>
        <w:rPr>
          <w:rFonts w:ascii="Arial" w:hAnsi="Arial"/>
        </w:rPr>
        <w:t>Запустить управленческую отчетность по расходу, ICP, выездам, КП, оплатам, договорам, MRR и валовой прибыли.</w:t>
      </w:r>
    </w:p>
    <w:p>
      <w:pPr>
        <w:pStyle w:val="Heading1"/>
      </w:pPr>
      <w:r>
        <w:rPr>
          <w:rFonts w:ascii="Arial" w:hAnsi="Arial"/>
        </w:rPr>
        <w:t>2 Источники истины и архитектура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4"/>
        <w:gridCol w:w="3324"/>
        <w:gridCol w:w="3324"/>
      </w:tblGrid>
      <w:tr>
        <w:trPr>
          <w:tblHeader w:val="true"/>
          <w:tblHeader w:val="true"/>
        </w:trPr>
        <w:tc>
          <w:tcPr>
            <w:tcW w:type="dxa" w:w="1984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Контур</w:t>
            </w:r>
          </w:p>
        </w:tc>
        <w:tc>
          <w:tcPr>
            <w:tcW w:type="dxa" w:w="2835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Источник истины</w:t>
            </w:r>
          </w:p>
        </w:tc>
        <w:tc>
          <w:tcPr>
            <w:tcW w:type="dxa" w:w="5216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Реклама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Google Ads</w:t>
            </w:r>
          </w:p>
        </w:tc>
        <w:tc>
          <w:tcPr>
            <w:tcW w:type="dxa" w:w="5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Кампании, объявления, расходы и search terms</w:t>
            </w:r>
          </w:p>
        </w:tc>
      </w:tr>
      <w:tr>
        <w:tc>
          <w:tcPr>
            <w:tcW w:type="dxa" w:w="198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Веб аналитика</w:t>
            </w:r>
          </w:p>
        </w:tc>
        <w:tc>
          <w:tcPr>
            <w:tcW w:type="dxa" w:w="2835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GTM и GA4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Сессии и события pz_* без персональных данных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Лиды и продажи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Bitrix24</w:t>
            </w:r>
          </w:p>
        </w:tc>
        <w:tc>
          <w:tcPr>
            <w:tcW w:type="dxa" w:w="5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Квалификация, стадии, суммы, MRR и результат</w:t>
            </w:r>
          </w:p>
        </w:tc>
      </w:tr>
      <w:tr>
        <w:tc>
          <w:tcPr>
            <w:tcW w:type="dxa" w:w="198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Транспорт</w:t>
            </w:r>
          </w:p>
        </w:tc>
        <w:tc>
          <w:tcPr>
            <w:tcW w:type="dxa" w:w="2835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Cloud Run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Валидация, дедупликация и загрузка конверсий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Аудит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BigQuery</w:t>
            </w:r>
          </w:p>
        </w:tc>
        <w:tc>
          <w:tcPr>
            <w:tcW w:type="dxa" w:w="5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Журнал входящих и исходящих событий</w:t>
            </w:r>
          </w:p>
        </w:tc>
      </w:tr>
      <w:tr>
        <w:tc>
          <w:tcPr>
            <w:tcW w:type="dxa" w:w="198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Схема</w:t>
            </w:r>
          </w:p>
        </w:tc>
        <w:tc>
          <w:tcPr>
            <w:tcW w:type="dxa" w:w="2835"/>
            <w:vAlign w:val="center"/>
            <w:shd w:fill="F2F7F9"/>
          </w:tcPr>
          <w:p>
            <w:pPr>
              <w:spacing w:after="40"/>
            </w:pPr>
            <w:r>
              <w:t>Единый контракт данных 1.6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Технические имена и правила</w:t>
            </w:r>
          </w:p>
        </w:tc>
      </w:tr>
    </w:tbl>
    <w:p>
      <w:pPr>
        <w:spacing w:after="40"/>
      </w:pPr>
    </w:p>
    <w:p>
      <w:r>
        <w:rPr>
          <w:rFonts w:ascii="Arial" w:hAnsi="Arial"/>
        </w:rPr>
        <w:t>Поток: Google Ads -&gt; Tilda -&gt; GTM/GA4 -&gt; форма -&gt; Cloud Run -&gt; BigQuery -&gt; Bitrix24 -&gt; Cloud Run или Data Manager -&gt; Google Ads.</w:t>
      </w:r>
    </w:p>
    <w:p>
      <w:pPr>
        <w:pStyle w:val="Heading1"/>
      </w:pPr>
      <w:r>
        <w:rPr>
          <w:rFonts w:ascii="Arial" w:hAnsi="Arial"/>
        </w:rPr>
        <w:t>3 Доступы и предварительные условия</w:t>
      </w:r>
    </w:p>
    <w:p>
      <w:pPr>
        <w:pStyle w:val="ListBullet"/>
      </w:pPr>
      <w:r>
        <w:rPr>
          <w:rFonts w:ascii="Arial" w:hAnsi="Arial"/>
        </w:rPr>
        <w:t>Доступ администратора к Google Ads и право связывать GA4, GTM и источники данных.</w:t>
      </w:r>
    </w:p>
    <w:p>
      <w:pPr>
        <w:pStyle w:val="ListBullet"/>
      </w:pPr>
      <w:r>
        <w:rPr>
          <w:rFonts w:ascii="Arial" w:hAnsi="Arial"/>
        </w:rPr>
        <w:t>Включенная автоматическая пометка URL. Ручные UTM используются дополнительно и не заменяют auto-tagging.</w:t>
      </w:r>
    </w:p>
    <w:p>
      <w:pPr>
        <w:pStyle w:val="ListBullet"/>
      </w:pPr>
      <w:r>
        <w:rPr>
          <w:rFonts w:ascii="Arial" w:hAnsi="Arial"/>
        </w:rPr>
        <w:t>Приняты Customer Data Terms и включены enhanced conversions for leads.</w:t>
      </w:r>
    </w:p>
    <w:p>
      <w:pPr>
        <w:pStyle w:val="ListBullet"/>
      </w:pPr>
      <w:r>
        <w:rPr>
          <w:rFonts w:ascii="Arial" w:hAnsi="Arial"/>
        </w:rPr>
        <w:t>Настроен Consent Mode v2: default denied; значения analytics_storage, ad_storage, ad_user_data и ad_personalization обновляются после выбора пользователя.</w:t>
      </w:r>
    </w:p>
    <w:p>
      <w:pPr>
        <w:pStyle w:val="ListBullet"/>
      </w:pPr>
      <w:r>
        <w:rPr>
          <w:rFonts w:ascii="Arial" w:hAnsi="Arial"/>
        </w:rPr>
        <w:t>В Bitrix24 доступны event_id, click ID, consent_*, ICP, стадии, value, MRR и валовая прибыль.</w:t>
      </w:r>
    </w:p>
    <w:p>
      <w:pPr>
        <w:pStyle w:val="ListBullet"/>
      </w:pPr>
      <w:r>
        <w:rPr>
          <w:rFonts w:ascii="Arial" w:hAnsi="Arial"/>
        </w:rPr>
        <w:t>OAuth, developer token, customer ID и conversion action IDs хранятся вне сайта и GTM.</w:t>
      </w:r>
    </w:p>
    <w:p>
      <w:pPr>
        <w:pStyle w:val="Heading1"/>
      </w:pPr>
      <w:r>
        <w:rPr>
          <w:rFonts w:ascii="Arial" w:hAnsi="Arial"/>
        </w:rPr>
        <w:t>4 Структура аккаунта и кампаний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  <w:tblHeader w:val="true"/>
        </w:trPr>
        <w:tc>
          <w:tcPr>
            <w:tcW w:type="dxa" w:w="2381"/>
            <w:vAlign w:val="center"/>
            <w:shd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Кампания</w:t>
            </w:r>
          </w:p>
        </w:tc>
        <w:tc>
          <w:tcPr>
            <w:tcW w:type="dxa" w:w="1134"/>
            <w:vAlign w:val="center"/>
            <w:shd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ICP</w:t>
            </w:r>
          </w:p>
        </w:tc>
        <w:tc>
          <w:tcPr>
            <w:tcW w:type="dxa" w:w="3118"/>
            <w:vAlign w:val="center"/>
            <w:shd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Намерение</w:t>
            </w:r>
          </w:p>
        </w:tc>
        <w:tc>
          <w:tcPr>
            <w:tcW w:type="dxa" w:w="3402"/>
            <w:vAlign w:val="center"/>
            <w:shd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Посадочная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SEARCH TO APS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ICP 1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Обслуживание АПС, договор ТО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/obsluzhivanie/</w:t>
            </w:r>
          </w:p>
        </w:tc>
      </w:tr>
      <w:tr>
        <w:tc>
          <w:tcPr>
            <w:tcW w:type="dxa" w:w="2381"/>
            <w:vAlign w:val="center"/>
            <w:shd w:fill="EAF2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SEARCH SMENA PODRYADCHIKA</w:t>
            </w:r>
          </w:p>
        </w:tc>
        <w:tc>
          <w:tcPr>
            <w:tcW w:type="dxa" w:w="1134"/>
            <w:vAlign w:val="center"/>
            <w:shd w:fill="EAF2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ICP 2</w:t>
            </w:r>
          </w:p>
        </w:tc>
        <w:tc>
          <w:tcPr>
            <w:tcW w:type="dxa" w:w="3118"/>
            <w:vAlign w:val="center"/>
            <w:shd w:fill="EAF2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Смена обслуживающей организации</w:t>
            </w:r>
          </w:p>
        </w:tc>
        <w:tc>
          <w:tcPr>
            <w:tcW w:type="dxa" w:w="3402"/>
            <w:vAlign w:val="center"/>
            <w:shd w:fill="EAF2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/smena-podryadchika/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SEARCH MONTAZH B2B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ICP 3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Новый объект, монтаж и проектирование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/montazh/</w:t>
            </w:r>
          </w:p>
        </w:tc>
      </w:tr>
      <w:tr>
        <w:tc>
          <w:tcPr>
            <w:tcW w:type="dxa" w:w="2381"/>
            <w:vAlign w:val="center"/>
            <w:shd w:fill="EAF2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SEARCH SRABOTKA REMONT</w:t>
            </w:r>
          </w:p>
        </w:tc>
        <w:tc>
          <w:tcPr>
            <w:tcW w:type="dxa" w:w="1134"/>
            <w:vAlign w:val="center"/>
            <w:shd w:fill="EAF2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ICP 4</w:t>
            </w:r>
          </w:p>
        </w:tc>
        <w:tc>
          <w:tcPr>
            <w:tcW w:type="dxa" w:w="3118"/>
            <w:vAlign w:val="center"/>
            <w:shd w:fill="EAF2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Неисправность, срочная диагностика и ремонт</w:t>
            </w:r>
          </w:p>
        </w:tc>
        <w:tc>
          <w:tcPr>
            <w:tcW w:type="dxa" w:w="3402"/>
            <w:vAlign w:val="center"/>
            <w:shd w:fill="EAF2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/srabotka/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SEARCH MODERNIZACIYA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ICP 4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Модернизация или замена действующей АПС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/modernizaciya/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SEARCH AUDIT PB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ICP 5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Аудит, проверка ДЧС и подготовка документов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/audit/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Arial" w:hAnsi="Arial"/>
        </w:rPr>
        <w:t>География: присутствие пользователя в Алматы и реально обслуживаемой части Алматинской области. Исключить интерес к региону без физического присутствия.</w:t>
      </w:r>
    </w:p>
    <w:p>
      <w:pPr>
        <w:pStyle w:val="ListBullet"/>
      </w:pPr>
      <w:r>
        <w:rPr>
          <w:rFonts w:ascii="Arial" w:hAnsi="Arial"/>
        </w:rPr>
        <w:t>Язык объявлений и ключей: русский; казахские группы добавлять отдельно после проверки спроса и качества посадочных.</w:t>
      </w:r>
    </w:p>
    <w:p>
      <w:pPr>
        <w:pStyle w:val="ListBullet"/>
      </w:pPr>
      <w:r>
        <w:rPr>
          <w:rFonts w:ascii="Arial" w:hAnsi="Arial"/>
        </w:rPr>
        <w:t>На старте использовать Search. Performance Max не запускать до стабильного импорта офлайн-конверсий.</w:t>
      </w:r>
    </w:p>
    <w:p>
      <w:pPr>
        <w:pStyle w:val="Heading1"/>
      </w:pPr>
      <w:r>
        <w:rPr>
          <w:rFonts w:ascii="Arial" w:hAnsi="Arial"/>
        </w:rPr>
        <w:t>5 Ключевые слова и поисковые запросы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4"/>
        <w:gridCol w:w="3324"/>
        <w:gridCol w:w="3324"/>
      </w:tblGrid>
      <w:tr>
        <w:trPr>
          <w:tblHeader w:val="true"/>
          <w:tblHeader w:val="true"/>
        </w:trPr>
        <w:tc>
          <w:tcPr>
            <w:tcW w:type="dxa" w:w="1247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ICP</w:t>
            </w:r>
          </w:p>
        </w:tc>
        <w:tc>
          <w:tcPr>
            <w:tcW w:type="dxa" w:w="5102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Стартовые темы</w:t>
            </w:r>
          </w:p>
        </w:tc>
        <w:tc>
          <w:tcPr>
            <w:tcW w:type="dxa" w:w="3685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Исключить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ICP 1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обслуживание пожарной сигнализации, ТО АПС, договор обслуживания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квартира, подъезд, своими руками</w:t>
            </w:r>
          </w:p>
        </w:tc>
      </w:tr>
      <w:tr>
        <w:tc>
          <w:tcPr>
            <w:tcW w:type="dxa" w:w="1247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ICP 2</w:t>
            </w:r>
          </w:p>
        </w:tc>
        <w:tc>
          <w:tcPr>
            <w:tcW w:type="dxa" w:w="5102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сменить подрядчика АПС, обслуживание не устраивает, новая обслуживающая компания</w:t>
            </w:r>
          </w:p>
        </w:tc>
        <w:tc>
          <w:tcPr>
            <w:tcW w:type="dxa" w:w="3685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работа, вакансии, обучение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ICP 3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монтаж АПС склад, производство, офис, проект пожарной сигнализации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автосигнализация, StarLine, автомобиль</w:t>
            </w:r>
          </w:p>
        </w:tc>
      </w:tr>
      <w:tr>
        <w:tc>
          <w:tcPr>
            <w:tcW w:type="dxa" w:w="1247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ICP 4</w:t>
            </w:r>
          </w:p>
        </w:tc>
        <w:tc>
          <w:tcPr>
            <w:tcW w:type="dxa" w:w="5102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ремонт АПС, неисправность сигнализации, ложные срабатывания</w:t>
            </w:r>
          </w:p>
        </w:tc>
        <w:tc>
          <w:tcPr>
            <w:tcW w:type="dxa" w:w="3685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домофон, охранная сигнализация бытовая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ICP 5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аудит пожарной безопасности, обследование АПС, проверка объекта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реферат, курсовая, скачать бесплатно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Arial" w:hAnsi="Arial"/>
        </w:rPr>
        <w:t>На старте использовать exact и phrase. Broad допускается только отдельным экспериментом после накопления минимум 30–50 проверенных primary-конверсий за 30 дней.</w:t>
      </w:r>
    </w:p>
    <w:p>
      <w:pPr>
        <w:pStyle w:val="ListBullet"/>
      </w:pPr>
      <w:r>
        <w:rPr>
          <w:rFonts w:ascii="Arial" w:hAnsi="Arial"/>
        </w:rPr>
        <w:t>Search terms проверять не реже одного раза в неделю; новые минус-слова согласовывать с ответственным за продажи, чтобы не исключить B2B спрос.</w:t>
      </w:r>
    </w:p>
    <w:p>
      <w:pPr>
        <w:pStyle w:val="Heading1"/>
      </w:pPr>
      <w:r>
        <w:rPr>
          <w:rFonts w:ascii="Arial" w:hAnsi="Arial"/>
        </w:rPr>
        <w:t>6 Объявления и активы</w:t>
      </w:r>
    </w:p>
    <w:p>
      <w:pPr>
        <w:pStyle w:val="ListBullet"/>
      </w:pPr>
      <w:r>
        <w:rPr>
          <w:rFonts w:ascii="Arial" w:hAnsi="Arial"/>
        </w:rPr>
        <w:t>В заголовках явно указывать B2B: для организаций, складов, производств и коммерческих объектов.</w:t>
      </w:r>
    </w:p>
    <w:p>
      <w:pPr>
        <w:pStyle w:val="ListBullet"/>
      </w:pPr>
      <w:r>
        <w:rPr>
          <w:rFonts w:ascii="Arial" w:hAnsi="Arial"/>
        </w:rPr>
        <w:t>Не обещать цену, срок, лицензию, выезд или результат, если формулировка не подтверждена операционным процессом.</w:t>
      </w:r>
    </w:p>
    <w:p>
      <w:pPr>
        <w:pStyle w:val="ListBullet"/>
      </w:pPr>
      <w:r>
        <w:rPr>
          <w:rFonts w:ascii="Arial" w:hAnsi="Arial"/>
        </w:rPr>
        <w:t>Для каждого ICP подготовить не менее двух адаптивных поисковых объявлений и уникальный набор активов.</w:t>
      </w:r>
    </w:p>
    <w:p>
      <w:pPr>
        <w:pStyle w:val="ListBullet"/>
      </w:pPr>
      <w:r>
        <w:rPr>
          <w:rFonts w:ascii="Arial" w:hAnsi="Arial"/>
        </w:rPr>
        <w:t>Использовать быстрые ссылки на услуги, примеры работ, документы, контакты и FAQ; номера телефонов должны соответствовать коллтрекингу.</w:t>
      </w:r>
    </w:p>
    <w:p>
      <w:pPr>
        <w:pStyle w:val="ListBullet"/>
      </w:pPr>
      <w:r>
        <w:rPr>
          <w:rFonts w:ascii="Arial" w:hAnsi="Arial"/>
        </w:rPr>
        <w:t>UTM шаблон: utm_source=google&amp;utm_medium=cpc&amp;utm_campaign={campaignid}&amp;utm_id={campaignid}&amp;utm_content={creative}&amp;utm_term={keyword}; фактический search_term хранится отдельно.</w:t>
      </w:r>
    </w:p>
    <w:p>
      <w:pPr>
        <w:pStyle w:val="Heading1"/>
      </w:pPr>
      <w:r>
        <w:rPr>
          <w:rFonts w:ascii="Arial" w:hAnsi="Arial"/>
        </w:rPr>
        <w:t>7 Конверсии Google Ads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tblHeader w:val="true"/>
        </w:trPr>
        <w:tc>
          <w:tcPr>
            <w:tcW w:type="dxa" w:w="1814"/>
            <w:vAlign w:val="center"/>
            <w:shd w:fill="173B4D"/>
          </w:tcPr>
          <w:p>
            <w:r>
              <w:rPr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1361"/>
            <w:vAlign w:val="center"/>
            <w:shd w:fill="173B4D"/>
          </w:tcPr>
          <w:p>
            <w:r>
              <w:rPr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1417"/>
            <w:vAlign w:val="center"/>
            <w:shd w:fill="173B4D"/>
          </w:tcPr>
          <w:p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2494"/>
            <w:vAlign w:val="center"/>
            <w:shd w:fill="173B4D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948"/>
            <w:vAlign w:val="center"/>
            <w:shd w:fill="173B4D"/>
          </w:tcPr>
          <w:p>
            <w:r>
              <w:rPr>
                <w:b/>
                <w:color w:val="FFFFFF"/>
                <w:sz w:val="16"/>
              </w:rPr>
              <w:t>Условие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pz_form_success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Website</w:t>
            </w:r>
          </w:p>
        </w:tc>
        <w:tc>
          <w:tcPr>
            <w:tcW w:type="dxa" w:w="141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49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Без value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После подтверждения Tilda</w:t>
            </w:r>
          </w:p>
        </w:tc>
      </w:tr>
      <w:tr>
        <w:tc>
          <w:tcPr>
            <w:tcW w:type="dxa" w:w="181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lead_created</w:t>
            </w:r>
          </w:p>
        </w:tc>
        <w:tc>
          <w:tcPr>
            <w:tcW w:type="dxa" w:w="1361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Offline</w:t>
            </w:r>
          </w:p>
        </w:tc>
        <w:tc>
          <w:tcPr>
            <w:tcW w:type="dxa" w:w="1417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49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Без value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После создания валидного лида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qualified_lead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Offline</w:t>
            </w:r>
          </w:p>
        </w:tc>
        <w:tc>
          <w:tcPr>
            <w:tcW w:type="dxa" w:w="141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Primary</w:t>
            </w:r>
          </w:p>
        </w:tc>
        <w:tc>
          <w:tcPr>
            <w:tcW w:type="dxa" w:w="249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Фиксированная или модельная ценность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Только ICP A/B</w:t>
            </w:r>
          </w:p>
        </w:tc>
      </w:tr>
      <w:tr>
        <w:tc>
          <w:tcPr>
            <w:tcW w:type="dxa" w:w="181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visit_scheduled</w:t>
            </w:r>
          </w:p>
        </w:tc>
        <w:tc>
          <w:tcPr>
            <w:tcW w:type="dxa" w:w="1361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Offline</w:t>
            </w:r>
          </w:p>
        </w:tc>
        <w:tc>
          <w:tcPr>
            <w:tcW w:type="dxa" w:w="1417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Primary</w:t>
            </w:r>
          </w:p>
        </w:tc>
        <w:tc>
          <w:tcPr>
            <w:tcW w:type="dxa" w:w="249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Фиксированная ценность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Есть дата и ответственный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visit_done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Offline</w:t>
            </w:r>
          </w:p>
        </w:tc>
        <w:tc>
          <w:tcPr>
            <w:tcW w:type="dxa" w:w="141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Primary</w:t>
            </w:r>
          </w:p>
        </w:tc>
        <w:tc>
          <w:tcPr>
            <w:tcW w:type="dxa" w:w="249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Фиксированная ценность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Выезд состоялся</w:t>
            </w:r>
          </w:p>
        </w:tc>
      </w:tr>
      <w:tr>
        <w:tc>
          <w:tcPr>
            <w:tcW w:type="dxa" w:w="181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quote_sent</w:t>
            </w:r>
          </w:p>
        </w:tc>
        <w:tc>
          <w:tcPr>
            <w:tcW w:type="dxa" w:w="1361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Offline</w:t>
            </w:r>
          </w:p>
        </w:tc>
        <w:tc>
          <w:tcPr>
            <w:tcW w:type="dxa" w:w="1417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Primary</w:t>
            </w:r>
          </w:p>
        </w:tc>
        <w:tc>
          <w:tcPr>
            <w:tcW w:type="dxa" w:w="249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Сумма КП или расчетная ценность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КП фактически отправлено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invoice_issued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Offline</w:t>
            </w:r>
          </w:p>
        </w:tc>
        <w:tc>
          <w:tcPr>
            <w:tcW w:type="dxa" w:w="141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49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Сумма счета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Счет отправлен</w:t>
            </w:r>
          </w:p>
        </w:tc>
      </w:tr>
      <w:tr>
        <w:tc>
          <w:tcPr>
            <w:tcW w:type="dxa" w:w="181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payment_received</w:t>
            </w:r>
          </w:p>
        </w:tc>
        <w:tc>
          <w:tcPr>
            <w:tcW w:type="dxa" w:w="1361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Offline</w:t>
            </w:r>
          </w:p>
        </w:tc>
        <w:tc>
          <w:tcPr>
            <w:tcW w:type="dxa" w:w="1417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Primary</w:t>
            </w:r>
          </w:p>
        </w:tc>
        <w:tc>
          <w:tcPr>
            <w:tcW w:type="dxa" w:w="249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Фактически оплачено KZT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Оплата подтверждена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contract_won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Offline</w:t>
            </w:r>
          </w:p>
        </w:tc>
        <w:tc>
          <w:tcPr>
            <w:tcW w:type="dxa" w:w="141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Primary</w:t>
            </w:r>
          </w:p>
        </w:tc>
        <w:tc>
          <w:tcPr>
            <w:tcW w:type="dxa" w:w="249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Выручка или валовая прибыль KZT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Сделка выиграна</w:t>
            </w:r>
          </w:p>
        </w:tc>
      </w:tr>
      <w:tr>
        <w:tc>
          <w:tcPr>
            <w:tcW w:type="dxa" w:w="181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work_completed</w:t>
            </w:r>
          </w:p>
        </w:tc>
        <w:tc>
          <w:tcPr>
            <w:tcW w:type="dxa" w:w="1361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Offline</w:t>
            </w:r>
          </w:p>
        </w:tc>
        <w:tc>
          <w:tcPr>
            <w:tcW w:type="dxa" w:w="1417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49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Без value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Работа завершена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Arial" w:hAnsi="Arial"/>
        </w:rPr>
        <w:t>Для каждой стадии создается отдельное conversion action. Не объединять qualified_lead и contract_won в одно действие.</w:t>
      </w:r>
    </w:p>
    <w:p>
      <w:pPr>
        <w:pStyle w:val="ListBullet"/>
      </w:pPr>
      <w:r>
        <w:rPr>
          <w:rFonts w:ascii="Arial" w:hAnsi="Arial"/>
        </w:rPr>
        <w:t>Модель атрибуции — data-driven, если доступна для аккаунта; окно конверсии задается с учетом фактического цикла сделки.</w:t>
      </w:r>
    </w:p>
    <w:p>
      <w:pPr>
        <w:pStyle w:val="ListBullet"/>
      </w:pPr>
      <w:r>
        <w:rPr>
          <w:rFonts w:ascii="Arial" w:hAnsi="Arial"/>
        </w:rPr>
        <w:t>Включение в столбец Conversions и account-default goals выполняется только согласно роли Primary/Secondary из таблицы.</w:t>
      </w:r>
    </w:p>
    <w:p>
      <w:pPr>
        <w:pStyle w:val="Heading1"/>
      </w:pPr>
      <w:r>
        <w:rPr>
          <w:rFonts w:ascii="Arial" w:hAnsi="Arial"/>
        </w:rPr>
        <w:t>8 Enhanced conversions for leads</w:t>
      </w:r>
    </w:p>
    <w:p>
      <w:pPr>
        <w:pStyle w:val="ListBullet"/>
      </w:pPr>
      <w:r>
        <w:rPr>
          <w:rFonts w:ascii="Arial" w:hAnsi="Arial"/>
        </w:rPr>
        <w:t>В Google Ads принять Customer Data Terms и включить enhanced conversions.</w:t>
      </w:r>
    </w:p>
    <w:p>
      <w:pPr>
        <w:pStyle w:val="ListBullet"/>
      </w:pPr>
      <w:r>
        <w:rPr>
          <w:rFonts w:ascii="Arial" w:hAnsi="Arial"/>
        </w:rPr>
        <w:t>На сайте использовать Google tag через GTM. Пользовательские данные не передавать в dataLayer или GA4 в открытом виде.</w:t>
      </w:r>
    </w:p>
    <w:p>
      <w:pPr>
        <w:pStyle w:val="ListBullet"/>
      </w:pPr>
      <w:r>
        <w:rPr>
          <w:rFonts w:ascii="Arial" w:hAnsi="Arial"/>
        </w:rPr>
        <w:t>Для сопоставления использовать нормализованный email и/или телефон, хешированный SHA-256 до передачи Google, только при consent_ads=granted.</w:t>
      </w:r>
    </w:p>
    <w:p>
      <w:pPr>
        <w:pStyle w:val="ListBullet"/>
      </w:pPr>
      <w:r>
        <w:rPr>
          <w:rFonts w:ascii="Arial" w:hAnsi="Arial"/>
        </w:rPr>
        <w:t>Сохранять gclid, gbraid и wbraid вместе с event_id и CRM ID. При загрузке click conversion передавать ровно один из gclid, gbraid или wbraid.</w:t>
      </w:r>
    </w:p>
    <w:p>
      <w:pPr>
        <w:pStyle w:val="ListBullet"/>
      </w:pPr>
      <w:r>
        <w:rPr>
          <w:rFonts w:ascii="Arial" w:hAnsi="Arial"/>
        </w:rPr>
        <w:t>Для дедупликации передавать order_id в формате pz:{ENTITY_TYPE}:{ENTITY_ID}:{EVENT_NAME}:{VERSION}.</w:t>
      </w:r>
    </w:p>
    <w:p>
      <w:pPr>
        <w:pStyle w:val="ListBullet"/>
      </w:pPr>
      <w:r>
        <w:rPr>
          <w:rFonts w:ascii="Arial" w:hAnsi="Arial"/>
        </w:rPr>
        <w:t>conversion_date_time передавать с часовым поясом; время должно быть позже клика и соответствовать факту CRM-события.</w:t>
      </w:r>
    </w:p>
    <w:p>
      <w:pPr>
        <w:pStyle w:val="ListBullet"/>
      </w:pPr>
      <w:r>
        <w:rPr>
          <w:rFonts w:ascii="Arial" w:hAnsi="Arial"/>
        </w:rPr>
        <w:t>Загрузка выполняется пакетно с partial failure, логированием принятых и отклоненных строк и повтором только технически ошибочных записей.</w:t>
      </w:r>
    </w:p>
    <w:p>
      <w:pPr>
        <w:pStyle w:val="Heading1"/>
      </w:pPr>
      <w:r>
        <w:rPr>
          <w:rFonts w:ascii="Arial" w:hAnsi="Arial"/>
        </w:rPr>
        <w:t>9 Единый payload офлайн-конверсии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4"/>
        <w:gridCol w:w="3324"/>
        <w:gridCol w:w="3324"/>
      </w:tblGrid>
      <w:tr>
        <w:trPr>
          <w:tblHeader w:val="true"/>
          <w:tblHeader w:val="true"/>
        </w:trPr>
        <w:tc>
          <w:tcPr>
            <w:tcW w:type="dxa" w:w="2551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268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Обязательность</w:t>
            </w:r>
          </w:p>
        </w:tc>
        <w:tc>
          <w:tcPr>
            <w:tcW w:type="dxa" w:w="5216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Правило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conversion_action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</w:t>
            </w:r>
          </w:p>
        </w:tc>
        <w:tc>
          <w:tcPr>
            <w:tcW w:type="dxa" w:w="5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Ресурс или ID отдельного conversion action</w:t>
            </w:r>
          </w:p>
        </w:tc>
      </w:tr>
      <w:tr>
        <w:tc>
          <w:tcPr>
            <w:tcW w:type="dxa" w:w="2551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conversion_date_time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Формат yyyy-mm-dd hh:mm:ss+|-hh:mm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gclid / gbraid / wbraid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Один из доступных</w:t>
            </w:r>
          </w:p>
        </w:tc>
        <w:tc>
          <w:tcPr>
            <w:tcW w:type="dxa" w:w="5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 передавать несколько click ID в одной click conversion</w:t>
            </w:r>
          </w:p>
        </w:tc>
      </w:tr>
      <w:tr>
        <w:tc>
          <w:tcPr>
            <w:tcW w:type="dxa" w:w="2551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order_id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Стабильный ключ дедупликации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conversion_value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Для денежных событий</w:t>
            </w:r>
          </w:p>
        </w:tc>
        <w:tc>
          <w:tcPr>
            <w:tcW w:type="dxa" w:w="5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Число из Bitrix24</w:t>
            </w:r>
          </w:p>
        </w:tc>
      </w:tr>
      <w:tr>
        <w:tc>
          <w:tcPr>
            <w:tcW w:type="dxa" w:w="2551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currency_code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Для денежных событий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KZT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user_identifiers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 consent_ads=granted</w:t>
            </w:r>
          </w:p>
        </w:tc>
        <w:tc>
          <w:tcPr>
            <w:tcW w:type="dxa" w:w="5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SHA-256 email или телефона</w:t>
            </w:r>
          </w:p>
        </w:tc>
      </w:tr>
      <w:tr>
        <w:tc>
          <w:tcPr>
            <w:tcW w:type="dxa" w:w="2551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ad_user_data_consent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GRANTED или DENIED из consent_ads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event_id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 во внутреннем журнале</w:t>
            </w:r>
          </w:p>
        </w:tc>
        <w:tc>
          <w:tcPr>
            <w:tcW w:type="dxa" w:w="5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Связь с BigQuery и Bitrix24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</w:rPr>
        <w:t>10 Канонические поля и атрибуция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4"/>
        <w:gridCol w:w="3324"/>
        <w:gridCol w:w="3324"/>
      </w:tblGrid>
      <w:tr>
        <w:trPr>
          <w:tblHeader w:val="true"/>
          <w:tblHeader w:val="true"/>
        </w:trPr>
        <w:tc>
          <w:tcPr>
            <w:tcW w:type="dxa" w:w="1984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Группа</w:t>
            </w:r>
          </w:p>
        </w:tc>
        <w:tc>
          <w:tcPr>
            <w:tcW w:type="dxa" w:w="5102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Поля</w:t>
            </w:r>
          </w:p>
        </w:tc>
        <w:tc>
          <w:tcPr>
            <w:tcW w:type="dxa" w:w="2948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Правило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Текущий визит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utm_source, utm_medium, utm_campaign, utm_id, utm_content, utm_term, referrer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Отдельно от first/last</w:t>
            </w:r>
          </w:p>
        </w:tc>
      </w:tr>
      <w:tr>
        <w:tc>
          <w:tcPr>
            <w:tcW w:type="dxa" w:w="198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Первое касание</w:t>
            </w:r>
          </w:p>
        </w:tc>
        <w:tc>
          <w:tcPr>
            <w:tcW w:type="dxa" w:w="5102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first_utm_*, first_gclid, first_landing_page, first_referrer, first_visit_at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 перезаписывать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Последнее касание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last_utm_*, last_gclid, last_landing_page, last_referrer, last_visit_at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Обновлять</w:t>
            </w:r>
          </w:p>
        </w:tc>
      </w:tr>
      <w:tr>
        <w:tc>
          <w:tcPr>
            <w:tcW w:type="dxa" w:w="198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Click ID</w:t>
            </w:r>
          </w:p>
        </w:tc>
        <w:tc>
          <w:tcPr>
            <w:tcW w:type="dxa" w:w="5102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gclid, gbraid, wbraid, yclid, dclid, fbclid, gad_source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Без переименований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Контекст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search_term, page_url, page_path, page_title, platform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Одинаковые имена</w:t>
            </w:r>
          </w:p>
        </w:tc>
      </w:tr>
      <w:tr>
        <w:tc>
          <w:tcPr>
            <w:tcW w:type="dxa" w:w="198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Согласие</w:t>
            </w:r>
          </w:p>
        </w:tc>
        <w:tc>
          <w:tcPr>
            <w:tcW w:type="dxa" w:w="5102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consent_analytics, consent_ads, consent_timestamp, consent_version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Default denied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Предмет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service_type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Поле service запрещено</w:t>
            </w:r>
          </w:p>
        </w:tc>
      </w:tr>
      <w:tr>
        <w:tc>
          <w:tcPr>
            <w:tcW w:type="dxa" w:w="198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ICP</w:t>
            </w:r>
          </w:p>
        </w:tc>
        <w:tc>
          <w:tcPr>
            <w:tcW w:type="dxa" w:w="5102"/>
            <w:vAlign w:val="center"/>
            <w:shd w:fill="F2F7F9"/>
          </w:tcPr>
          <w:p>
            <w:r>
              <w:t>icp_type / UF_CRM_ICP_TYPE; icp_class / UF_CRM_ICP_SEGMENT</w:t>
            </w:r>
          </w:p>
        </w:tc>
        <w:tc>
          <w:tcPr>
            <w:tcW w:type="dxa" w:w="2948"/>
            <w:vAlign w:val="center"/>
            <w:shd w:fill="F2F7F9"/>
          </w:tcPr>
          <w:p>
            <w:r>
              <w:t>Сценарий ICP-1…ICP-5/ICP-C и класс A/B/C — разные канонические поля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</w:rPr>
        <w:t>11 Стратегия ставок и бюджет</w:t>
      </w:r>
    </w:p>
    <w:p>
      <w:pPr>
        <w:pStyle w:val="ListBullet"/>
      </w:pPr>
      <w:r>
        <w:rPr>
          <w:rFonts w:ascii="Arial" w:hAnsi="Arial"/>
        </w:rPr>
        <w:t>Первые 2–4 недели: контролируемый запуск с ограничениями бюджета и проверкой поисковых запросов, географии и качества лидов.</w:t>
      </w:r>
    </w:p>
    <w:p>
      <w:pPr>
        <w:pStyle w:val="ListBullet"/>
      </w:pPr>
      <w:r>
        <w:rPr>
          <w:rFonts w:ascii="Arial" w:hAnsi="Arial"/>
        </w:rPr>
        <w:t>До стабильного импорта primary-конверсий не переводить кампании на агрессивную автоматическую оптимизацию по pz_form_success.</w:t>
      </w:r>
    </w:p>
    <w:p>
      <w:pPr>
        <w:pStyle w:val="ListBullet"/>
      </w:pPr>
      <w:r>
        <w:rPr>
          <w:rFonts w:ascii="Arial" w:hAnsi="Arial"/>
        </w:rPr>
        <w:t>После накопления достаточного объема verified primary-конверсий тестировать Maximize Conversions, затем target CPA отдельным экспериментом.</w:t>
      </w:r>
    </w:p>
    <w:p>
      <w:pPr>
        <w:pStyle w:val="ListBullet"/>
      </w:pPr>
      <w:r>
        <w:rPr>
          <w:rFonts w:ascii="Arial" w:hAnsi="Arial"/>
        </w:rPr>
        <w:t>Бюджет перераспределять по CAC ICP A/B, выезду, КП, payment_received, contract_won, MRR и валовой прибыли.</w:t>
      </w:r>
    </w:p>
    <w:p>
      <w:pPr>
        <w:pStyle w:val="ListBullet"/>
      </w:pPr>
      <w:r>
        <w:rPr>
          <w:rFonts w:ascii="Arial" w:hAnsi="Arial"/>
        </w:rPr>
        <w:t>Изменения бюджета свыше 20 процентов в неделю проводить только с зафиксированной причиной и датой оценки результата.</w:t>
      </w:r>
    </w:p>
    <w:p>
      <w:pPr>
        <w:pStyle w:val="Heading1"/>
      </w:pPr>
      <w:r>
        <w:rPr>
          <w:rFonts w:ascii="Arial" w:hAnsi="Arial"/>
        </w:rPr>
        <w:t>12 Отчетность и контроль качества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4"/>
        <w:gridCol w:w="3324"/>
        <w:gridCol w:w="3324"/>
      </w:tblGrid>
      <w:tr>
        <w:trPr>
          <w:tblHeader w:val="true"/>
          <w:tblHeader w:val="true"/>
        </w:trPr>
        <w:tc>
          <w:tcPr>
            <w:tcW w:type="dxa" w:w="2268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Период</w:t>
            </w:r>
          </w:p>
        </w:tc>
        <w:tc>
          <w:tcPr>
            <w:tcW w:type="dxa" w:w="4195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Контроль</w:t>
            </w:r>
          </w:p>
        </w:tc>
        <w:tc>
          <w:tcPr>
            <w:tcW w:type="dxa" w:w="3572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Ежедневно первые 14 дней</w:t>
            </w:r>
          </w:p>
        </w:tc>
        <w:tc>
          <w:tcPr>
            <w:tcW w:type="dxa" w:w="41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Расход, отклонения, 404, теги, лиды</w:t>
            </w:r>
          </w:p>
        </w:tc>
        <w:tc>
          <w:tcPr>
            <w:tcW w:type="dxa" w:w="357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Журнал запуска</w:t>
            </w:r>
          </w:p>
        </w:tc>
      </w:tr>
      <w:tr>
        <w:tc>
          <w:tcPr>
            <w:tcW w:type="dxa" w:w="226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Еженедельно</w:t>
            </w:r>
          </w:p>
        </w:tc>
        <w:tc>
          <w:tcPr>
            <w:tcW w:type="dxa" w:w="4195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Search terms, минус-слова, ICP A/B, import errors</w:t>
            </w:r>
          </w:p>
        </w:tc>
        <w:tc>
          <w:tcPr>
            <w:tcW w:type="dxa" w:w="3572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Список решений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Раз в 2 недели</w:t>
            </w:r>
          </w:p>
        </w:tc>
        <w:tc>
          <w:tcPr>
            <w:tcW w:type="dxa" w:w="41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Посадочные, объявления, CPA по событиям</w:t>
            </w:r>
          </w:p>
        </w:tc>
        <w:tc>
          <w:tcPr>
            <w:tcW w:type="dxa" w:w="357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План экспериментов</w:t>
            </w:r>
          </w:p>
        </w:tc>
      </w:tr>
      <w:tr>
        <w:tc>
          <w:tcPr>
            <w:tcW w:type="dxa" w:w="226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Ежемесячно</w:t>
            </w:r>
          </w:p>
        </w:tc>
        <w:tc>
          <w:tcPr>
            <w:tcW w:type="dxa" w:w="4195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CAC, выезды, КП, оплаты, MRR, валовая прибыль</w:t>
            </w:r>
          </w:p>
        </w:tc>
        <w:tc>
          <w:tcPr>
            <w:tcW w:type="dxa" w:w="3572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Управленческий отчет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Arial" w:hAnsi="Arial"/>
        </w:rPr>
        <w:t>Обязательно контролировать diagnostics enhanced conversions for leads, статус conversion actions, upload errors и долю лидов с click ID.</w:t>
      </w:r>
    </w:p>
    <w:p>
      <w:pPr>
        <w:pStyle w:val="Heading1"/>
      </w:pPr>
      <w:r>
        <w:rPr>
          <w:rFonts w:ascii="Arial" w:hAnsi="Arial"/>
        </w:rPr>
        <w:t>13 Безопасность и соответствие</w:t>
      </w:r>
    </w:p>
    <w:p>
      <w:pPr>
        <w:pStyle w:val="ListBullet"/>
      </w:pPr>
      <w:r>
        <w:rPr>
          <w:rFonts w:ascii="Arial" w:hAnsi="Arial"/>
        </w:rPr>
        <w:t>Не передавать телефон, email, имя, комментарий формы и адрес объекта в GA4.</w:t>
      </w:r>
    </w:p>
    <w:p>
      <w:pPr>
        <w:pStyle w:val="ListBullet"/>
      </w:pPr>
      <w:r>
        <w:rPr>
          <w:rFonts w:ascii="Arial" w:hAnsi="Arial"/>
        </w:rPr>
        <w:t>Хеширование не отменяет требование consent_ads=granted для enhanced conversions for leads.</w:t>
      </w:r>
    </w:p>
    <w:p>
      <w:pPr>
        <w:pStyle w:val="ListBullet"/>
      </w:pPr>
      <w:r>
        <w:rPr>
          <w:rFonts w:ascii="Arial" w:hAnsi="Arial"/>
        </w:rPr>
        <w:t>Секреты не размещать в Tilda, HTML, GTM, URL, документации общего доступа или BigQuery payload_json.</w:t>
      </w:r>
    </w:p>
    <w:p>
      <w:pPr>
        <w:pStyle w:val="ListBullet"/>
      </w:pPr>
      <w:r>
        <w:rPr>
          <w:rFonts w:ascii="Arial" w:hAnsi="Arial"/>
        </w:rPr>
        <w:t>Доступы выдавать по принципу минимальных прав; изменения Google Ads и GTM должны иметь журнал версий.</w:t>
      </w:r>
    </w:p>
    <w:p>
      <w:pPr>
        <w:pStyle w:val="ListBullet"/>
      </w:pPr>
      <w:r>
        <w:rPr>
          <w:rFonts w:ascii="Arial" w:hAnsi="Arial"/>
        </w:rPr>
        <w:t>Срок хранения click ID и пользовательских данных согласовать с политикой обработки данных и применимыми требованиями.</w:t>
      </w:r>
    </w:p>
    <w:p>
      <w:pPr>
        <w:pStyle w:val="Heading1"/>
      </w:pPr>
      <w:r>
        <w:rPr>
          <w:rFonts w:ascii="Arial" w:hAnsi="Arial"/>
        </w:rPr>
        <w:t>14 План внедрения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4"/>
        <w:gridCol w:w="3324"/>
        <w:gridCol w:w="3324"/>
      </w:tblGrid>
      <w:tr>
        <w:trPr>
          <w:tblHeader w:val="true"/>
          <w:tblHeader w:val="true"/>
        </w:trPr>
        <w:tc>
          <w:tcPr>
            <w:tcW w:type="dxa" w:w="1871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5329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Работы</w:t>
            </w:r>
          </w:p>
        </w:tc>
        <w:tc>
          <w:tcPr>
            <w:tcW w:type="dxa" w:w="2835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Выход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 Аудит</w:t>
            </w:r>
          </w:p>
        </w:tc>
        <w:tc>
          <w:tcPr>
            <w:tcW w:type="dxa" w:w="53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Доступы, связи, теги, auto-tagging, конверсии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Акт исходного состояния</w:t>
            </w:r>
          </w:p>
        </w:tc>
      </w:tr>
      <w:tr>
        <w:tc>
          <w:tcPr>
            <w:tcW w:type="dxa" w:w="1871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 Измерение</w:t>
            </w:r>
          </w:p>
        </w:tc>
        <w:tc>
          <w:tcPr>
            <w:tcW w:type="dxa" w:w="5329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Conversion actions, enhanced conversions, offline import</w:t>
            </w:r>
          </w:p>
        </w:tc>
        <w:tc>
          <w:tcPr>
            <w:tcW w:type="dxa" w:w="2835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Тестовые загрузки приняты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 Кампании</w:t>
            </w:r>
          </w:p>
        </w:tc>
        <w:tc>
          <w:tcPr>
            <w:tcW w:type="dxa" w:w="53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Структура 5 ICP, ключи, минус-слова, объявления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Черновики на согласование</w:t>
            </w:r>
          </w:p>
        </w:tc>
      </w:tr>
      <w:tr>
        <w:tc>
          <w:tcPr>
            <w:tcW w:type="dxa" w:w="1871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 Запуск</w:t>
            </w:r>
          </w:p>
        </w:tc>
        <w:tc>
          <w:tcPr>
            <w:tcW w:type="dxa" w:w="5329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Бюджеты, география, расписание, URL</w:t>
            </w:r>
          </w:p>
        </w:tc>
        <w:tc>
          <w:tcPr>
            <w:tcW w:type="dxa" w:w="2835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Кампании активны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5 Стабилизация</w:t>
            </w:r>
          </w:p>
        </w:tc>
        <w:tc>
          <w:tcPr>
            <w:tcW w:type="dxa" w:w="53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Search terms, лиды, import diagnostics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Исправлены ошибки</w:t>
            </w:r>
          </w:p>
        </w:tc>
      </w:tr>
      <w:tr>
        <w:tc>
          <w:tcPr>
            <w:tcW w:type="dxa" w:w="1871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6 Оптимизация</w:t>
            </w:r>
          </w:p>
        </w:tc>
        <w:tc>
          <w:tcPr>
            <w:tcW w:type="dxa" w:w="5329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Primary goals, ставки, бюджеты, эксперименты</w:t>
            </w:r>
          </w:p>
        </w:tc>
        <w:tc>
          <w:tcPr>
            <w:tcW w:type="dxa" w:w="2835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Решения по бизнес-метрикам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</w:rPr>
        <w:t>15 Приемочные испытания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4"/>
        <w:gridCol w:w="3324"/>
        <w:gridCol w:w="3324"/>
      </w:tblGrid>
      <w:tr>
        <w:trPr>
          <w:tblHeader w:val="true"/>
          <w:tblHeader w:val="true"/>
        </w:trPr>
        <w:tc>
          <w:tcPr>
            <w:tcW w:type="dxa" w:w="1134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685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Сценарий</w:t>
            </w:r>
          </w:p>
        </w:tc>
        <w:tc>
          <w:tcPr>
            <w:tcW w:type="dxa" w:w="5216"/>
            <w:vAlign w:val="center"/>
            <w:shd w:fill="173B4D"/>
          </w:tcPr>
          <w:p>
            <w:r>
              <w:rPr>
                <w:b/>
                <w:color w:val="FFFFFF"/>
                <w:sz w:val="17"/>
              </w:rPr>
              <w:t>Ожидаемый результат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T01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Клик Google Ads с gclid</w:t>
            </w:r>
          </w:p>
        </w:tc>
        <w:tc>
          <w:tcPr>
            <w:tcW w:type="dxa" w:w="5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gclid сохранен в форме, BigQuery и Bitrix24</w:t>
            </w:r>
          </w:p>
        </w:tc>
      </w:tr>
      <w:tr>
        <w:tc>
          <w:tcPr>
            <w:tcW w:type="dxa" w:w="113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T02</w:t>
            </w:r>
          </w:p>
        </w:tc>
        <w:tc>
          <w:tcPr>
            <w:tcW w:type="dxa" w:w="3685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iOS web с wbraid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wbraid сохранен и выбран как идентификатор импорта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T03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Новый пользователь без выбора</w:t>
            </w:r>
          </w:p>
        </w:tc>
        <w:tc>
          <w:tcPr>
            <w:tcW w:type="dxa" w:w="5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Все сигналы Consent Mode denied</w:t>
            </w:r>
          </w:p>
        </w:tc>
      </w:tr>
      <w:tr>
        <w:tc>
          <w:tcPr>
            <w:tcW w:type="dxa" w:w="113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T04</w:t>
            </w:r>
          </w:p>
        </w:tc>
        <w:tc>
          <w:tcPr>
            <w:tcW w:type="dxa" w:w="3685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Пользователь нажал Принять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consent_ads и consent_analytics granted с timestamp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T05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Успешная форма</w:t>
            </w:r>
          </w:p>
        </w:tc>
        <w:tc>
          <w:tcPr>
            <w:tcW w:type="dxa" w:w="5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pz_form_success и lead_created с одним event_id</w:t>
            </w:r>
          </w:p>
        </w:tc>
      </w:tr>
      <w:tr>
        <w:tc>
          <w:tcPr>
            <w:tcW w:type="dxa" w:w="113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T06</w:t>
            </w:r>
          </w:p>
        </w:tc>
        <w:tc>
          <w:tcPr>
            <w:tcW w:type="dxa" w:w="3685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ICP A/B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qualified_lead загружен в правильное conversion action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T07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Повтор того же события</w:t>
            </w:r>
          </w:p>
        </w:tc>
        <w:tc>
          <w:tcPr>
            <w:tcW w:type="dxa" w:w="5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order_id предотвращает дубль</w:t>
            </w:r>
          </w:p>
        </w:tc>
      </w:tr>
      <w:tr>
        <w:tc>
          <w:tcPr>
            <w:tcW w:type="dxa" w:w="113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T08</w:t>
            </w:r>
          </w:p>
        </w:tc>
        <w:tc>
          <w:tcPr>
            <w:tcW w:type="dxa" w:w="3685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Выигранная сделка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contract_won передан с value и KZT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T09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Ошибка одной строки пакета</w:t>
            </w:r>
          </w:p>
        </w:tc>
        <w:tc>
          <w:tcPr>
            <w:tcW w:type="dxa" w:w="5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partial failure не отклоняет корректные строки</w:t>
            </w:r>
          </w:p>
        </w:tc>
      </w:tr>
      <w:tr>
        <w:tc>
          <w:tcPr>
            <w:tcW w:type="dxa" w:w="1134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T10</w:t>
            </w:r>
          </w:p>
        </w:tc>
        <w:tc>
          <w:tcPr>
            <w:tcW w:type="dxa" w:w="3685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Проверка privacy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 GA4 отсутствуют персональные данные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</w:rPr>
        <w:t>16 Критерии завершения</w:t>
      </w:r>
    </w:p>
    <w:p>
      <w:pPr>
        <w:pStyle w:val="ListBullet"/>
      </w:pPr>
      <w:r>
        <w:rPr>
          <w:rFonts w:ascii="Arial" w:hAnsi="Arial"/>
        </w:rPr>
        <w:t>Пять ICP обслуживаются шестью раздельными Search-кампаниями: ICP 4 разделен на сработка/ремонт и модернизацию. Каждая кампания имеет отдельную релевантную посадочную и отчетность.</w:t>
      </w:r>
    </w:p>
    <w:p>
      <w:pPr>
        <w:pStyle w:val="ListBullet"/>
      </w:pPr>
      <w:r>
        <w:rPr>
          <w:rFonts w:ascii="Arial" w:hAnsi="Arial"/>
        </w:rPr>
        <w:t>Auto-tagging включен, UTM не конфликтуют с GCLID, first touch не перезаписывается.</w:t>
      </w:r>
    </w:p>
    <w:p>
      <w:pPr>
        <w:pStyle w:val="ListBullet"/>
      </w:pPr>
      <w:r>
        <w:rPr>
          <w:rFonts w:ascii="Arial" w:hAnsi="Arial"/>
        </w:rPr>
        <w:t>Primary и Secondary действия настроены строго по разделу 7.</w:t>
      </w:r>
    </w:p>
    <w:p>
      <w:pPr>
        <w:pStyle w:val="ListBullet"/>
      </w:pPr>
      <w:r>
        <w:rPr>
          <w:rFonts w:ascii="Arial" w:hAnsi="Arial"/>
        </w:rPr>
        <w:t>Enhanced conversions for leads включены, Customer Data Terms приняты, diagnostics не содержат критических ошибок.</w:t>
      </w:r>
    </w:p>
    <w:p>
      <w:pPr>
        <w:pStyle w:val="ListBullet"/>
      </w:pPr>
      <w:r>
        <w:rPr>
          <w:rFonts w:ascii="Arial" w:hAnsi="Arial"/>
        </w:rPr>
        <w:t>Не менее десяти тестовых лидов прошли путь Google Ads -&gt; сайт -&gt; Bitrix24 -&gt; офлайн-конверсия без дублей.</w:t>
      </w:r>
    </w:p>
    <w:p>
      <w:pPr>
        <w:pStyle w:val="ListBullet"/>
      </w:pPr>
      <w:r>
        <w:rPr>
          <w:rFonts w:ascii="Arial" w:hAnsi="Arial"/>
        </w:rPr>
        <w:t>В отчетах доступны расход, ICP A/B, выезды, КП, оплаты, contract_won, MRR и валовая прибыль.</w:t>
      </w:r>
    </w:p>
    <w:p>
      <w:pPr>
        <w:pStyle w:val="ListBullet"/>
      </w:pPr>
      <w:r>
        <w:rPr>
          <w:rFonts w:ascii="Arial" w:hAnsi="Arial"/>
        </w:rPr>
        <w:t>Ответственные получили инструкцию по еженедельному контролю search terms и импорта конверсий.</w:t>
      </w:r>
    </w:p>
    <w:p>
      <w:pPr>
        <w:pStyle w:val="Heading1"/>
      </w:pPr>
      <w:r>
        <w:rPr>
          <w:rFonts w:ascii="Arial" w:hAnsi="Arial"/>
        </w:rPr>
        <w:t>17 Официальные источники Google</w:t>
      </w:r>
    </w:p>
    <w:p>
      <w:r>
        <w:rPr>
          <w:rFonts w:ascii="Arial" w:hAnsi="Arial"/>
        </w:rPr>
        <w:t>Google Ads Help — Set up offline conversions using Google Click ID: https://support.google.com/google-ads/answer/7012522</w:t>
      </w:r>
    </w:p>
    <w:p>
      <w:r>
        <w:rPr>
          <w:rFonts w:ascii="Arial" w:hAnsi="Arial"/>
        </w:rPr>
        <w:t>Google Ads Help — Configure Google Tag Manager for enhanced conversions for leads: https://support.google.com/google-ads/answer/11347292</w:t>
      </w:r>
    </w:p>
    <w:p>
      <w:r>
        <w:rPr>
          <w:rFonts w:ascii="Arial" w:hAnsi="Arial"/>
        </w:rPr>
        <w:t>Google Ads Help — Enhanced conversions for leads implementation checklist: https://support.google.com/google-ads/answer/16782203</w:t>
      </w:r>
    </w:p>
    <w:p>
      <w:r>
        <w:rPr>
          <w:rFonts w:ascii="Arial" w:hAnsi="Arial"/>
        </w:rPr>
        <w:t>Google Ads Help — About consent mode: https://support.google.com/google-ads/answer/10000067</w:t>
      </w:r>
    </w:p>
    <w:p>
      <w:r>
        <w:rPr>
          <w:rFonts w:ascii="Arial" w:hAnsi="Arial"/>
        </w:rPr>
        <w:t>Google Ads API — Upload offline conversion: https://developers.google.com/google-ads/api/samples/upload-offline-conversion</w:t>
      </w:r>
    </w:p>
    <w:p>
      <w:r>
        <w:rPr>
          <w:rFonts w:ascii="Arial" w:hAnsi="Arial"/>
        </w:rPr>
        <w:t>Google Ads API — UploadClickConversions: https://developers.google.com/google-ads/api/reference/rpc/v22/ConversionUploadService/UploadClickConversions</w:t>
      </w:r>
    </w:p>
    <w:p>
      <w:r>
        <w:rPr>
          <w:rFonts w:ascii="Arial" w:hAnsi="Arial"/>
        </w:rPr>
        <w:br w:type="page"/>
      </w:r>
    </w:p>
    <w:p>
      <w:pPr>
        <w:pStyle w:val="Heading1"/>
        <w:keepNext/>
      </w:pPr>
      <w:r>
        <w:rPr>
          <w:rFonts w:ascii="Arial" w:hAnsi="Arial"/>
        </w:rPr>
        <w:t>18 Требования к конверсии посадочных страниц</w:t>
      </w:r>
    </w:p>
    <w:p>
      <w:r>
        <w:rPr>
          <w:rFonts w:ascii="Arial" w:hAnsi="Arial"/>
        </w:rPr>
        <w:t>Редакция 1.1 от 22 сентября 2026 года. Эти требования применяются к каждой посадочной странице, используемой в Google Ads.</w:t>
      </w:r>
    </w:p>
    <w:p>
      <w:pPr>
        <w:pStyle w:val="Heading2"/>
      </w:pPr>
      <w:r>
        <w:rPr>
          <w:rFonts w:ascii="Arial" w:hAnsi="Arial"/>
        </w:rPr>
        <w:t>Единое правило повышения конверсии</w:t>
      </w:r>
    </w:p>
    <w:p>
      <w:pPr>
        <w:pStyle w:val="ListBullet"/>
        <w:keepLines/>
      </w:pPr>
      <w:r>
        <w:rPr>
          <w:rFonts w:ascii="Arial" w:hAnsi="Arial"/>
        </w:rPr>
        <w:t>Одна страница решает одну основную задачу пользователя и имеет один доминирующий CTA. Для большинства коммерческих страниц основной CTA — «Получить расчёт».</w:t>
      </w:r>
    </w:p>
    <w:p>
      <w:pPr>
        <w:pStyle w:val="ListBullet"/>
        <w:keepLines/>
      </w:pPr>
      <w:r>
        <w:rPr>
          <w:rFonts w:ascii="Arial" w:hAnsi="Arial"/>
        </w:rPr>
        <w:t>CTA «Вызвать инженера» применяется только в аварийных, диагностических и выездных сценариях. Для аудита используется «Записаться на аудит». Текст «Рассчитать работы» допустим как контекстный вариант действия calculate.</w:t>
      </w:r>
    </w:p>
    <w:p>
      <w:pPr>
        <w:pStyle w:val="ListBullet"/>
        <w:keepLines/>
      </w:pPr>
      <w:r>
        <w:rPr>
          <w:rFonts w:ascii="Arial" w:hAnsi="Arial"/>
        </w:rPr>
        <w:t>Основной CTA размещается на первом экране и повторяется у финальной формы. Дополнительное повторение допускается только после смыслового перехода: доказательства, калькулятор или тарифы.</w:t>
      </w:r>
    </w:p>
    <w:p>
      <w:pPr>
        <w:pStyle w:val="ListBullet"/>
        <w:keepLines/>
      </w:pPr>
      <w:r>
        <w:rPr>
          <w:rFonts w:ascii="Arial" w:hAnsi="Arial"/>
        </w:rPr>
        <w:t>Калькулятор или короткая форма должны быть доступны не позднее третьего–четвёртого мобильного экрана. Документы, FAQ и расширенные доказательства не должны отодвигать первое конверсионное действие.</w:t>
      </w:r>
    </w:p>
    <w:p>
      <w:pPr>
        <w:pStyle w:val="ListBullet"/>
        <w:keepLines/>
      </w:pPr>
      <w:r>
        <w:rPr>
          <w:rFonts w:ascii="Arial" w:hAnsi="Arial"/>
        </w:rPr>
        <w:t>Пересекающиеся блоки «ситуации клиента» и «услуги» объединяются. Одинаковые карточки, повторяющие друг друга галереи и лишние медиа удаляются.</w:t>
      </w:r>
    </w:p>
    <w:p>
      <w:pPr>
        <w:pStyle w:val="ListBullet"/>
        <w:keepLines/>
      </w:pPr>
      <w:r>
        <w:rPr>
          <w:rFonts w:ascii="Arial" w:hAnsi="Arial"/>
        </w:rPr>
        <w:t>В одном смысловом блоке — не более 5–6 карточек; описание карточки — 2–3 короткие строки. FAQ и второстепенные подробности оформляются аккордеоном; видео и карточки на мобильных могут использовать горизонтальную прокрутку.</w:t>
      </w:r>
    </w:p>
    <w:p>
      <w:pPr>
        <w:pStyle w:val="ListBullet"/>
        <w:keepLines/>
      </w:pPr>
      <w:r>
        <w:rPr>
          <w:rFonts w:ascii="Arial" w:hAnsi="Arial"/>
        </w:rPr>
        <w:t>Для существующих страниц целевое сокращение мобильной высоты — 20–25% относительно зафиксированной исходной версии, если это не ухудшает полноту предложения и не удаляет обязательные юридические сведения. Для новых страниц применяется критерий раннего доступа к форме, а не формальное сокращение от несуществующей базы.</w:t>
      </w:r>
    </w:p>
    <w:p>
      <w:pPr>
        <w:pStyle w:val="Heading2"/>
      </w:pPr>
      <w:r>
        <w:rPr>
          <w:rFonts w:ascii="Arial" w:hAnsi="Arial"/>
        </w:rPr>
        <w:t>Матрица CTA по типам страниц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tblHeader w:val="true"/>
        </w:trPr>
        <w:tc>
          <w:tcPr>
            <w:tcW w:type="dxa" w:w="2494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r>
              <w:rPr>
                <w:b/>
                <w:color w:val="000000"/>
                <w:sz w:val="18"/>
              </w:rPr>
              <w:t>Тип страницы</w:t>
            </w:r>
          </w:p>
        </w:tc>
        <w:tc>
          <w:tcPr>
            <w:tcW w:type="dxa" w:w="2381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r>
              <w:rPr>
                <w:b/>
                <w:color w:val="000000"/>
                <w:sz w:val="18"/>
              </w:rPr>
              <w:t>Основной CTA</w:t>
            </w:r>
          </w:p>
        </w:tc>
        <w:tc>
          <w:tcPr>
            <w:tcW w:type="dxa" w:w="1928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r>
              <w:rPr>
                <w:b/>
                <w:color w:val="000000"/>
                <w:sz w:val="18"/>
              </w:rPr>
              <w:t>requested_action</w:t>
            </w:r>
          </w:p>
        </w:tc>
        <w:tc>
          <w:tcPr>
            <w:tcW w:type="dxa" w:w="3402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r>
              <w:rPr>
                <w:b/>
                <w:color w:val="000000"/>
                <w:sz w:val="18"/>
              </w:rPr>
              <w:t>Условие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Услуга / отраслевое решение</w:t>
            </w:r>
          </w:p>
        </w:tc>
        <w:tc>
          <w:tcPr>
            <w:tcW w:type="dxa" w:w="238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Получить расчёт</w:t>
            </w:r>
          </w:p>
        </w:tc>
        <w:tc>
          <w:tcPr>
            <w:tcW w:type="dxa" w:w="192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calculate</w:t>
            </w:r>
          </w:p>
        </w:tc>
        <w:tc>
          <w:tcPr>
            <w:tcW w:type="dxa" w:w="3402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Основной сценарий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Диагностика / авария / неисправность</w:t>
            </w:r>
          </w:p>
        </w:tc>
        <w:tc>
          <w:tcPr>
            <w:tcW w:type="dxa" w:w="238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Вызвать инженера</w:t>
            </w:r>
          </w:p>
        </w:tc>
        <w:tc>
          <w:tcPr>
            <w:tcW w:type="dxa" w:w="192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engineer_visit</w:t>
            </w:r>
          </w:p>
        </w:tc>
        <w:tc>
          <w:tcPr>
            <w:tcW w:type="dxa" w:w="3402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Только когда нужен выезд или срочная диагностика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Аудит / обследование</w:t>
            </w:r>
          </w:p>
        </w:tc>
        <w:tc>
          <w:tcPr>
            <w:tcW w:type="dxa" w:w="238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Записаться на аудит</w:t>
            </w:r>
          </w:p>
        </w:tc>
        <w:tc>
          <w:tcPr>
            <w:tcW w:type="dxa" w:w="192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audit_booking</w:t>
            </w:r>
          </w:p>
        </w:tc>
        <w:tc>
          <w:tcPr>
            <w:tcW w:type="dxa" w:w="3402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Для страниц аудита и обследования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Калькулятор</w:t>
            </w:r>
          </w:p>
        </w:tc>
        <w:tc>
          <w:tcPr>
            <w:tcW w:type="dxa" w:w="238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Получить расчёт</w:t>
            </w:r>
          </w:p>
        </w:tc>
        <w:tc>
          <w:tcPr>
            <w:tcW w:type="dxa" w:w="192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calculate</w:t>
            </w:r>
          </w:p>
        </w:tc>
        <w:tc>
          <w:tcPr>
            <w:tcW w:type="dxa" w:w="3402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После результата — короткая форма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Статья / документ</w:t>
            </w:r>
          </w:p>
        </w:tc>
        <w:tc>
          <w:tcPr>
            <w:tcW w:type="dxa" w:w="238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Рассчитать работы</w:t>
            </w:r>
          </w:p>
        </w:tc>
        <w:tc>
          <w:tcPr>
            <w:tcW w:type="dxa" w:w="192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calculate</w:t>
            </w:r>
          </w:p>
        </w:tc>
        <w:tc>
          <w:tcPr>
            <w:tcW w:type="dxa" w:w="3402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Ведёт на релевантную услугу или калькулятор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Связь рекламы, страницы и офлайн-конверсии</w:t>
      </w:r>
    </w:p>
    <w:p>
      <w:pPr>
        <w:pStyle w:val="ListBullet"/>
        <w:keepLines/>
      </w:pPr>
      <w:r>
        <w:rPr>
          <w:rFonts w:ascii="Arial" w:hAnsi="Arial"/>
        </w:rPr>
        <w:t>Объявление, ключевой запрос, service_type и основной CTA страницы должны описывать один и тот же сценарий. Аварийные запросы ведут на engineer_visit; расчётные запросы — на calculate; аудит — на audit_booking.</w:t>
      </w:r>
    </w:p>
    <w:p>
      <w:pPr>
        <w:pStyle w:val="ListBullet"/>
        <w:keepLines/>
      </w:pPr>
      <w:r>
        <w:rPr>
          <w:rFonts w:ascii="Arial" w:hAnsi="Arial"/>
        </w:rPr>
        <w:t>Основная онлайн-конверсия для оптимизации — подтверждённый pz_form_success / generate_lead. Клики по CTA, старт формы и калькулятора являются вторичными наблюдаемыми действиями и не подменяют лид.</w:t>
      </w:r>
    </w:p>
    <w:p>
      <w:pPr>
        <w:pStyle w:val="ListBullet"/>
        <w:keepLines/>
      </w:pPr>
      <w:r>
        <w:rPr>
          <w:rFonts w:ascii="Arial" w:hAnsi="Arial"/>
        </w:rPr>
        <w:t>После накопления достаточных данных приоритет оптимизации переносится на импорт квалифицированного лида/сделки из Bitrix24 с тем же event_id и рекламными идентификаторами.</w:t>
      </w:r>
    </w:p>
    <w:p>
      <w:pPr>
        <w:pStyle w:val="ListBullet"/>
        <w:keepLines/>
      </w:pPr>
      <w:r>
        <w:rPr>
          <w:rFonts w:ascii="Arial" w:hAnsi="Arial"/>
        </w:rPr>
        <w:t>URL и UTM не должны менять канонические значения service_type и requested_action. gclid, gbraid, wbraid, dclid и gad_source передаются по единому контракту данных.</w:t>
      </w:r>
    </w:p>
    <w:p>
      <w:pPr>
        <w:pStyle w:val="ListBullet"/>
        <w:keepLines/>
      </w:pPr>
      <w:r>
        <w:rPr>
          <w:rFonts w:ascii="Arial" w:hAnsi="Arial"/>
        </w:rPr>
        <w:t>Изменение структуры страницы запускается с аннотацией даты; оценка проводится по стоимости квалифицированного лида и доле квалификации, а не только по общему числу форм.</w:t>
      </w:r>
    </w:p>
    <w:p>
      <w:pPr>
        <w:pStyle w:val="Heading2"/>
      </w:pPr>
      <w:r>
        <w:rPr>
          <w:rFonts w:ascii="Arial" w:hAnsi="Arial"/>
        </w:rPr>
        <w:t>Критерии приёмки</w:t>
      </w:r>
    </w:p>
    <w:p>
      <w:pPr>
        <w:pStyle w:val="ListBullet"/>
        <w:keepLines/>
      </w:pPr>
      <w:r>
        <w:rPr>
          <w:rFonts w:ascii="Arial" w:hAnsi="Arial"/>
        </w:rPr>
        <w:t>На странице визуально доминирует один основной CTA; альтернативные CTA не конкурируют с ним по цвету, размеру и частоте.</w:t>
      </w:r>
    </w:p>
    <w:p>
      <w:pPr>
        <w:pStyle w:val="ListBullet"/>
        <w:keepLines/>
      </w:pPr>
      <w:r>
        <w:rPr>
          <w:rFonts w:ascii="Arial" w:hAnsi="Arial"/>
        </w:rPr>
        <w:t>На мобильном устройстве калькулятор или короткая форма доступны не позднее третьего–четвёртого экрана.</w:t>
      </w:r>
    </w:p>
    <w:p>
      <w:pPr>
        <w:pStyle w:val="ListBullet"/>
        <w:keepLines/>
      </w:pPr>
      <w:r>
        <w:rPr>
          <w:rFonts w:ascii="Arial" w:hAnsi="Arial"/>
        </w:rPr>
        <w:t>Пересекающиеся блоки и дублирующие медиа отсутствуют; обязательные сведения, доверительные элементы и ключевые сценарии сохранены.</w:t>
      </w:r>
    </w:p>
    <w:p>
      <w:pPr>
        <w:pStyle w:val="ListBullet"/>
        <w:keepLines/>
      </w:pPr>
      <w:r>
        <w:rPr>
          <w:rFonts w:ascii="Arial" w:hAnsi="Arial"/>
        </w:rPr>
        <w:t>Для переработанной существующей страницы мобильная высота сокращена на 20–25% по сравнению с сохранённым контрольным снимком, либо оформлено обоснование меньшего сокращения.</w:t>
      </w:r>
    </w:p>
    <w:p>
      <w:pPr>
        <w:pStyle w:val="ListBullet"/>
        <w:keepLines/>
      </w:pPr>
      <w:r>
        <w:rPr>
          <w:rFonts w:ascii="Arial" w:hAnsi="Arial"/>
        </w:rPr>
        <w:t>Проверены ширины 360, 390, 768 и 1440 px: нет горизонтального переполнения, обрезанного текста и перекрывающихся кнопок.</w:t>
      </w:r>
    </w:p>
    <w:p>
      <w:pPr>
        <w:pStyle w:val="ListBullet"/>
        <w:keepLines/>
      </w:pPr>
      <w:r>
        <w:rPr>
          <w:rFonts w:ascii="Arial" w:hAnsi="Arial"/>
        </w:rPr>
        <w:t>Каждый основной CTA передаёт одинаковые service_type, requested_action, cta_location и cta_text во все системы.</w:t>
      </w:r>
    </w:p>
    <w:p>
      <w:pPr>
        <w:pStyle w:val="ListBullet"/>
        <w:keepLines/>
      </w:pPr>
      <w:r>
        <w:rPr>
          <w:rFonts w:ascii="Arial" w:hAnsi="Arial"/>
        </w:rPr>
        <w:t>События pz_cta_click, pz_calculator_start, pz_calculator_complete, pz_form_start, pz_form_submit и pz_form_success проходят тест без дублей; generate_lead создаётся только после pz_form_success с тем же event_id.</w:t>
      </w:r>
    </w:p>
    <w:p>
      <w:pPr>
        <w:pStyle w:val="ListBullet"/>
        <w:keepLines/>
      </w:pPr>
      <w:r>
        <w:rPr>
          <w:rFonts w:ascii="Arial" w:hAnsi="Arial"/>
        </w:rPr>
        <w:t>Результат сравнивается с исходной версией после согласованного периода и достаточного объёма трафика; до этого изменение не признаётся победителем только по единичным заявкам.</w:t>
      </w:r>
    </w:p>
    <w:p>
      <w:pPr>
        <w:pStyle w:val="Heading2"/>
      </w:pPr>
      <w:r>
        <w:rPr>
          <w:rFonts w:ascii="Arial" w:hAnsi="Arial"/>
        </w:rPr>
        <w:t>История редакции</w:t>
      </w:r>
    </w:p>
    <w:p>
      <w:r>
        <w:rPr>
          <w:rFonts w:ascii="Arial" w:hAnsi="Arial"/>
        </w:rPr>
        <w:t>Версия 1.1 от 22 сентября 2026 года: добавлены единые правила CTA и посадочных страниц, сквозные параметры requested_action и критерии оценки по квалифицированным лидам.</w:t>
      </w:r>
    </w:p>
    <w:p>
      <w:r>
        <w:rPr>
          <w:rFonts w:ascii="Arial" w:hAnsi="Arial"/>
        </w:rPr>
        <w:br w:type="page"/>
      </w:r>
    </w:p>
    <w:p>
      <w:pPr>
        <w:pStyle w:val="Heading1"/>
        <w:keepNext/>
      </w:pPr>
      <w:r>
        <w:rPr>
          <w:rFonts w:ascii="Arial" w:hAnsi="Arial"/>
        </w:rPr>
        <w:t>19 Согласование со стратегией медиаплана</w:t>
      </w:r>
    </w:p>
    <w:p>
      <w:r>
        <w:t>Источник стратегии. Согласованный медиаплан Pozharnik версии 4.3 является источником истины для коммерческих приоритетов, распределения тестового бюджета, целевых ICP, посадочных страниц и правил перераспределения расходов. Настоящее ТЗ остается источником истины для технической реализации Google Ads, измерения, согласий и импорта офлайн-конверсий.</w:t>
      </w:r>
    </w:p>
    <w:p>
      <w:pPr>
        <w:pStyle w:val="Heading2"/>
      </w:pPr>
      <w:r>
        <w:rPr>
          <w:rFonts w:ascii="Arial" w:hAnsi="Arial"/>
        </w:rPr>
        <w:t>19.1 Структура Search кампаний</w:t>
      </w:r>
    </w:p>
    <w:p>
      <w:r>
        <w:rPr>
          <w:rFonts w:ascii="Arial" w:hAnsi="Arial"/>
        </w:rPr>
        <w:t>На старте создаются шесть раздельных Search-кампаний для пяти ICP. ICP 4 делится на две кампании, поскольку срочный ремонт и плановая модернизация имеют разные намерения, CTA, экономику и посадочные страницы. Смешивать эти намерения в одной кампании запрещено.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Кампания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ICP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Посадочная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Тест в месяц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Основная бизнес-конверсия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Условие продолжения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Обслуживание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ICP 1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/obsluzhivanie/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60–90 тыс. тенге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qualified_lead / visit_done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Стоимость качественного выезда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Смена подрядчика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ICP 2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/smena-podryadchika/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30–50 тыс. тенге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visit_done / quote_sent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Потенциал регулярного договора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Монтаж B2B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ICP 3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/montazh/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60–90 тыс. тенге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qualified_lead / quote_sent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Целевой объект и маржа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Аудит и проверка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ICP 5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/audit/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30–45 тыс. тенге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visit_done / quote_sent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Конверсия в работы или ТО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Сработка и ремонт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ICP 4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/srabotka/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25–40 тыс. тенге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visit_done / quote_sent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Низкая доля бытового трафика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Модернизация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ICP 4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/modernizaciya/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25–40 тыс. тенге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visit_done / quote_sent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r/>
            <w:r>
              <w:rPr>
                <w:rFonts w:ascii="Arial" w:hAnsi="Arial"/>
                <w:b w:val="0"/>
                <w:sz w:val="17"/>
              </w:rPr>
              <w:t>Достаточный чек и маржа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Итого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230–355 тыс. тенге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Перераспределение по ICP, прибыли и MRR</w:t>
            </w:r>
          </w:p>
        </w:tc>
      </w:tr>
    </w:tbl>
    <w:p>
      <w:pPr>
        <w:pStyle w:val="Heading2"/>
      </w:pPr>
      <w:r>
        <w:rPr>
          <w:rFonts w:ascii="Arial" w:hAnsi="Arial"/>
        </w:rPr>
        <w:t>19.2 Правило посадочных страниц</w:t>
      </w:r>
    </w:p>
    <w:p>
      <w:r>
        <w:rPr>
          <w:rFonts w:ascii="Arial" w:hAnsi="Arial"/>
        </w:rPr>
        <w:t>Одна кампания ведет на одну релевантную посадочную, указанную в таблице. Главная страница / не используется как постоянная замена специализированной посадочной. До публикации нужной страницы допускается временно направить трафик на главную только после проверки соответствия объявления, поискового намерения, service_type, requested_action и основного CTA. В журнале изменений фиксируются дата, кампания и срок устранения временного маршрута.</w:t>
      </w:r>
    </w:p>
    <w:p>
      <w:pPr>
        <w:pStyle w:val="Heading2"/>
      </w:pPr>
      <w:r>
        <w:rPr>
          <w:rFonts w:ascii="Arial" w:hAnsi="Arial"/>
        </w:rPr>
        <w:t>19.3 Этапность запуска</w:t>
      </w:r>
    </w:p>
    <w:p>
      <w:pPr>
        <w:pStyle w:val="ListBullet"/>
      </w:pPr>
      <w:r>
        <w:rPr>
          <w:rFonts w:ascii="Arial" w:hAnsi="Arial"/>
        </w:rPr>
        <w:t>Этап 0. Проверить CRM, аналитику, auto-tagging, Consent Mode v2, сохранение click ID и карту URL. Рекламу не запускать.</w:t>
      </w:r>
    </w:p>
    <w:p>
      <w:pPr>
        <w:pStyle w:val="ListBullet"/>
      </w:pPr>
      <w:r>
        <w:rPr>
          <w:rFonts w:ascii="Arial" w:hAnsi="Arial"/>
        </w:rPr>
        <w:t>Этап 1. Запускать только кампании, для которых опубликована и проверена конверсионная посадочная.</w:t>
      </w:r>
    </w:p>
    <w:p>
      <w:pPr>
        <w:pStyle w:val="ListBullet"/>
      </w:pPr>
      <w:r>
        <w:rPr>
          <w:rFonts w:ascii="Arial" w:hAnsi="Arial"/>
        </w:rPr>
        <w:t>Этап 2. После готовности входных продуктов и отраслевых страниц расширять семантику отдельными группами, не смешивая экономику ICP.</w:t>
      </w:r>
    </w:p>
    <w:p>
      <w:pPr>
        <w:pStyle w:val="ListBullet"/>
      </w:pPr>
      <w:r>
        <w:rPr>
          <w:rFonts w:ascii="Arial" w:hAnsi="Arial"/>
        </w:rPr>
        <w:t>Этап 3. PMax и broad match не запускать до стабильного импорта качественных Primary-конверсий и достаточного объема данных.</w:t>
      </w:r>
    </w:p>
    <w:p>
      <w:pPr>
        <w:pStyle w:val="Heading2"/>
      </w:pPr>
      <w:r>
        <w:rPr>
          <w:rFonts w:ascii="Arial" w:hAnsi="Arial"/>
        </w:rPr>
        <w:t>19.4 Ставки и оптимизация</w:t>
      </w:r>
    </w:p>
    <w:p>
      <w:r>
        <w:rPr>
          <w:rFonts w:ascii="Arial" w:hAnsi="Arial"/>
        </w:rPr>
        <w:t>Первые 2–4 недели — контролируемый Search-запуск с exact и phrase. Обычная отправка формы, клик, звонок, WhatsApp и старт калькулятора остаются Secondary. После проверки импорта Primary используются qualified_lead и/или visit_done; при достаточном объеме данных приоритет переносится на contract_won и value. Smart Bidding включается только после стабильной передачи качественных офлайн-событий.</w:t>
      </w:r>
    </w:p>
    <w:p>
      <w:pPr>
        <w:pStyle w:val="Heading2"/>
      </w:pPr>
      <w:r>
        <w:rPr>
          <w:rFonts w:ascii="Arial" w:hAnsi="Arial"/>
        </w:rPr>
        <w:t>19.5 Контроль бюджета и решения</w:t>
      </w:r>
    </w:p>
    <w:p>
      <w:pPr>
        <w:pStyle w:val="ListBullet"/>
      </w:pPr>
      <w:r>
        <w:rPr>
          <w:rFonts w:ascii="Arial" w:hAnsi="Arial"/>
        </w:rPr>
        <w:t>Еженедельно: search terms, CTR, CPC, нецелевой трафик, ICP A/B, состоявшиеся выезды, КП и ошибки импорта.</w:t>
      </w:r>
    </w:p>
    <w:p>
      <w:pPr>
        <w:pStyle w:val="ListBullet"/>
      </w:pPr>
      <w:r>
        <w:rPr>
          <w:rFonts w:ascii="Arial" w:hAnsi="Arial"/>
        </w:rPr>
        <w:t>Через 4–6 недель: перенос бюджета по стоимости ICP A/B, состоявшегося выезда, договора, валовой прибыли и нового MRR, а не по CTR.</w:t>
      </w:r>
    </w:p>
    <w:p>
      <w:pPr>
        <w:pStyle w:val="ListBullet"/>
      </w:pPr>
      <w:r>
        <w:rPr>
          <w:rFonts w:ascii="Arial" w:hAnsi="Arial"/>
        </w:rPr>
        <w:t>Кампания без квалифицированного лида при достаточном числе кликов приостанавливается либо меняет семантику, объявление или посадочную.</w:t>
      </w:r>
    </w:p>
    <w:p>
      <w:pPr>
        <w:pStyle w:val="ListBullet"/>
      </w:pPr>
      <w:r>
        <w:rPr>
          <w:rFonts w:ascii="Arial" w:hAnsi="Arial"/>
        </w:rPr>
        <w:t>Кампания с заявками без выездов проверяется одновременно по поисковым запросам, офферу, посадочной и дисциплине обработки менеджером.</w:t>
      </w:r>
    </w:p>
    <w:p>
      <w:pPr>
        <w:pStyle w:val="ListBullet"/>
      </w:pPr>
      <w:r>
        <w:rPr>
          <w:rFonts w:ascii="Arial" w:hAnsi="Arial"/>
        </w:rPr>
        <w:t>Изменение бюджета свыше 20 процентов в неделю требует записи причины, даты и контрольной метрики.</w:t>
      </w:r>
    </w:p>
    <w:p>
      <w:pPr>
        <w:pStyle w:val="Heading2"/>
      </w:pPr>
      <w:r>
        <w:rPr>
          <w:rFonts w:ascii="Arial" w:hAnsi="Arial"/>
        </w:rPr>
        <w:t>19.6 Дополнительные приемочные критерии</w:t>
      </w:r>
    </w:p>
    <w:p>
      <w:pPr>
        <w:pStyle w:val="ListBullet"/>
      </w:pPr>
      <w:r>
        <w:rPr>
          <w:rFonts w:ascii="Arial" w:hAnsi="Arial"/>
        </w:rPr>
        <w:t>В аккаунте пять ICP представлены шестью Search-кампаниями; ремонт и модернизация разделены.</w:t>
      </w:r>
    </w:p>
    <w:p>
      <w:pPr>
        <w:pStyle w:val="ListBullet"/>
      </w:pPr>
      <w:r>
        <w:rPr>
          <w:rFonts w:ascii="Arial" w:hAnsi="Arial"/>
        </w:rPr>
        <w:t>Суммарный тестовый бюджет находится в диапазоне 230–355 тыс. тенге в месяц и распределен по утвержденной матрице.</w:t>
      </w:r>
    </w:p>
    <w:p>
      <w:pPr>
        <w:pStyle w:val="ListBullet"/>
      </w:pPr>
      <w:r>
        <w:rPr>
          <w:rFonts w:ascii="Arial" w:hAnsi="Arial"/>
        </w:rPr>
        <w:t>Каждая активная кампания ведет на свою опубликованную посадочную; временный маршрут на главную документирован.</w:t>
      </w:r>
    </w:p>
    <w:p>
      <w:pPr>
        <w:pStyle w:val="ListBullet"/>
      </w:pPr>
      <w:r>
        <w:rPr>
          <w:rFonts w:ascii="Arial" w:hAnsi="Arial"/>
        </w:rPr>
        <w:t>Основные CTA и формы передают согласованные service_type и requested_action без подмены UTM-параметрами.</w:t>
      </w:r>
    </w:p>
    <w:p>
      <w:pPr>
        <w:pStyle w:val="ListBullet"/>
      </w:pPr>
      <w:r>
        <w:rPr>
          <w:rFonts w:ascii="Arial" w:hAnsi="Arial"/>
        </w:rPr>
        <w:t>Решение об оптимизации принимается по ICP A/B, выездам, КП, договорам, валовой прибыли и MRR.</w:t>
      </w:r>
    </w:p>
    <w:p>
      <w:pPr>
        <w:pStyle w:val="Heading1"/>
      </w:pPr>
      <w:r>
        <w:rPr>
          <w:rFonts w:ascii="Arial" w:hAnsi="Arial"/>
        </w:rPr>
        <w:t>История редакции</w:t>
      </w:r>
    </w:p>
    <w:p>
      <w:r>
        <w:t>Версия 1.4 от 30 сентября 2026 года. Документ согласован с медиапланом Pozharnik версии 4.3: добавлены шесть Search-кампаний для пяти ICP, бюджеты 230–355 тыс. тенге в месяц, канонические посадочные, переходное правило для главной страницы, этапность запуска и критерии перераспределения по бизнес-результатам.</w:t>
      </w:r>
    </w:p>
    <w:p>
      <w:pPr>
        <w:pStyle w:val="Heading1"/>
      </w:pPr>
      <w:r>
        <w:t>15 Совместимость с тарифом Bitrix24 Стандартный</w:t>
      </w:r>
    </w:p>
    <w:p>
      <w:pPr/>
      <w:r>
        <w:t>Переход Bitrix24 на тариф «Стандартный» не меняет кампании, conversion actions, GTM, GA4, Consent Mode v2, BigQuery или формат офлайн-конверсий. Поток остается Google Ads → сайт → Cloud Run → BigQuery → Bitrix24 → Cloud Run или Data Manager → Google Ads.</w:t>
      </w:r>
    </w:p>
    <w:p>
      <w:pPr/>
      <w:r>
        <w:t>Источником истины для qualified_lead, visit_done, quote_sent, payment_received и contract_won остается Bitrix24. Cloud Run может рассчитывать технические признаки и доставлять события, но не создает коммерческий факт без подтвержденного состояния CRM.</w:t>
      </w:r>
    </w:p>
    <w:p>
      <w:pPr/>
      <w:r>
        <w:t>customer_type используется для исключения текущего обслуживания из рекламной оптимизации привлечения новых клиентов: existing не отправляется как новая рекламная конверсия; new допускается при наличии требуемого consent_ads и рекламного идентификатора.</w:t>
      </w:r>
    </w:p>
    <w:p>
      <w:pPr/>
      <w:r>
        <w:t>consent_marketing управляет рассылками и рекламными коммуникациями и не подменяет consent_ads. Для загрузки и персонализации Google Ads применяются consent_ads, ad_user_data и ad_personalization.</w:t>
      </w:r>
    </w:p>
    <w:p>
      <w:pPr/>
      <w:r>
        <w:t>Версия 1.4 от 24 сентября 2026 года. Зафиксирована неизменность сквозной аналитики и офлайн-конверсий при тарифе «Стандартный», добавлены правила customer_type и разделение ICP-сценария и класса.</w:t>
      </w:r>
    </w:p>
    <w:p>
      <w:r>
        <w:br w:type="page"/>
      </w:r>
    </w:p>
    <w:p>
      <w:pPr>
        <w:pStyle w:val="Heading1"/>
        <w:keepNext/>
      </w:pPr>
      <w:r>
        <w:t>20 Кампания монтажа АПС: готовая к настройке спецификация</w:t>
      </w:r>
    </w:p>
    <w:p>
      <w:r>
        <w:t>Этот раздел устраняет разночтения между медиапланом, лендингом и аналитикой. Для страницы /montazh/ применяются только приведённые ниже канонические значения.</w:t>
      </w:r>
    </w:p>
    <w:p>
      <w:pPr>
        <w:pStyle w:val="Heading2"/>
        <w:keepNext/>
      </w:pPr>
      <w:r>
        <w:t>20.1 Канонические параметры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814"/>
          </w:tcPr>
          <w:p>
            <w:pPr>
              <w:spacing w:after="40"/>
            </w:pPr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17"/>
              </w:rPr>
              <w:t>Значение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b/>
                <w:sz w:val="17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sz w:val="17"/>
              </w:rPr>
              <w:t>Страница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7"/>
              </w:rPr>
              <w:t>https://pozharnik.kz/montazh/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7"/>
              </w:rPr>
              <w:t>Все объявления кампании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sz w:val="17"/>
              </w:rPr>
              <w:t>service_type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7"/>
              </w:rPr>
              <w:t>installation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7"/>
              </w:rPr>
              <w:t>dataLayer, форма, webhook, Bitrix24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sz w:val="17"/>
              </w:rPr>
              <w:t>customer_type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7"/>
              </w:rPr>
              <w:t>new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7"/>
              </w:rPr>
              <w:t>Новый клиент; primary conversion разрешена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sz w:val="17"/>
              </w:rPr>
              <w:t>requested_action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7"/>
              </w:rPr>
              <w:t>calculate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7"/>
              </w:rPr>
              <w:t>Целевое действие формы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sz w:val="17"/>
              </w:rPr>
              <w:t>page_type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7"/>
              </w:rPr>
              <w:t>service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7"/>
              </w:rPr>
              <w:t>Контекст аналитики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sz w:val="17"/>
              </w:rPr>
              <w:t>page_source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7"/>
              </w:rPr>
              <w:t>montazh_aps / /montazh/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7"/>
              </w:rPr>
              <w:t>Передаётся в CRM и Telegram</w:t>
            </w:r>
          </w:p>
        </w:tc>
      </w:tr>
    </w:tbl>
    <w:p/>
    <w:p>
      <w:pPr>
        <w:pStyle w:val="Heading2"/>
        <w:keepNext/>
      </w:pPr>
      <w:r>
        <w:t>20.2 Расписание и география</w:t>
      </w:r>
    </w:p>
    <w:p>
      <w:pPr>
        <w:pStyle w:val="ListBullet"/>
        <w:spacing w:after="60"/>
      </w:pPr>
      <w:r>
        <w:t>Понедельник–пятница, 09:00–18:00, часовой пояс аккаунта GMT+05:00.</w:t>
      </w:r>
    </w:p>
    <w:p>
      <w:pPr>
        <w:pStyle w:val="ListBullet"/>
        <w:spacing w:after="60"/>
      </w:pPr>
      <w:r>
        <w:t>География: Алматы и согласованная зона выезда; опция присутствия: «люди, находящиеся в целевых местоположениях».</w:t>
      </w:r>
    </w:p>
    <w:p>
      <w:pPr>
        <w:pStyle w:val="ListBullet"/>
        <w:spacing w:after="60"/>
      </w:pPr>
      <w:r>
        <w:t>Расширение за пределы рабочего времени допустимо только после подтверждения SLA обработки заявок.</w:t>
      </w:r>
    </w:p>
    <w:p>
      <w:pPr>
        <w:pStyle w:val="Heading2"/>
        <w:keepNext/>
      </w:pPr>
      <w:r>
        <w:t>20.3 Стартовая семантика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2268"/>
          </w:tcPr>
          <w:p>
            <w:pPr>
              <w:spacing w:after="40"/>
            </w:pPr>
            <w:r>
              <w:rPr>
                <w:b/>
                <w:sz w:val="17"/>
              </w:rPr>
              <w:t>Тип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b/>
                <w:sz w:val="17"/>
              </w:rPr>
              <w:t>Ключевая фраза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7"/>
              </w:rPr>
              <w:t>[монтаж пожарной сигнализации]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7"/>
              </w:rPr>
              <w:t>"монтаж пожарной сигнализации алматы"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7"/>
              </w:rPr>
              <w:t>[установка пожарной сигнализации]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7"/>
              </w:rPr>
              <w:t>"установка апс алматы"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7"/>
              </w:rPr>
              <w:t>"монтаж апс"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7"/>
              </w:rPr>
              <w:t>"пожарная сигнализация для склада"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7"/>
              </w:rPr>
              <w:t>"пожарная сигнализация для производства"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7"/>
              </w:rPr>
              <w:t>"пожарная сигнализация для офиса"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7"/>
              </w:rPr>
              <w:t>"стоимость монтажа пожарной сигнализации"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7"/>
              </w:rPr>
              <w:t>"проект и монтаж пожарной сигнализации"</w:t>
            </w:r>
          </w:p>
        </w:tc>
      </w:tr>
    </w:tbl>
    <w:p/>
    <w:p>
      <w:r>
        <w:t>Широкое соответствие не использовать до накопления 30–50 подтверждённых primary-конверсий и достаточного объёма поисковых запросов.</w:t>
      </w:r>
    </w:p>
    <w:p>
      <w:pPr>
        <w:pStyle w:val="Heading2"/>
        <w:keepNext/>
      </w:pPr>
      <w:r>
        <w:t>20.4 Минус-слова</w:t>
      </w:r>
    </w:p>
    <w:p>
      <w:r>
        <w:t>автосигнализация; автомобиль; starline; pandora; своими руками; схема; скачать; реферат; курсовая; вакансии; работа; обучение; инструкция; для квартиры; для дома; бытовой датчик; купить датчик; ozon; wildberries; бесплатно; б/у; ремонт авто.</w:t>
      </w:r>
    </w:p>
    <w:p>
      <w:r>
        <w:t>Минус-слова применяются с учётом типа соответствия. Отчёт «Поисковые запросы» проверять не реже двух раз в неделю в первый месяц.</w:t>
      </w:r>
    </w:p>
    <w:p>
      <w:pPr>
        <w:pStyle w:val="Heading2"/>
        <w:keepNext/>
      </w:pPr>
      <w:r>
        <w:t>20.5 Адаптивные поисковые объявления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134"/>
          </w:tcPr>
          <w:p>
            <w:pPr>
              <w:spacing w:after="40"/>
            </w:pPr>
            <w:r>
              <w:rPr>
                <w:b/>
                <w:sz w:val="17"/>
              </w:rPr>
              <w:t>Объявление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b/>
                <w:sz w:val="17"/>
              </w:rPr>
              <w:t>Заголовки (до 30 зн.)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b/>
                <w:sz w:val="17"/>
              </w:rPr>
              <w:t>Описания (до 90 зн.)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/>
            </w:pPr>
            <w:r>
              <w:rPr>
                <w:sz w:val="17"/>
              </w:rPr>
              <w:t>RSA 1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7"/>
              </w:rPr>
              <w:t>Монтаж пожарной сигнализации | Монтаж АПС в Алматы | Под ключ для бизнеса | Расчёт по проекту | Выезд инженера | Монтаж для складов | Система для офиса | Для производства | Проект и монтаж АПС | Пусконаладка АПС | Документы по работам | Алматы и область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7"/>
              </w:rPr>
              <w:t>Обследуем объект, подберём систему и рассчитаем монтаж АПС. | Проект, оборудование, монтаж и пусконаладка для бизнес-объектов. | Согласуем состав работ, сроки и документы. Расчёт в рабочее время. | Выезд по Алматы и области. Решения для офисов, складов и производств.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/>
            </w:pPr>
            <w:r>
              <w:rPr>
                <w:sz w:val="17"/>
              </w:rPr>
              <w:t>RSA 2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7"/>
              </w:rPr>
              <w:t>Установка пожарной АПС | Аудит перед монтажом | Смета без скрытых работ | Монтаж по нормам | Инженерное решение | Запуск и проверка | Для коммерческих объектов | Понятный состав работ | Сроки по договору | Расчёт за 10 минут | Монтаж и обслуживание | Pozharnik.kz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7"/>
              </w:rPr>
              <w:t>Обследуем объект, подберём систему и рассчитаем монтаж АПС. | Проект, оборудование, монтаж и пусконаладка для бизнес-объектов. | Согласуем состав работ, сроки и документы. Расчёт в рабочее время. | Выезд по Алматы и области. Решения для офисов, складов и производств.</w:t>
            </w:r>
          </w:p>
        </w:tc>
      </w:tr>
    </w:tbl>
    <w:p/>
    <w:p>
      <w:pPr>
        <w:pStyle w:val="ListBullet"/>
        <w:spacing w:after="60"/>
      </w:pPr>
      <w:r>
        <w:t>В каждом RSA использовать не менее 10 заголовков и 4 описаний; не закреплять без данных о эффективности.</w:t>
      </w:r>
    </w:p>
    <w:p>
      <w:pPr>
        <w:pStyle w:val="ListBullet"/>
        <w:spacing w:after="60"/>
      </w:pPr>
      <w:r>
        <w:t>Отображаемый путь: montazh / almaty. Конечный URL должен содержать ValueTrack-шаблон и канонические service_type/customer_type.</w:t>
      </w:r>
    </w:p>
    <w:p>
      <w:pPr>
        <w:pStyle w:val="Heading2"/>
        <w:keepNext/>
      </w:pPr>
      <w:r>
        <w:t>20.6 Критерий приёмки сквозной атрибуции</w:t>
      </w:r>
    </w:p>
    <w:p>
      <w:pPr>
        <w:pStyle w:val="ListBullet"/>
        <w:spacing w:after="60"/>
      </w:pPr>
      <w:r>
        <w:t>Google Ads получает primary conversion только после подтверждённой успешной отправки формы.</w:t>
      </w:r>
    </w:p>
    <w:p>
      <w:pPr>
        <w:pStyle w:val="ListBullet"/>
        <w:spacing w:after="60"/>
      </w:pPr>
      <w:r>
        <w:t>В Bitrix24 создаётся сделка с service_type=installation, customer_type=new и источником /montazh/.</w:t>
      </w:r>
    </w:p>
    <w:p>
      <w:pPr>
        <w:pStyle w:val="ListBullet"/>
        <w:spacing w:after="60"/>
      </w:pPr>
      <w:r>
        <w:t>UTM, gclid/dclid, gad_source, page_url, page_path, page_title, page_source и referrer сохраняются в согласованных полях.</w:t>
      </w:r>
    </w:p>
    <w:p>
      <w:pPr>
        <w:pStyle w:val="ListBullet"/>
        <w:spacing w:after="60"/>
      </w:pPr>
      <w:r>
        <w:t>Telegram присылает читаемое уведомление с названием формы, страницей, каналом и кампанией.</w:t>
      </w:r>
    </w:p>
    <w:p>
      <w:pPr>
        <w:pStyle w:val="ListBullet"/>
        <w:spacing w:after="60"/>
      </w:pPr>
      <w:r>
        <w:t>Тестовые заявки имеют признак test_data=true/«TEST — НЕ ЗВОНИТЬ» и не искажают ставки, воронку и отчётность.</w:t>
      </w:r>
    </w:p>
    <w:p>
      <w:r>
        <w:t>История редакции: v1.4 от 30.09.2026 — актуализированы ссылки на контракт 1.6 и медиаплан 4.3; закреплены канонические поля, семантика, минус-слова, RSA, расписание и приёмка кампании монтажа.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