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Приложение 2 Настройка Google Ads для страницы обслуживания АПС</w:t>
      </w:r>
    </w:p>
    <w:p>
      <w:pPr>
        <w:pStyle w:val="Subtitle"/>
      </w:pPr>
      <w:r>
        <w:t>Pozharnik.kz   Алматы и Алматинская область</w:t>
      </w:r>
    </w:p>
    <w:p>
      <w:r>
        <w:rPr>
          <w:i/>
        </w:rPr>
        <w:t>Версия 1.0   30 сентября 2026 года   Статус к настройке</w:t>
      </w:r>
    </w:p>
    <w:p>
      <w:r>
        <w:t>Приложение дополняет мастер ТЗ Google Ads версии 1.4 и задаёт конфигурацию поисковой рекламы для технического обслуживания автоматической пожарной сигнализации. Цель — получать квалифицированные B2B заявки, связывать расходы Google Ads со сделками и офлайн результатами в Bitrix24 и не оптимизировать кампанию по ложным или тестовым конверсиям.</w:t>
      </w:r>
    </w:p>
    <w:p>
      <w:pPr>
        <w:pStyle w:val="Heading1"/>
        <w:keepNext/>
      </w:pPr>
      <w:r>
        <w:t>1 Исходные документы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969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Документ</w:t>
            </w:r>
          </w:p>
        </w:tc>
        <w:tc>
          <w:tcPr>
            <w:tcW w:type="dxa" w:w="1361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Версия</w:t>
            </w:r>
          </w:p>
        </w:tc>
        <w:tc>
          <w:tcPr>
            <w:tcW w:type="dxa" w:w="3969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Медиаплан Pozharnik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4.3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Бюджеты, ICP, распределение кампаний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ТЗ Google Ads Pozharnik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1.4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Общие правила аккаунта, конверсий и импорта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Единый контракт данных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1.6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Имена полей, UTM, click ID, consent и атрибуция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ТЗ аналитики страниц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1.6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dataLayer, GTM, GA4, события форм и consent</w:t>
            </w:r>
          </w:p>
        </w:tc>
      </w:tr>
      <w:tr>
        <w:trPr>
          <w:cantSplit/>
        </w:trPr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ТЗ Bitrix24 и аналитика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1.18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Сделки, квалификация, офлайн конверсии</w:t>
            </w:r>
          </w:p>
        </w:tc>
      </w:tr>
    </w:tbl>
    <w:p>
      <w:pPr>
        <w:spacing w:after="40"/>
      </w:pPr>
    </w:p>
    <w:p>
      <w:r>
        <w:t>При противоречии приоритет имеет более новая версия канонического документа.</w:t>
      </w:r>
    </w:p>
    <w:p>
      <w:pPr>
        <w:pStyle w:val="Heading1"/>
        <w:keepNext/>
      </w:pPr>
      <w:r>
        <w:t>2 Цель и границы кампании</w:t>
      </w:r>
    </w:p>
    <w:p>
      <w:pPr>
        <w:pStyle w:val="ListBullet"/>
        <w:keepNext w:val="0"/>
        <w:spacing w:after="60"/>
      </w:pPr>
      <w:r>
        <w:t>Тип: Google Search. Performance Max, КМС и широкое соответствие на старте не использовать.</w:t>
      </w:r>
    </w:p>
    <w:p>
      <w:pPr>
        <w:pStyle w:val="ListBullet"/>
        <w:keepNext w:val="0"/>
        <w:spacing w:after="60"/>
      </w:pPr>
      <w:r>
        <w:t>Продукт: регламентное обслуживание, диагностика, очистка, проверка и восстановление работоспособности АПС для коммерческих объектов.</w:t>
      </w:r>
    </w:p>
    <w:p>
      <w:pPr>
        <w:pStyle w:val="ListBullet"/>
        <w:keepNext w:val="0"/>
        <w:spacing w:after="60"/>
      </w:pPr>
      <w:r>
        <w:t>Целевая аудитория: владельцы и управляющие офисами, складами, производствами, торговыми и общественными объектами.</w:t>
      </w:r>
    </w:p>
    <w:p>
      <w:pPr>
        <w:pStyle w:val="ListBullet"/>
        <w:keepNext w:val="0"/>
        <w:spacing w:after="60"/>
      </w:pPr>
      <w:r>
        <w:t>Основной бизнес результат: qualified_lead, visit_scheduled, quote_sent, contract_won и валовая прибыль.</w:t>
      </w:r>
    </w:p>
    <w:p>
      <w:pPr>
        <w:pStyle w:val="Heading1"/>
        <w:keepNext/>
      </w:pPr>
      <w:r>
        <w:t>3 Кампания и посадочная страница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94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6350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2948"/>
          </w:tcPr>
          <w:p>
            <w:pPr>
              <w:spacing w:after="0" w:line="245" w:lineRule="auto"/>
            </w:pPr>
            <w:r>
              <w:rPr>
                <w:sz w:val="17"/>
              </w:rPr>
              <w:t>Кампания</w:t>
            </w:r>
          </w:p>
        </w:tc>
        <w:tc>
          <w:tcPr>
            <w:tcW w:type="dxa" w:w="6350"/>
          </w:tcPr>
          <w:p>
            <w:pPr>
              <w:spacing w:after="0" w:line="245" w:lineRule="auto"/>
            </w:pPr>
            <w:r>
              <w:rPr>
                <w:sz w:val="17"/>
              </w:rPr>
              <w:t>SEARCH OBSLUZHIVANIE APS B2B</w:t>
            </w:r>
          </w:p>
        </w:tc>
      </w:tr>
      <w:tr>
        <w:tc>
          <w:tcPr>
            <w:tcW w:type="dxa" w:w="2948"/>
          </w:tcPr>
          <w:p>
            <w:pPr>
              <w:spacing w:after="0" w:line="245" w:lineRule="auto"/>
            </w:pPr>
            <w:r>
              <w:rPr>
                <w:sz w:val="17"/>
              </w:rPr>
              <w:t>Целевая страница</w:t>
            </w:r>
          </w:p>
        </w:tc>
        <w:tc>
          <w:tcPr>
            <w:tcW w:type="dxa" w:w="6350"/>
          </w:tcPr>
          <w:p>
            <w:pPr>
              <w:spacing w:after="0" w:line="245" w:lineRule="auto"/>
            </w:pPr>
            <w:r>
              <w:rPr>
                <w:sz w:val="17"/>
              </w:rPr>
              <w:t>https://pozharnik.kz/obsluzhivanie/</w:t>
            </w:r>
          </w:p>
        </w:tc>
      </w:tr>
      <w:tr>
        <w:tc>
          <w:tcPr>
            <w:tcW w:type="dxa" w:w="2948"/>
          </w:tcPr>
          <w:p>
            <w:pPr>
              <w:spacing w:after="0" w:line="245" w:lineRule="auto"/>
            </w:pPr>
            <w:r>
              <w:rPr>
                <w:sz w:val="17"/>
              </w:rPr>
              <w:t>ICP</w:t>
            </w:r>
          </w:p>
        </w:tc>
        <w:tc>
          <w:tcPr>
            <w:tcW w:type="dxa" w:w="6350"/>
          </w:tcPr>
          <w:p>
            <w:pPr>
              <w:spacing w:after="0" w:line="245" w:lineRule="auto"/>
            </w:pPr>
            <w:r>
              <w:rPr>
                <w:sz w:val="17"/>
              </w:rPr>
              <w:t>ICP 2   действующая АПС, новый договор обслуживания</w:t>
            </w:r>
          </w:p>
        </w:tc>
      </w:tr>
      <w:tr>
        <w:tc>
          <w:tcPr>
            <w:tcW w:type="dxa" w:w="2948"/>
          </w:tcPr>
          <w:p>
            <w:pPr>
              <w:spacing w:after="0" w:line="245" w:lineRule="auto"/>
            </w:pPr>
            <w:r>
              <w:rPr>
                <w:sz w:val="17"/>
              </w:rPr>
              <w:t>service_type</w:t>
            </w:r>
          </w:p>
        </w:tc>
        <w:tc>
          <w:tcPr>
            <w:tcW w:type="dxa" w:w="6350"/>
          </w:tcPr>
          <w:p>
            <w:pPr>
              <w:spacing w:after="0" w:line="245" w:lineRule="auto"/>
            </w:pPr>
            <w:r>
              <w:rPr>
                <w:sz w:val="17"/>
              </w:rPr>
              <w:t>aps_maintenance</w:t>
            </w:r>
          </w:p>
        </w:tc>
      </w:tr>
      <w:tr>
        <w:tc>
          <w:tcPr>
            <w:tcW w:type="dxa" w:w="2948"/>
          </w:tcPr>
          <w:p>
            <w:pPr>
              <w:spacing w:after="0" w:line="245" w:lineRule="auto"/>
            </w:pPr>
            <w:r>
              <w:rPr>
                <w:sz w:val="17"/>
              </w:rPr>
              <w:t>customer_type</w:t>
            </w:r>
          </w:p>
        </w:tc>
        <w:tc>
          <w:tcPr>
            <w:tcW w:type="dxa" w:w="6350"/>
          </w:tcPr>
          <w:p>
            <w:pPr>
              <w:spacing w:after="0" w:line="245" w:lineRule="auto"/>
            </w:pPr>
            <w:r>
              <w:rPr>
                <w:sz w:val="17"/>
              </w:rPr>
              <w:t>new</w:t>
            </w:r>
          </w:p>
        </w:tc>
      </w:tr>
      <w:tr>
        <w:tc>
          <w:tcPr>
            <w:tcW w:type="dxa" w:w="2948"/>
          </w:tcPr>
          <w:p>
            <w:pPr>
              <w:spacing w:after="0" w:line="245" w:lineRule="auto"/>
            </w:pPr>
            <w:r>
              <w:rPr>
                <w:sz w:val="17"/>
              </w:rPr>
              <w:t>requested_action</w:t>
            </w:r>
          </w:p>
        </w:tc>
        <w:tc>
          <w:tcPr>
            <w:tcW w:type="dxa" w:w="6350"/>
          </w:tcPr>
          <w:p>
            <w:pPr>
              <w:spacing w:after="0" w:line="245" w:lineRule="auto"/>
            </w:pPr>
            <w:r>
              <w:rPr>
                <w:sz w:val="17"/>
              </w:rPr>
              <w:t>calculate</w:t>
            </w:r>
          </w:p>
        </w:tc>
      </w:tr>
      <w:tr>
        <w:tc>
          <w:tcPr>
            <w:tcW w:type="dxa" w:w="2948"/>
          </w:tcPr>
          <w:p>
            <w:pPr>
              <w:spacing w:after="0" w:line="245" w:lineRule="auto"/>
            </w:pPr>
            <w:r>
              <w:rPr>
                <w:sz w:val="17"/>
              </w:rPr>
              <w:t>page_type</w:t>
            </w:r>
          </w:p>
        </w:tc>
        <w:tc>
          <w:tcPr>
            <w:tcW w:type="dxa" w:w="6350"/>
          </w:tcPr>
          <w:p>
            <w:pPr>
              <w:spacing w:after="0" w:line="245" w:lineRule="auto"/>
            </w:pPr>
            <w:r>
              <w:rPr>
                <w:sz w:val="17"/>
              </w:rPr>
              <w:t>service</w:t>
            </w:r>
          </w:p>
        </w:tc>
      </w:tr>
      <w:tr>
        <w:tc>
          <w:tcPr>
            <w:tcW w:type="dxa" w:w="2948"/>
          </w:tcPr>
          <w:p>
            <w:pPr>
              <w:spacing w:after="0" w:line="245" w:lineRule="auto"/>
            </w:pPr>
            <w:r>
              <w:rPr>
                <w:sz w:val="17"/>
              </w:rPr>
              <w:t>page_source</w:t>
            </w:r>
          </w:p>
        </w:tc>
        <w:tc>
          <w:tcPr>
            <w:tcW w:type="dxa" w:w="6350"/>
          </w:tcPr>
          <w:p>
            <w:pPr>
              <w:spacing w:after="0" w:line="245" w:lineRule="auto"/>
            </w:pPr>
            <w:r>
              <w:rPr>
                <w:sz w:val="17"/>
              </w:rPr>
              <w:t>obsluzhivanie_aps / /obsluzhivanie/</w:t>
            </w:r>
          </w:p>
        </w:tc>
      </w:tr>
      <w:tr>
        <w:tc>
          <w:tcPr>
            <w:tcW w:type="dxa" w:w="2948"/>
          </w:tcPr>
          <w:p>
            <w:pPr>
              <w:spacing w:after="0" w:line="245" w:lineRule="auto"/>
            </w:pPr>
            <w:r>
              <w:rPr>
                <w:sz w:val="17"/>
              </w:rPr>
              <w:t>Основной CTA</w:t>
            </w:r>
          </w:p>
        </w:tc>
        <w:tc>
          <w:tcPr>
            <w:tcW w:type="dxa" w:w="6350"/>
          </w:tcPr>
          <w:p>
            <w:pPr>
              <w:spacing w:after="0" w:line="245" w:lineRule="auto"/>
            </w:pPr>
            <w:r>
              <w:rPr>
                <w:sz w:val="17"/>
              </w:rPr>
              <w:t>Получить расчёт</w:t>
            </w:r>
          </w:p>
        </w:tc>
      </w:tr>
      <w:tr>
        <w:tc>
          <w:tcPr>
            <w:tcW w:type="dxa" w:w="2948"/>
          </w:tcPr>
          <w:p>
            <w:pPr>
              <w:spacing w:after="0" w:line="245" w:lineRule="auto"/>
            </w:pPr>
            <w:r>
              <w:rPr>
                <w:sz w:val="17"/>
              </w:rPr>
              <w:t>Дополнительные CTA</w:t>
            </w:r>
          </w:p>
        </w:tc>
        <w:tc>
          <w:tcPr>
            <w:tcW w:type="dxa" w:w="6350"/>
          </w:tcPr>
          <w:p>
            <w:pPr>
              <w:spacing w:after="0" w:line="245" w:lineRule="auto"/>
            </w:pPr>
            <w:r>
              <w:rPr>
                <w:sz w:val="17"/>
              </w:rPr>
              <w:t>Позвонить, WhatsApp   secondary</w:t>
            </w:r>
          </w:p>
        </w:tc>
      </w:tr>
    </w:tbl>
    <w:p>
      <w:pPr>
        <w:spacing w:after="40"/>
      </w:pPr>
    </w:p>
    <w:p>
      <w:r>
        <w:t>Главную страницу не использовать как замену /obsluzhivanie/. Страницу текущих клиентов и служебные формы не использовать как рекламную посадочную. Объявление, ключевой запрос и первый экран должны описывать одну и ту же услугу.</w:t>
      </w:r>
    </w:p>
    <w:p>
      <w:pPr>
        <w:pStyle w:val="Heading1"/>
        <w:keepNext/>
      </w:pPr>
      <w:r>
        <w:t>4 География расписание бюджет и стратегия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94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Настройка</w:t>
            </w:r>
          </w:p>
        </w:tc>
        <w:tc>
          <w:tcPr>
            <w:tcW w:type="dxa" w:w="6350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География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Алматы и согласованная зона выезда в Алматинской области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Опция местоположения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Присутствие   люди, находящиеся в целевых местоположениях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Язык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Русский; казахский добавлять после проверки релевантного объёма и локализованных объявлений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Расписание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Понедельник–пятница 09:00–18:00, GMT+05:00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Тестовый месячный бюджет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60 000–90 000 тенге; лимит утверждает владелец аккаунта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Дневной бюджет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Рассчитать из утверждённого месячного лимита; не дублировать сумму в соседних кампаниях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Стратегия старта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Maximize Clicks с пределом CPC или Manual CPC, если доступна; после 20–40 primary конверсий перейти к Maximize Conversions</w:t>
            </w:r>
          </w:p>
        </w:tc>
      </w:tr>
      <w:tr>
        <w:trPr>
          <w:cantSplit/>
        </w:trP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Target CPA</w:t>
            </w:r>
          </w:p>
        </w:tc>
        <w:tc>
          <w:tcPr>
            <w:tcW w:type="dxa" w:w="6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Включать только после накопления стабильных данных и после проверки офлайн импорта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 Структура групп объявлений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381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6"/>
              </w:rPr>
              <w:t>Группа</w:t>
            </w:r>
          </w:p>
        </w:tc>
        <w:tc>
          <w:tcPr>
            <w:tcW w:type="dxa" w:w="2835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6"/>
              </w:rPr>
              <w:t>Намерение</w:t>
            </w:r>
          </w:p>
        </w:tc>
        <w:tc>
          <w:tcPr>
            <w:tcW w:type="dxa" w:w="4082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6"/>
              </w:rPr>
              <w:t>Примеры запросов</w:t>
            </w:r>
          </w:p>
        </w:tc>
      </w:tr>
      <w:tr>
        <w:tc>
          <w:tcPr>
            <w:tcW w:type="dxa" w:w="2381"/>
          </w:tcPr>
          <w:p>
            <w:pPr>
              <w:spacing w:after="0" w:line="245" w:lineRule="auto"/>
            </w:pPr>
            <w:r>
              <w:rPr>
                <w:sz w:val="16"/>
              </w:rPr>
              <w:t>Обслуживание АПС</w:t>
            </w:r>
          </w:p>
        </w:tc>
        <w:tc>
          <w:tcPr>
            <w:tcW w:type="dxa" w:w="2835"/>
          </w:tcPr>
          <w:p>
            <w:pPr>
              <w:spacing w:after="0" w:line="245" w:lineRule="auto"/>
            </w:pPr>
            <w:r>
              <w:rPr>
                <w:sz w:val="16"/>
              </w:rPr>
              <w:t>Регламентное техническое обслуживание</w:t>
            </w:r>
          </w:p>
        </w:tc>
        <w:tc>
          <w:tcPr>
            <w:tcW w:type="dxa" w:w="4082"/>
          </w:tcPr>
          <w:p>
            <w:pPr>
              <w:spacing w:after="0" w:line="245" w:lineRule="auto"/>
            </w:pPr>
            <w:r>
              <w:rPr>
                <w:sz w:val="16"/>
              </w:rPr>
              <w:t>обслуживание пожарной сигнализации; техническое обслуживание АПС</w:t>
            </w:r>
          </w:p>
        </w:tc>
      </w:tr>
      <w:tr>
        <w:tc>
          <w:tcPr>
            <w:tcW w:type="dxa" w:w="2381"/>
          </w:tcPr>
          <w:p>
            <w:pPr>
              <w:spacing w:after="0" w:line="245" w:lineRule="auto"/>
            </w:pPr>
            <w:r>
              <w:rPr>
                <w:sz w:val="16"/>
              </w:rPr>
              <w:t>Договор обслуживания</w:t>
            </w:r>
          </w:p>
        </w:tc>
        <w:tc>
          <w:tcPr>
            <w:tcW w:type="dxa" w:w="2835"/>
          </w:tcPr>
          <w:p>
            <w:pPr>
              <w:spacing w:after="0" w:line="245" w:lineRule="auto"/>
            </w:pPr>
            <w:r>
              <w:rPr>
                <w:sz w:val="16"/>
              </w:rPr>
              <w:t>Заключение или смена договора</w:t>
            </w:r>
          </w:p>
        </w:tc>
        <w:tc>
          <w:tcPr>
            <w:tcW w:type="dxa" w:w="4082"/>
          </w:tcPr>
          <w:p>
            <w:pPr>
              <w:spacing w:after="0" w:line="245" w:lineRule="auto"/>
            </w:pPr>
            <w:r>
              <w:rPr>
                <w:sz w:val="16"/>
              </w:rPr>
              <w:t>договор обслуживания АПС; обслуживание пожарной сигнализации по договору</w:t>
            </w:r>
          </w:p>
        </w:tc>
      </w:tr>
      <w:tr>
        <w:tc>
          <w:tcPr>
            <w:tcW w:type="dxa" w:w="2381"/>
          </w:tcPr>
          <w:p>
            <w:pPr>
              <w:spacing w:after="0" w:line="245" w:lineRule="auto"/>
            </w:pPr>
            <w:r>
              <w:rPr>
                <w:sz w:val="16"/>
              </w:rPr>
              <w:t>Проверка и профилактика</w:t>
            </w:r>
          </w:p>
        </w:tc>
        <w:tc>
          <w:tcPr>
            <w:tcW w:type="dxa" w:w="2835"/>
          </w:tcPr>
          <w:p>
            <w:pPr>
              <w:spacing w:after="0" w:line="245" w:lineRule="auto"/>
            </w:pPr>
            <w:r>
              <w:rPr>
                <w:sz w:val="16"/>
              </w:rPr>
              <w:t>Диагностика и предупреждение отказов</w:t>
            </w:r>
          </w:p>
        </w:tc>
        <w:tc>
          <w:tcPr>
            <w:tcW w:type="dxa" w:w="4082"/>
          </w:tcPr>
          <w:p>
            <w:pPr>
              <w:spacing w:after="0" w:line="245" w:lineRule="auto"/>
            </w:pPr>
            <w:r>
              <w:rPr>
                <w:sz w:val="16"/>
              </w:rPr>
              <w:t>проверка пожарной сигнализации; профилактика АПС</w:t>
            </w:r>
          </w:p>
        </w:tc>
      </w:tr>
      <w:tr>
        <w:tc>
          <w:tcPr>
            <w:tcW w:type="dxa" w:w="2381"/>
          </w:tcPr>
          <w:p>
            <w:pPr>
              <w:spacing w:after="0" w:line="245" w:lineRule="auto"/>
            </w:pPr>
            <w:r>
              <w:rPr>
                <w:sz w:val="16"/>
              </w:rPr>
              <w:t>Склады и производство</w:t>
            </w:r>
          </w:p>
        </w:tc>
        <w:tc>
          <w:tcPr>
            <w:tcW w:type="dxa" w:w="2835"/>
          </w:tcPr>
          <w:p>
            <w:pPr>
              <w:spacing w:after="0" w:line="245" w:lineRule="auto"/>
            </w:pPr>
            <w:r>
              <w:rPr>
                <w:sz w:val="16"/>
              </w:rPr>
              <w:t>B2B объекты с высокой ответственностью</w:t>
            </w:r>
          </w:p>
        </w:tc>
        <w:tc>
          <w:tcPr>
            <w:tcW w:type="dxa" w:w="4082"/>
          </w:tcPr>
          <w:p>
            <w:pPr>
              <w:spacing w:after="0" w:line="245" w:lineRule="auto"/>
            </w:pPr>
            <w:r>
              <w:rPr>
                <w:sz w:val="16"/>
              </w:rPr>
              <w:t>обслуживание АПС склада; обслуживание пожарной сигнализации производства</w:t>
            </w:r>
          </w:p>
        </w:tc>
      </w:tr>
      <w:tr>
        <w:tc>
          <w:tcPr>
            <w:tcW w:type="dxa" w:w="2381"/>
          </w:tcPr>
          <w:p>
            <w:pPr>
              <w:spacing w:after="0" w:line="245" w:lineRule="auto"/>
            </w:pPr>
            <w:r>
              <w:rPr>
                <w:sz w:val="16"/>
              </w:rPr>
              <w:t>Офисы и коммерческие объекты</w:t>
            </w:r>
          </w:p>
        </w:tc>
        <w:tc>
          <w:tcPr>
            <w:tcW w:type="dxa" w:w="2835"/>
          </w:tcPr>
          <w:p>
            <w:pPr>
              <w:spacing w:after="0" w:line="245" w:lineRule="auto"/>
            </w:pPr>
            <w:r>
              <w:rPr>
                <w:sz w:val="16"/>
              </w:rPr>
              <w:t>Плановое обслуживание бизнеса</w:t>
            </w:r>
          </w:p>
        </w:tc>
        <w:tc>
          <w:tcPr>
            <w:tcW w:type="dxa" w:w="4082"/>
          </w:tcPr>
          <w:p>
            <w:pPr>
              <w:spacing w:after="0" w:line="245" w:lineRule="auto"/>
            </w:pPr>
            <w:r>
              <w:rPr>
                <w:sz w:val="16"/>
              </w:rPr>
              <w:t>обслуживание АПС офиса; обслуживание пожарной сигнализации магазина</w:t>
            </w:r>
          </w:p>
        </w:tc>
      </w:tr>
    </w:tbl>
    <w:p>
      <w:pPr>
        <w:spacing w:after="40"/>
      </w:pPr>
    </w:p>
    <w:p>
      <w:r>
        <w:t>На старте в каждой группе использовать точное и фразовое соответствие. Группы не должны дублировать семантику монтажа, аудита, ремонта и аварийной сработки.</w:t>
      </w:r>
    </w:p>
    <w:p>
      <w:pPr>
        <w:pStyle w:val="Heading1"/>
        <w:keepNext/>
      </w:pPr>
      <w:r>
        <w:t>6 Стартовые ключевые слова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7030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7"/>
              </w:rPr>
              <w:t>Ключевая фраза</w:t>
            </w:r>
          </w:p>
        </w:tc>
      </w:tr>
      <w:tr>
        <w:tc>
          <w:tcPr>
            <w:tcW w:type="dxa" w:w="2268"/>
          </w:tcPr>
          <w:p>
            <w:pPr>
              <w:spacing w:after="0" w:line="245" w:lineRule="auto"/>
            </w:pPr>
            <w:r>
              <w:rPr>
                <w:sz w:val="17"/>
              </w:rPr>
              <w:t>Точное</w:t>
            </w:r>
          </w:p>
        </w:tc>
        <w:tc>
          <w:tcPr>
            <w:tcW w:type="dxa" w:w="7030"/>
          </w:tcPr>
          <w:p>
            <w:pPr>
              <w:spacing w:after="0" w:line="245" w:lineRule="auto"/>
            </w:pPr>
            <w:r>
              <w:rPr>
                <w:sz w:val="17"/>
              </w:rPr>
              <w:t>[обслуживание пожарной сигнализации]</w:t>
            </w:r>
          </w:p>
        </w:tc>
      </w:tr>
      <w:tr>
        <w:tc>
          <w:tcPr>
            <w:tcW w:type="dxa" w:w="2268"/>
          </w:tcPr>
          <w:p>
            <w:pPr>
              <w:spacing w:after="0" w:line="245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</w:tcPr>
          <w:p>
            <w:pPr>
              <w:spacing w:after="0" w:line="245" w:lineRule="auto"/>
            </w:pPr>
            <w:r>
              <w:rPr>
                <w:sz w:val="17"/>
              </w:rPr>
              <w:t>"обслуживание пожарной сигнализации алматы"</w:t>
            </w:r>
          </w:p>
        </w:tc>
      </w:tr>
      <w:tr>
        <w:tc>
          <w:tcPr>
            <w:tcW w:type="dxa" w:w="2268"/>
          </w:tcPr>
          <w:p>
            <w:pPr>
              <w:spacing w:after="0" w:line="245" w:lineRule="auto"/>
            </w:pPr>
            <w:r>
              <w:rPr>
                <w:sz w:val="17"/>
              </w:rPr>
              <w:t>Точное</w:t>
            </w:r>
          </w:p>
        </w:tc>
        <w:tc>
          <w:tcPr>
            <w:tcW w:type="dxa" w:w="7030"/>
          </w:tcPr>
          <w:p>
            <w:pPr>
              <w:spacing w:after="0" w:line="245" w:lineRule="auto"/>
            </w:pPr>
            <w:r>
              <w:rPr>
                <w:sz w:val="17"/>
              </w:rPr>
              <w:t>[техническое обслуживание апс]</w:t>
            </w:r>
          </w:p>
        </w:tc>
      </w:tr>
      <w:tr>
        <w:tc>
          <w:tcPr>
            <w:tcW w:type="dxa" w:w="2268"/>
          </w:tcPr>
          <w:p>
            <w:pPr>
              <w:spacing w:after="0" w:line="245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</w:tcPr>
          <w:p>
            <w:pPr>
              <w:spacing w:after="0" w:line="245" w:lineRule="auto"/>
            </w:pPr>
            <w:r>
              <w:rPr>
                <w:sz w:val="17"/>
              </w:rPr>
              <w:t>"обслуживание апс алматы"</w:t>
            </w:r>
          </w:p>
        </w:tc>
      </w:tr>
      <w:tr>
        <w:tc>
          <w:tcPr>
            <w:tcW w:type="dxa" w:w="2268"/>
          </w:tcPr>
          <w:p>
            <w:pPr>
              <w:spacing w:after="0" w:line="245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</w:tcPr>
          <w:p>
            <w:pPr>
              <w:spacing w:after="0" w:line="245" w:lineRule="auto"/>
            </w:pPr>
            <w:r>
              <w:rPr>
                <w:sz w:val="17"/>
              </w:rPr>
              <w:t>"договор обслуживания апс"</w:t>
            </w:r>
          </w:p>
        </w:tc>
      </w:tr>
      <w:tr>
        <w:tc>
          <w:tcPr>
            <w:tcW w:type="dxa" w:w="2268"/>
          </w:tcPr>
          <w:p>
            <w:pPr>
              <w:spacing w:after="0" w:line="245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</w:tcPr>
          <w:p>
            <w:pPr>
              <w:spacing w:after="0" w:line="245" w:lineRule="auto"/>
            </w:pPr>
            <w:r>
              <w:rPr>
                <w:sz w:val="17"/>
              </w:rPr>
              <w:t>"проверка пожарной сигнализации"</w:t>
            </w:r>
          </w:p>
        </w:tc>
      </w:tr>
      <w:tr>
        <w:tc>
          <w:tcPr>
            <w:tcW w:type="dxa" w:w="2268"/>
          </w:tcPr>
          <w:p>
            <w:pPr>
              <w:spacing w:after="0" w:line="245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</w:tcPr>
          <w:p>
            <w:pPr>
              <w:spacing w:after="0" w:line="245" w:lineRule="auto"/>
            </w:pPr>
            <w:r>
              <w:rPr>
                <w:sz w:val="17"/>
              </w:rPr>
              <w:t>"обслуживание пожарной сигнализации склад"</w:t>
            </w:r>
          </w:p>
        </w:tc>
      </w:tr>
      <w:tr>
        <w:tc>
          <w:tcPr>
            <w:tcW w:type="dxa" w:w="2268"/>
          </w:tcPr>
          <w:p>
            <w:pPr>
              <w:spacing w:after="0" w:line="245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</w:tcPr>
          <w:p>
            <w:pPr>
              <w:spacing w:after="0" w:line="245" w:lineRule="auto"/>
            </w:pPr>
            <w:r>
              <w:rPr>
                <w:sz w:val="17"/>
              </w:rPr>
              <w:t>"обслуживание апс производство"</w:t>
            </w:r>
          </w:p>
        </w:tc>
      </w:tr>
      <w:tr>
        <w:tc>
          <w:tcPr>
            <w:tcW w:type="dxa" w:w="2268"/>
          </w:tcPr>
          <w:p>
            <w:pPr>
              <w:spacing w:after="0" w:line="245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</w:tcPr>
          <w:p>
            <w:pPr>
              <w:spacing w:after="0" w:line="245" w:lineRule="auto"/>
            </w:pPr>
            <w:r>
              <w:rPr>
                <w:sz w:val="17"/>
              </w:rPr>
              <w:t>"обслуживание пожарной сигнализации офис"</w:t>
            </w:r>
          </w:p>
        </w:tc>
      </w:tr>
      <w:tr>
        <w:tc>
          <w:tcPr>
            <w:tcW w:type="dxa" w:w="2268"/>
          </w:tcPr>
          <w:p>
            <w:pPr>
              <w:spacing w:after="0" w:line="245" w:lineRule="auto"/>
            </w:pPr>
            <w:r>
              <w:rPr>
                <w:sz w:val="17"/>
              </w:rPr>
              <w:t>Фразовое</w:t>
            </w:r>
          </w:p>
        </w:tc>
        <w:tc>
          <w:tcPr>
            <w:tcW w:type="dxa" w:w="7030"/>
          </w:tcPr>
          <w:p>
            <w:pPr>
              <w:spacing w:after="0" w:line="245" w:lineRule="auto"/>
            </w:pPr>
            <w:r>
              <w:rPr>
                <w:sz w:val="17"/>
              </w:rPr>
              <w:t>"стоимость обслуживания пожарной сигнализации"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 Минус слова</w:t>
      </w:r>
    </w:p>
    <w:p>
      <w:r>
        <w:t>Общий список: автосигнализация; автомобиль; starline; pandora; своими руками; схема; скачать; реферат; курсовая; вакансии; работа; обучение; инструкция; для квартиры; для дома; бытовой датчик; купить датчик; ozon; wildberries; бесплатно; б/у; ремонт авто.</w:t>
      </w:r>
    </w:p>
    <w:p>
      <w:pPr>
        <w:pStyle w:val="ListBullet"/>
        <w:keepNext w:val="0"/>
        <w:spacing w:after="60"/>
      </w:pPr>
      <w:r>
        <w:t>Проверять отчёт поисковых запросов не реже двух раз в неделю в первый месяц.</w:t>
      </w:r>
    </w:p>
    <w:p>
      <w:pPr>
        <w:pStyle w:val="ListBullet"/>
        <w:keepNext w:val="0"/>
        <w:spacing w:after="60"/>
      </w:pPr>
      <w:r>
        <w:t>Не добавлять минус слово, если оно отсекает целевой B2B спрос; причину нового минус слова фиксировать в журнале оптимизации.</w:t>
      </w:r>
    </w:p>
    <w:p>
      <w:pPr>
        <w:pStyle w:val="Heading1"/>
        <w:keepNext/>
      </w:pPr>
      <w:r>
        <w:t>8 Объявления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360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6"/>
              </w:rPr>
              <w:t>Набор</w:t>
            </w:r>
          </w:p>
        </w:tc>
        <w:tc>
          <w:tcPr>
            <w:tcW w:type="dxa" w:w="793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6"/>
              </w:rPr>
              <w:t>Заголовки до 30 знаков</w:t>
            </w:r>
          </w:p>
        </w:tc>
      </w:tr>
      <w:tr>
        <w:tc>
          <w:tcPr>
            <w:tcW w:type="dxa" w:w="1360"/>
          </w:tcPr>
          <w:p>
            <w:pPr>
              <w:spacing w:after="0" w:line="245" w:lineRule="auto"/>
            </w:pPr>
            <w:r>
              <w:rPr>
                <w:sz w:val="16"/>
              </w:rPr>
              <w:t>RSA 1</w:t>
            </w:r>
          </w:p>
        </w:tc>
        <w:tc>
          <w:tcPr>
            <w:tcW w:type="dxa" w:w="7938"/>
          </w:tcPr>
          <w:p>
            <w:pPr>
              <w:spacing w:after="0" w:line="245" w:lineRule="auto"/>
            </w:pPr>
            <w:r>
              <w:rPr>
                <w:sz w:val="16"/>
              </w:rPr>
              <w:t>Обслуживание АПС Алматы | ТО пожарной сигнализации | Договор обслуживания АПС | Расчёт по вашему объекту | Регламентные работы | Проверка и диагностика АПС | Для офисов и складов | Для производств | Выезд инженера | Документы по работам | Алматы и область | Pozharnik.kz</w:t>
            </w:r>
          </w:p>
        </w:tc>
      </w:tr>
      <w:tr>
        <w:tc>
          <w:tcPr>
            <w:tcW w:type="dxa" w:w="1360"/>
          </w:tcPr>
          <w:p>
            <w:pPr>
              <w:spacing w:after="0" w:line="245" w:lineRule="auto"/>
            </w:pPr>
            <w:r>
              <w:rPr>
                <w:sz w:val="16"/>
              </w:rPr>
              <w:t>RSA 2</w:t>
            </w:r>
          </w:p>
        </w:tc>
        <w:tc>
          <w:tcPr>
            <w:tcW w:type="dxa" w:w="7938"/>
          </w:tcPr>
          <w:p>
            <w:pPr>
              <w:spacing w:after="0" w:line="245" w:lineRule="auto"/>
            </w:pPr>
            <w:r>
              <w:rPr>
                <w:sz w:val="16"/>
              </w:rPr>
              <w:t>Техническое обслуживание АПС | Проверка пожарной системы | Профилактика неисправностей | Обслуживание по графику | Прозрачный состав работ | Расчёт за 10 минут | Очистка и тестирование | Отчёт по результатам | Согласованные сроки | Для коммерческих объектов | Новый договор обслуживания | Pozharnik.kz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360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6"/>
              </w:rPr>
              <w:t>Номер</w:t>
            </w:r>
          </w:p>
        </w:tc>
        <w:tc>
          <w:tcPr>
            <w:tcW w:type="dxa" w:w="793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6"/>
              </w:rPr>
              <w:t>Описание до 90 знаков</w:t>
            </w:r>
          </w:p>
        </w:tc>
      </w:tr>
      <w:tr>
        <w:tc>
          <w:tcPr>
            <w:tcW w:type="dxa" w:w="1360"/>
          </w:tcPr>
          <w:p>
            <w:pPr>
              <w:spacing w:after="0" w:line="245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7938"/>
          </w:tcPr>
          <w:p>
            <w:pPr>
              <w:spacing w:after="0" w:line="245" w:lineRule="auto"/>
            </w:pPr>
            <w:r>
              <w:rPr>
                <w:sz w:val="16"/>
              </w:rPr>
              <w:t>Проверим АПС, согласуем регламент и рассчитаем обслуживание вашего объекта.</w:t>
            </w:r>
          </w:p>
        </w:tc>
      </w:tr>
      <w:tr>
        <w:tc>
          <w:tcPr>
            <w:tcW w:type="dxa" w:w="1360"/>
          </w:tcPr>
          <w:p>
            <w:pPr>
              <w:spacing w:after="0" w:line="245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7938"/>
          </w:tcPr>
          <w:p>
            <w:pPr>
              <w:spacing w:after="0" w:line="245" w:lineRule="auto"/>
            </w:pPr>
            <w:r>
              <w:rPr>
                <w:sz w:val="16"/>
              </w:rPr>
              <w:t>Диагностика, очистка, тестирование и отчёт по выполненным работам.</w:t>
            </w:r>
          </w:p>
        </w:tc>
      </w:tr>
      <w:tr>
        <w:tc>
          <w:tcPr>
            <w:tcW w:type="dxa" w:w="1360"/>
          </w:tcPr>
          <w:p>
            <w:pPr>
              <w:spacing w:after="0" w:line="245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7938"/>
          </w:tcPr>
          <w:p>
            <w:pPr>
              <w:spacing w:after="0" w:line="245" w:lineRule="auto"/>
            </w:pPr>
            <w:r>
              <w:rPr>
                <w:sz w:val="16"/>
              </w:rPr>
              <w:t>Обслуживание офисов, складов и производств в Алматы и области.</w:t>
            </w:r>
          </w:p>
        </w:tc>
      </w:tr>
      <w:tr>
        <w:tc>
          <w:tcPr>
            <w:tcW w:type="dxa" w:w="1360"/>
          </w:tcPr>
          <w:p>
            <w:pPr>
              <w:spacing w:after="0" w:line="245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7938"/>
          </w:tcPr>
          <w:p>
            <w:pPr>
              <w:spacing w:after="0" w:line="245" w:lineRule="auto"/>
            </w:pPr>
            <w:r>
              <w:rPr>
                <w:sz w:val="16"/>
              </w:rPr>
              <w:t>Заключим новый договор обслуживания. Ответим в течение 10 минут в рабочее время.</w:t>
            </w:r>
          </w:p>
        </w:tc>
      </w:tr>
    </w:tbl>
    <w:p>
      <w:pPr>
        <w:spacing w:after="40"/>
      </w:pPr>
    </w:p>
    <w:p>
      <w:pPr>
        <w:pStyle w:val="ListBullet"/>
        <w:keepNext w:val="0"/>
        <w:spacing w:after="60"/>
      </w:pPr>
      <w:r>
        <w:t>В каждом RSA использовать не менее 10 заголовков и все 4 описания. Без данных не закреплять активы по позициям.</w:t>
      </w:r>
    </w:p>
    <w:p>
      <w:pPr>
        <w:pStyle w:val="ListBullet"/>
        <w:keepNext w:val="0"/>
        <w:spacing w:after="60"/>
      </w:pPr>
      <w:r>
        <w:t>Отображаемый путь: obsluzhivanie / almaty.</w:t>
      </w:r>
    </w:p>
    <w:p>
      <w:pPr>
        <w:pStyle w:val="ListBullet"/>
        <w:keepNext w:val="0"/>
        <w:spacing w:after="60"/>
      </w:pPr>
      <w:r>
        <w:t>Добавить быстрые ссылки: Рассчитать стоимость; Примеры работ; Документы; Как мы работаем. Добавить уточнения о географии, видах объектов и составе работ.</w:t>
      </w:r>
    </w:p>
    <w:p>
      <w:pPr>
        <w:pStyle w:val="Heading1"/>
        <w:keepNext/>
      </w:pPr>
      <w:r>
        <w:t>9 URL и маркировка трафика</w:t>
      </w:r>
    </w:p>
    <w:p>
      <w:r>
        <w:t>Final URL: https://pozharnik.kz/obsluzhivanie/?service_type=aps_maintenance&amp;customer_type=new&amp;requested_action=calculate</w:t>
      </w:r>
    </w:p>
    <w:p>
      <w:r>
        <w:t>Final URL suffix: utm_source=google&amp;utm_medium=cpc&amp;utm_campaign={campaignid}&amp;utm_id={campaignid}&amp;utm_content={creative}&amp;utm_term={keyword}&amp;device={device}&amp;network={network}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3061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236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Правило</w:t>
            </w:r>
          </w:p>
        </w:tc>
      </w:tr>
      <w:tr>
        <w:trPr>
          <w:cantSplit/>
        </w:trPr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gclid, dclid, gbraid, wbraid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Сохранять без перезаписи и передавать в webhook, BigQuery и Bitrix24</w:t>
            </w:r>
          </w:p>
        </w:tc>
      </w:tr>
      <w:tr>
        <w:trPr>
          <w:cantSplit/>
        </w:trPr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utm_source, utm_medium, utm_campaign, utm_id, utm_content, utm_term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Отделять current visit от first touch и last touch</w:t>
            </w:r>
          </w:p>
        </w:tc>
      </w:tr>
      <w:tr>
        <w:trPr>
          <w:cantSplit/>
        </w:trPr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page_url, page_path, page_title, page_source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Показывать, что заявка пришла со страницы обслуживания</w:t>
            </w:r>
          </w:p>
        </w:tc>
      </w:tr>
      <w:tr>
        <w:trPr>
          <w:cantSplit/>
        </w:trPr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referrer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Хранить current, first_referrer и last_referrer по контракту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 Конверсии и оптимизация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26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Событие</w:t>
            </w:r>
          </w:p>
        </w:tc>
        <w:tc>
          <w:tcPr>
            <w:tcW w:type="dxa" w:w="1587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226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Ценность</w:t>
            </w:r>
          </w:p>
        </w:tc>
        <w:tc>
          <w:tcPr>
            <w:tcW w:type="dxa" w:w="3175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Условие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pz_form_success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Secondary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Без value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Только после подтверждённой успешной отправки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qualified_lead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Primary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Тестовая или модельная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Сделка квалифицирована в Bitrix24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visit_scheduled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Primary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Фиксированная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Выезд согласован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quote_sent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Primary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Сумма КП или расчётная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КП фактически отправлено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contract_won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Primary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Выручка или валовая прибыль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Сделка выиграна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work_completed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Secondary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Фактическая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Работа завершена</w:t>
            </w:r>
          </w:p>
        </w:tc>
      </w:tr>
    </w:tbl>
    <w:p>
      <w:pPr>
        <w:spacing w:after="40"/>
      </w:pPr>
    </w:p>
    <w:p>
      <w:pPr>
        <w:pStyle w:val="ListBullet"/>
        <w:keepNext w:val="0"/>
        <w:spacing w:after="60"/>
      </w:pPr>
      <w:r>
        <w:t>Форма не считается primary конверсией до квалификации; для наблюдения она остаётся Secondary.</w:t>
      </w:r>
    </w:p>
    <w:p>
      <w:pPr>
        <w:pStyle w:val="ListBullet"/>
        <w:keepNext w:val="0"/>
        <w:spacing w:after="60"/>
      </w:pPr>
      <w:r>
        <w:t>Для всех primary офлайн событий передавать event_id и order_id; загрузка должна быть идемпотентной.</w:t>
      </w:r>
    </w:p>
    <w:p>
      <w:pPr>
        <w:pStyle w:val="ListBullet"/>
        <w:keepNext w:val="0"/>
        <w:spacing w:after="60"/>
      </w:pPr>
      <w:r>
        <w:t>Enhanced conversions for leads включить только после принятия Customer Data Terms и при consent_ads=granted.</w:t>
      </w:r>
    </w:p>
    <w:p>
      <w:pPr>
        <w:pStyle w:val="Heading1"/>
        <w:keepNext/>
      </w:pPr>
      <w:r>
        <w:t>11 Consent Mode и защита данных</w:t>
      </w:r>
    </w:p>
    <w:p>
      <w:pPr>
        <w:pStyle w:val="ListBullet"/>
        <w:keepNext w:val="0"/>
        <w:spacing w:after="60"/>
      </w:pPr>
      <w:r>
        <w:t>До согласия: analytics_storage, ad_storage, ad_user_data и ad_personalization равны denied.</w:t>
      </w:r>
    </w:p>
    <w:p>
      <w:pPr>
        <w:pStyle w:val="ListBullet"/>
        <w:keepNext w:val="0"/>
        <w:spacing w:after="60"/>
      </w:pPr>
      <w:r>
        <w:t>Кнопка «Принять все» обновляет consent на granted; «Только необходимые» сохраняет denied для аналитики и рекламы.</w:t>
      </w:r>
    </w:p>
    <w:p>
      <w:pPr>
        <w:pStyle w:val="ListBullet"/>
        <w:keepNext w:val="0"/>
        <w:spacing w:after="60"/>
      </w:pPr>
      <w:r>
        <w:t>Форма может быть отправлена без рекламного consent; значения consent_status, consent_ads и consent_timestamp передаются в заявке.</w:t>
      </w:r>
    </w:p>
    <w:p>
      <w:pPr>
        <w:pStyle w:val="Heading1"/>
        <w:keepNext/>
      </w:pPr>
      <w:r>
        <w:t>12 События на странице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381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Событие</w:t>
            </w:r>
          </w:p>
        </w:tc>
        <w:tc>
          <w:tcPr>
            <w:tcW w:type="dxa" w:w="362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Когда отправляется</w:t>
            </w:r>
          </w:p>
        </w:tc>
        <w:tc>
          <w:tcPr>
            <w:tcW w:type="dxa" w:w="328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Ключевые параметры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pz_cta_click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Клик по CTA, WhatsApp или телефону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cta_id, cta_text, cta_location, service_type, page_source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pz_calculator_start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Первое взаимодействие с калькулятором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calculator_id, service_type, page_source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pz_calculator_complete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Получен расчёт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calculator_id, answers, estimated_value, currency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pz_form_start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Первый focus в форме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form_id, form_name, form_location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pz_form_submit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Нажата кнопка отправки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form_id, event_id, service_type, customer_type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pz_form_success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Сервер подтвердил успешную отправку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form_id, event_id, lead_id, service_type, customer_type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pz_form_error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Ошибка отправки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form_id, event_id, error_code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 Приёмочная 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81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Контур</w:t>
            </w:r>
          </w:p>
        </w:tc>
        <w:tc>
          <w:tcPr>
            <w:tcW w:type="dxa" w:w="6917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Критерий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Посадочная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/obsluzhivanie/ открывается без 404, битых файлов и горизонтального переполнения на mobile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GTM GA4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GTM-WVGQ5BZ4 загружен; pz_form_success срабатывает только после успеха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Google Ads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Conversion Linker работает; click ID сохраняется; офлайн события импортируются без дублей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Bitrix24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Сделка с service_type=aps_maintenance, customer_type=new, requested_action=calculate и источником /obsluzhivanie/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Telegram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Уведомление содержит читаемые имя, контакт, направление, страницу, канал и кампанию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Consent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До согласия denied; после «Принять все» granted; оба режима не ломают форму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Тестовые данные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Имя «TEST — НЕ ЗВОНИТЬ» и test_data=true; тест не участвует в ставках и отчётности</w:t>
            </w:r>
          </w:p>
        </w:tc>
      </w:tr>
    </w:tbl>
    <w:p>
      <w:pPr>
        <w:spacing w:after="40"/>
      </w:pPr>
    </w:p>
    <w:p>
      <w:pPr>
        <w:pStyle w:val="ListBullet"/>
        <w:keepNext w:val="0"/>
        <w:spacing w:after="60"/>
      </w:pPr>
      <w:r>
        <w:t>Выполнить по одной успешной технической отправке из каждого места формы на desktop и mobile без платного рекламного клика.</w:t>
      </w:r>
    </w:p>
    <w:p>
      <w:pPr>
        <w:pStyle w:val="ListBullet"/>
        <w:keepNext w:val="0"/>
        <w:spacing w:after="60"/>
      </w:pPr>
      <w:r>
        <w:t>Сквозную атрибуцию Google Ads окончательно подтвердить по первому реальному рекламному обращению. Лиды действующих клиентов с customer_type=existing не использовать для оптимизации этой кампании.</w:t>
      </w:r>
    </w:p>
    <w:p>
      <w:pPr>
        <w:pStyle w:val="Heading1"/>
        <w:keepNext/>
      </w:pPr>
      <w:r>
        <w:t>14 Порядок запуска</w:t>
      </w:r>
    </w:p>
    <w:p>
      <w:pPr>
        <w:pStyle w:val="ListNumber"/>
        <w:keepNext w:val="0"/>
        <w:spacing w:after="60"/>
      </w:pPr>
      <w:r>
        <w:t>Проверить страницу, формы, consent, webhook, Bitrix24 и Telegram.</w:t>
      </w:r>
    </w:p>
    <w:p>
      <w:pPr>
        <w:pStyle w:val="ListNumber"/>
        <w:keepNext w:val="0"/>
        <w:spacing w:after="60"/>
      </w:pPr>
      <w:r>
        <w:t>Создать кампанию и группы объявлений, загрузить семантику, минус слова и RSA.</w:t>
      </w:r>
    </w:p>
    <w:p>
      <w:pPr>
        <w:pStyle w:val="ListNumber"/>
        <w:keepNext w:val="0"/>
        <w:spacing w:after="60"/>
      </w:pPr>
      <w:r>
        <w:t>Включить auto tagging, Conversion Linker и нужные conversion actions; проверить ValueTrack.</w:t>
      </w:r>
    </w:p>
    <w:p>
      <w:pPr>
        <w:pStyle w:val="ListNumber"/>
        <w:keepNext w:val="0"/>
        <w:spacing w:after="60"/>
      </w:pPr>
      <w:r>
        <w:t>Запустить на утверждённом лимите и в рабочее время.</w:t>
      </w:r>
    </w:p>
    <w:p>
      <w:pPr>
        <w:pStyle w:val="ListNumber"/>
        <w:keepNext w:val="0"/>
        <w:spacing w:after="60"/>
      </w:pPr>
      <w:r>
        <w:t>Ежедневно в первые 14 дней проверять расход, поисковые запросы, 404, лиды, дубли и статусы импорта.</w:t>
      </w:r>
    </w:p>
    <w:p>
      <w:pPr>
        <w:pStyle w:val="ListNumber"/>
        <w:keepNext w:val="0"/>
        <w:spacing w:after="60"/>
      </w:pPr>
      <w:r>
        <w:t>Не менять бюджет, ставки и семантику одновременно; каждое значимое изменение фиксировать с датой и причиной.</w:t>
      </w:r>
    </w:p>
    <w:p>
      <w:pPr>
        <w:pStyle w:val="Heading1"/>
        <w:keepNext/>
      </w:pPr>
      <w:r>
        <w:t>15 Отчётность и условия масштабирования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Период</w:t>
            </w:r>
          </w:p>
        </w:tc>
        <w:tc>
          <w:tcPr>
            <w:tcW w:type="dxa" w:w="4535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Контроль</w:t>
            </w:r>
          </w:p>
        </w:tc>
        <w:tc>
          <w:tcPr>
            <w:tcW w:type="dxa" w:w="2494"/>
            <w:shd w:fill="14364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Ежедневно, первые 14 дней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Расход, отклонения, 404, запросы, лиды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Журнал контроля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2 раза в неделю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Search terms, минус слова, ICP A/B, дубли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Список изменений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Еженедельно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Расход, CTR, CPC, CPL, qualified lead, выезды, КП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Отчёт по кампании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Ежемесячно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Договоры, выручка, валовая прибыль, ROAS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9"/>
          </w:tcPr>
          <w:p>
            <w:pPr>
              <w:spacing w:after="0" w:line="252" w:lineRule="auto"/>
            </w:pPr>
            <w:r>
              <w:rPr>
                <w:sz w:val="17"/>
              </w:rPr>
              <w:t>Решение о бюджете</w:t>
            </w:r>
          </w:p>
        </w:tc>
      </w:tr>
    </w:tbl>
    <w:p>
      <w:pPr>
        <w:spacing w:after="40"/>
      </w:pPr>
    </w:p>
    <w:p>
      <w:pPr>
        <w:pStyle w:val="ListBullet"/>
        <w:keepNext w:val="0"/>
        <w:spacing w:after="60"/>
      </w:pPr>
      <w:r>
        <w:t>Масштабировать бюджет не более чем на 20 процентов за одно изменение и только при стабильной доле квалифицированных лидов и приемлемой экономике договоров.</w:t>
      </w:r>
    </w:p>
    <w:p>
      <w:pPr>
        <w:pStyle w:val="ListBullet"/>
        <w:keepNext w:val="0"/>
        <w:spacing w:after="60"/>
      </w:pPr>
      <w:r>
        <w:t>Если на выходных или вне рабочего времени SLA не выполняется, расписание не расширять.</w:t>
      </w:r>
    </w:p>
    <w:p>
      <w:pPr>
        <w:pStyle w:val="Heading1"/>
        <w:keepNext/>
      </w:pPr>
      <w:r>
        <w:t>16 Критерий приёмки приложения</w:t>
      </w:r>
    </w:p>
    <w:p>
      <w:pPr>
        <w:pStyle w:val="ListBullet"/>
        <w:keepNext w:val="0"/>
        <w:spacing w:after="60"/>
      </w:pPr>
      <w:r>
        <w:t>Кампания, группы, семантика, минус слова, RSA, активы, география, бюджет и расписание соответствуют этому ТЗ.</w:t>
      </w:r>
    </w:p>
    <w:p>
      <w:pPr>
        <w:pStyle w:val="ListBullet"/>
        <w:keepNext w:val="0"/>
        <w:spacing w:after="60"/>
      </w:pPr>
      <w:r>
        <w:t>Диагностика Google Ads не содержит критических ошибок; объявления допущены.</w:t>
      </w:r>
    </w:p>
    <w:p>
      <w:pPr>
        <w:pStyle w:val="ListBullet"/>
        <w:keepNext w:val="0"/>
        <w:spacing w:after="60"/>
      </w:pPr>
      <w:r>
        <w:t>Технический путь форма — webhook — BigQuery — Bitrix24 — Telegram проверен на desktop и mobile.</w:t>
      </w:r>
    </w:p>
    <w:p>
      <w:pPr>
        <w:pStyle w:val="ListBullet"/>
        <w:keepNext w:val="0"/>
        <w:spacing w:after="60"/>
      </w:pPr>
      <w:r>
        <w:t>Первая реальная заявка из Google Ads сохраняет UTM, click ID, /obsluzhivanie/, service_type=aps_maintenance и customer_type=new.</w:t>
      </w:r>
    </w:p>
    <w:p>
      <w:pPr>
        <w:pStyle w:val="ListBullet"/>
        <w:keepNext w:val="0"/>
        <w:spacing w:after="60"/>
      </w:pPr>
      <w:r>
        <w:t>Офлайн конверсии импортируются идемпотентно и не дублируются.</w:t>
      </w:r>
    </w:p>
    <w:p>
      <w:pPr>
        <w:pStyle w:val="ListBullet"/>
        <w:keepNext w:val="0"/>
        <w:spacing w:after="60"/>
      </w:pPr>
      <w:r>
        <w:t>Тестовые лиды исключены из оптимизации, отчётов и обратной загрузки как primary conversions.</w:t>
      </w:r>
    </w:p>
    <w:p>
      <w:pPr>
        <w:pStyle w:val="Heading1"/>
        <w:keepNext/>
      </w:pPr>
      <w:r>
        <w:t>История редакции</w:t>
      </w:r>
    </w:p>
    <w:p>
      <w:r>
        <w:t>v1.0 от 30.09.2026   Первая согласованная редакция для страницы /obsluzhivanie/.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64" w:right="1020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46C"/>
        <w:sz w:val="16"/>
      </w:rPr>
      <w:t>Pozharnik.kz   Приложение 2   Обслуживание АПС  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