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ТЗ интеграция ремаркетинга Pozharnik</w:t>
      </w:r>
    </w:p>
    <w:p>
      <w:r>
        <w:rPr>
          <w:color w:val="5A5A5A"/>
          <w:sz w:val="20"/>
        </w:rPr>
        <w:t>Версия 1.0 · 9 октября 2026 года · Основание: медиаплан 4.5 и ТЗ Google Ads 1.5.</w:t>
      </w:r>
    </w:p>
    <w:p>
      <w:r>
        <w:t>Документ задаёт требования к единой системе возврата посетителей pozharnik.kz: аудитории по услугам, подходящие материалы, посадочные страницы, исключение коммерческих заявителей, измерение договоров и условия ручного запуска. Он предназначен для разработчика сайта, специалиста по аналитике, рекламного специалиста и ответственного за видео. Это ТЗ на дальнейшую интеграцию; его сохранение не подтверждает внедрение и не разрешает включать рекламу.</w:t>
      </w:r>
    </w:p>
    <w:p>
      <w:pPr>
        <w:pStyle w:val="Heading1"/>
      </w:pPr>
      <w:r>
        <w:t>1. Основания и границы работ</w:t>
      </w:r>
    </w:p>
    <w:p>
      <w:r>
        <w:t>ТЗ дополняет действующий комплект. Медиаплан определяет приоритеты и экономику, общий контракт — значения полей и обмен данными, ТЗ аналитики — события, ТЗ Google Ads — поисковую структуру и конверсии. Общие стандарты согласия, Meta и YouTube задают поведение новых страниц. При расхождении исполнитель фиксирует вопрос в журнале изменений и согласует единое правило; самостоятельно переименовывать поля и менять цели кампаний нельзя.</w:t>
      </w:r>
    </w:p>
    <w:p>
      <w:r>
        <w:t>Внедрение включает регистрацию маршрутов сайта, сбор разрешённых аудиторий, классификацию обращения, подбор материалов и подготовку выключенных кампаний. Оплата рекламы, запуск, увеличение бюджета, CAPI, Customer Match и передача хэшированных контактов не входят в эту работу. Подготовленные настройки и фактически принятый результат отмечаются отдельно.</w:t>
      </w:r>
    </w:p>
    <w:p>
      <w:r>
        <w:t>В качестве исходной конфигурации принять опубликованные общие стандарты: один GTM и общий баннер; Meta PageView и Lead; общие посетительские списки; YouTube-последовательность из шести отзывов и полного теста. Эти стандарты не доказывают текущий размер аудитории, модерацию или доступность показов. Статусы проверяются непосредственно перед внедрением и запуском.</w:t>
      </w:r>
    </w:p>
    <w:p>
      <w:r>
        <w:t>Обязательные ограничения:</w:t>
      </w:r>
    </w:p>
    <w:p>
      <w:pPr>
        <w:pStyle w:val="ListBullet"/>
      </w:pPr>
      <w:r>
        <w:t>Кампании, группы и объявления сохраняются выключенными или на паузе. Технические даты черновика не являются датами запуска.</w:t>
      </w:r>
    </w:p>
    <w:p>
      <w:pPr>
        <w:pStyle w:val="ListBullet"/>
      </w:pPr>
      <w:r>
        <w:t>Строгий ремаркетинг ограничивается собственной разрешённой аудиторией. Недостаток посетителей не компенсируется автоматическим расширением на новых людей.</w:t>
      </w:r>
    </w:p>
    <w:p>
      <w:pPr>
        <w:pStyle w:val="ListBullet"/>
      </w:pPr>
      <w:r>
        <w:t xml:space="preserve">Реклама соответствует посещённой услуге и ведёт на подходящую опубликованную страницу. Все направления не сводятся к аварийному вызову на </w:t>
      </w:r>
      <w:r>
        <w:rPr>
          <w:rFonts w:ascii="Consolas" w:hAnsi="Consolas"/>
          <w:sz w:val="18"/>
        </w:rPr>
        <w:t>/srabotka/</w:t>
      </w:r>
      <w:r>
        <w:t>.</w:t>
      </w:r>
    </w:p>
    <w:p>
      <w:pPr>
        <w:pStyle w:val="ListBullet"/>
      </w:pPr>
      <w:r>
        <w:t xml:space="preserve">В Google Ads основная конверсия — только подтверждённый </w:t>
      </w:r>
      <w:r>
        <w:rPr>
          <w:rFonts w:ascii="Consolas" w:hAnsi="Consolas"/>
          <w:sz w:val="18"/>
        </w:rPr>
        <w:t>contract_won</w:t>
      </w:r>
      <w:r>
        <w:t>. Заявки и промежуточные этапы остаются Secondary.</w:t>
      </w:r>
    </w:p>
    <w:p>
      <w:pPr>
        <w:pStyle w:val="ListBullet"/>
      </w:pPr>
      <w:r>
        <w:t>Скачивание документа и коммерческое обращение — разные намерения. Получатель чек-листа не считается автоматически завершившим коммерческую воронку.</w:t>
      </w:r>
    </w:p>
    <w:p>
      <w:pPr>
        <w:pStyle w:val="Heading1"/>
        <w:pageBreakBefore/>
      </w:pPr>
      <w:r>
        <w:t>2. Стратегия и этапы по медиаплану</w:t>
      </w:r>
    </w:p>
    <w:p>
      <w:r>
        <w:t>Общая цепочка: поиск или другой источник → страница услуги → релевантное доказательство в YouTube/Instagram → возврат к услуге → расчёт, обследование или аудит → коммерческое предложение → подтверждённый договор. Ремаркетинг дополняет поиск, а не заменяет шесть поисковых направлений для пяти ICP.</w:t>
      </w:r>
    </w:p>
    <w:tbl>
      <w:tblPr>
        <w:tblW w:type="auto" w:w="0"/>
        <w:jc w:val="center"/>
        <w:tblLayout w:type="fixed"/>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CellMar>
          <w:top w:w="65" w:type="dxa"/>
          <w:bottom w:w="65" w:type="dxa"/>
          <w:left w:w="90" w:type="dxa"/>
          <w:right w:w="90" w:type="dxa"/>
        </w:tblCellMar>
      </w:tblPr>
      <w:tblGrid>
        <w:gridCol w:w="1814"/>
        <w:gridCol w:w="3969"/>
        <w:gridCol w:w="3855"/>
      </w:tblGrid>
      <w:tr>
        <w:trPr>
          <w:cantSplit/>
          <w:tblHeader/>
        </w:trPr>
        <w:tc>
          <w:tcPr>
            <w:tcW w:type="dxa" w:w="1814"/>
            <w:vAlign w:val="top"/>
            <w:shd w:fill="F1F1F1"/>
          </w:tcPr>
          <w:p>
            <w:pPr>
              <w:spacing w:after="0" w:line="252" w:lineRule="auto"/>
            </w:pPr>
            <w:r>
              <w:rPr>
                <w:b/>
                <w:sz w:val="19"/>
              </w:rPr>
              <w:t>Этап интеграции</w:t>
            </w:r>
          </w:p>
        </w:tc>
        <w:tc>
          <w:tcPr>
            <w:tcW w:type="dxa" w:w="3969"/>
            <w:vAlign w:val="top"/>
            <w:shd w:fill="F1F1F1"/>
          </w:tcPr>
          <w:p>
            <w:pPr>
              <w:spacing w:after="0" w:line="252" w:lineRule="auto"/>
            </w:pPr>
            <w:r>
              <w:rPr>
                <w:b/>
                <w:sz w:val="19"/>
              </w:rPr>
              <w:t>Работы</w:t>
            </w:r>
          </w:p>
        </w:tc>
        <w:tc>
          <w:tcPr>
            <w:tcW w:type="dxa" w:w="3855"/>
            <w:vAlign w:val="top"/>
            <w:shd w:fill="F1F1F1"/>
          </w:tcPr>
          <w:p>
            <w:pPr>
              <w:spacing w:after="0" w:line="252" w:lineRule="auto"/>
            </w:pPr>
            <w:r>
              <w:rPr>
                <w:b/>
                <w:sz w:val="19"/>
              </w:rPr>
              <w:t>Условие перехода</w:t>
            </w:r>
          </w:p>
        </w:tc>
      </w:tr>
      <w:tr>
        <w:trPr>
          <w:cantSplit/>
        </w:trPr>
        <w:tc>
          <w:tcPr>
            <w:tcW w:type="dxa" w:w="1814"/>
            <w:vAlign w:val="top"/>
          </w:tcPr>
          <w:p>
            <w:pPr>
              <w:spacing w:after="0" w:line="252" w:lineRule="auto"/>
            </w:pPr>
            <w:r>
              <w:rPr>
                <w:sz w:val="19"/>
              </w:rPr>
              <w:t>Подготовка</w:t>
            </w:r>
          </w:p>
        </w:tc>
        <w:tc>
          <w:tcPr>
            <w:tcW w:type="dxa" w:w="3969"/>
            <w:vAlign w:val="top"/>
          </w:tcPr>
          <w:p>
            <w:pPr>
              <w:spacing w:after="0" w:line="252" w:lineRule="auto"/>
            </w:pPr>
            <w:r>
              <w:rPr>
                <w:sz w:val="19"/>
              </w:rPr>
              <w:t>Общая аналитика, согласие, формы, маршруты, исключения, реестр материалов</w:t>
            </w:r>
          </w:p>
        </w:tc>
        <w:tc>
          <w:tcPr>
            <w:tcW w:type="dxa" w:w="3855"/>
            <w:vAlign w:val="top"/>
          </w:tcPr>
          <w:p>
            <w:pPr>
              <w:spacing w:after="0" w:line="252" w:lineRule="auto"/>
            </w:pPr>
            <w:r>
              <w:rPr>
                <w:sz w:val="19"/>
              </w:rPr>
              <w:t>Пройден протокол приёмки; показы выключены</w:t>
            </w:r>
          </w:p>
        </w:tc>
      </w:tr>
      <w:tr>
        <w:trPr>
          <w:cantSplit/>
        </w:trPr>
        <w:tc>
          <w:tcPr>
            <w:tcW w:type="dxa" w:w="1814"/>
            <w:vAlign w:val="top"/>
          </w:tcPr>
          <w:p>
            <w:pPr>
              <w:spacing w:after="0" w:line="252" w:lineRule="auto"/>
            </w:pPr>
            <w:r>
              <w:rPr>
                <w:sz w:val="19"/>
              </w:rPr>
              <w:t>Первые коммерческие направления</w:t>
            </w:r>
          </w:p>
        </w:tc>
        <w:tc>
          <w:tcPr>
            <w:tcW w:type="dxa" w:w="3969"/>
            <w:vAlign w:val="top"/>
          </w:tcPr>
          <w:p>
            <w:pPr>
              <w:spacing w:after="0" w:line="252" w:lineRule="auto"/>
            </w:pPr>
            <w:r>
              <w:rPr>
                <w:sz w:val="19"/>
              </w:rPr>
              <w:t>Обслуживание, смена подрядчика, сравнение пакетов и Кузет</w:t>
            </w:r>
          </w:p>
        </w:tc>
        <w:tc>
          <w:tcPr>
            <w:tcW w:type="dxa" w:w="3855"/>
            <w:vAlign w:val="top"/>
          </w:tcPr>
          <w:p>
            <w:pPr>
              <w:spacing w:after="0" w:line="252" w:lineRule="auto"/>
            </w:pPr>
            <w:r>
              <w:rPr>
                <w:sz w:val="19"/>
              </w:rPr>
              <w:t>Посадочные опубликованы и приняты; есть подходящие материалы</w:t>
            </w:r>
          </w:p>
        </w:tc>
      </w:tr>
      <w:tr>
        <w:trPr>
          <w:cantSplit/>
        </w:trPr>
        <w:tc>
          <w:tcPr>
            <w:tcW w:type="dxa" w:w="1814"/>
            <w:vAlign w:val="top"/>
          </w:tcPr>
          <w:p>
            <w:pPr>
              <w:spacing w:after="0" w:line="252" w:lineRule="auto"/>
            </w:pPr>
            <w:r>
              <w:rPr>
                <w:sz w:val="19"/>
              </w:rPr>
              <w:t>Доверие и кейсы</w:t>
            </w:r>
          </w:p>
        </w:tc>
        <w:tc>
          <w:tcPr>
            <w:tcW w:type="dxa" w:w="3969"/>
            <w:vAlign w:val="top"/>
          </w:tcPr>
          <w:p>
            <w:pPr>
              <w:spacing w:after="0" w:line="252" w:lineRule="auto"/>
            </w:pPr>
            <w:r>
              <w:rPr>
                <w:sz w:val="19"/>
              </w:rPr>
              <w:t>Отзывы, реальные работы и проверка результата</w:t>
            </w:r>
          </w:p>
        </w:tc>
        <w:tc>
          <w:tcPr>
            <w:tcW w:type="dxa" w:w="3855"/>
            <w:vAlign w:val="top"/>
          </w:tcPr>
          <w:p>
            <w:pPr>
              <w:spacing w:after="0" w:line="252" w:lineRule="auto"/>
            </w:pPr>
            <w:r>
              <w:rPr>
                <w:sz w:val="19"/>
              </w:rPr>
              <w:t>Подтверждены содержание, роль спикера и соответствие услуге</w:t>
            </w:r>
          </w:p>
        </w:tc>
      </w:tr>
      <w:tr>
        <w:trPr>
          <w:cantSplit/>
        </w:trPr>
        <w:tc>
          <w:tcPr>
            <w:tcW w:type="dxa" w:w="1814"/>
            <w:vAlign w:val="top"/>
          </w:tcPr>
          <w:p>
            <w:pPr>
              <w:spacing w:after="0" w:line="252" w:lineRule="auto"/>
            </w:pPr>
            <w:r>
              <w:rPr>
                <w:sz w:val="19"/>
              </w:rPr>
              <w:t>Документы, этап 5 медиаплана</w:t>
            </w:r>
          </w:p>
        </w:tc>
        <w:tc>
          <w:tcPr>
            <w:tcW w:type="dxa" w:w="3969"/>
            <w:vAlign w:val="top"/>
          </w:tcPr>
          <w:p>
            <w:pPr>
              <w:spacing w:after="0" w:line="252" w:lineRule="auto"/>
            </w:pPr>
            <w:r>
              <w:rPr>
                <w:sz w:val="19"/>
              </w:rPr>
              <w:t>Чек-листы и шаблоны для ЛПР → коммерческий следующий шаг</w:t>
            </w:r>
          </w:p>
        </w:tc>
        <w:tc>
          <w:tcPr>
            <w:tcW w:type="dxa" w:w="3855"/>
            <w:vAlign w:val="top"/>
          </w:tcPr>
          <w:p>
            <w:pPr>
              <w:spacing w:after="0" w:line="252" w:lineRule="auto"/>
            </w:pPr>
            <w:r>
              <w:rPr>
                <w:sz w:val="19"/>
              </w:rPr>
              <w:t>Разделены скачивание и заявка, проверены регион объекта и исключения</w:t>
            </w:r>
          </w:p>
        </w:tc>
      </w:tr>
      <w:tr>
        <w:trPr>
          <w:cantSplit/>
        </w:trPr>
        <w:tc>
          <w:tcPr>
            <w:tcW w:type="dxa" w:w="1814"/>
            <w:vAlign w:val="top"/>
          </w:tcPr>
          <w:p>
            <w:pPr>
              <w:spacing w:after="0" w:line="252" w:lineRule="auto"/>
            </w:pPr>
            <w:r>
              <w:rPr>
                <w:sz w:val="19"/>
              </w:rPr>
              <w:t>Расширение</w:t>
            </w:r>
          </w:p>
        </w:tc>
        <w:tc>
          <w:tcPr>
            <w:tcW w:type="dxa" w:w="3969"/>
            <w:vAlign w:val="top"/>
          </w:tcPr>
          <w:p>
            <w:pPr>
              <w:spacing w:after="0" w:line="252" w:lineRule="auto"/>
            </w:pPr>
            <w:r>
              <w:rPr>
                <w:sz w:val="19"/>
              </w:rPr>
              <w:t>Монтаж, срочный ремонт, модернизация, аудит; затем отраслевые группы</w:t>
            </w:r>
          </w:p>
        </w:tc>
        <w:tc>
          <w:tcPr>
            <w:tcW w:type="dxa" w:w="3855"/>
            <w:vAlign w:val="top"/>
          </w:tcPr>
          <w:p>
            <w:pPr>
              <w:spacing w:after="0" w:line="252" w:lineRule="auto"/>
            </w:pPr>
            <w:r>
              <w:rPr>
                <w:sz w:val="19"/>
              </w:rPr>
              <w:t>Готовы страницы, аудитории и экономика соответствующего направления</w:t>
            </w:r>
          </w:p>
        </w:tc>
      </w:tr>
    </w:tbl>
    <w:p>
      <w:pPr>
        <w:spacing w:after="40" w:before="0" w:line="240" w:lineRule="auto"/>
      </w:pPr>
      <w:r>
        <w:rPr>
          <w:sz w:val="4"/>
        </w:rPr>
      </w:r>
    </w:p>
    <w:p>
      <w:r>
        <w:t>Сбор сегментов по всем шести услугам готовится сразу, но платные показы не дробятся на множество малых групп. Сначала используются доступная общая база и приоритетные направления. Отдельная сервисная группа включается только при пригодной для показа аудитории и достаточных материалах. Общая группа доверия исключает участников аудитории активной сервисной группы, если кабинет поддерживает такое правило; пересечения проверяются до запуска. Исключение по фактическому показу рекламы — отдельная возможность, которую нельзя предполагать.</w:t>
      </w:r>
    </w:p>
    <w:p>
      <w:r>
        <w:t>Для посетителя обслуживания без заявки предлагаем показать реальные работы по ТО, подходящий отзыв и предложение расчёта обслуживания. Посетителю монтажа — результат пусконаладки и приёмки; посетителю аварийной страницы — диагностику и вызов инженера. Если человек посещал несколько услуг, принадлежность к каждой сохраняется; последнее посещение не считается автоматически текущей потребностью. При недостатке данных используется общий материал доверия без обещания конкретной услуги.</w:t>
      </w:r>
    </w:p>
    <w:p>
      <w:r>
        <w:t>Порядок роликов задаётся в специально настроенной YouTube-последовательности в пределах возможностей платформы. Обычный набор объявлений Instagram не обеспечивает показ каждого ролика по очереди. Единую последовательность и общую частоту между Meta и Google обеспечить этой интеграцией нельзя.</w:t>
      </w:r>
    </w:p>
    <w:p>
      <w:pPr>
        <w:pStyle w:val="Heading1"/>
      </w:pPr>
      <w:r>
        <w:t>3. Матрица услуг, страниц и намерений</w:t>
      </w:r>
    </w:p>
    <w:p>
      <w:r>
        <w:t>Все URL ниже — целевые маршруты из рабочего комплекта, а не подтверждение их текущей публикации. Приёмка проверяет ответ страницы, содержимое, форму, мобильную версию и канонический маршрут со слешем и без него. Параметры UTM не создают отдельные страницы или аудитории.</w:t>
      </w:r>
    </w:p>
    <w:tbl>
      <w:tblPr>
        <w:tblW w:type="auto" w:w="0"/>
        <w:jc w:val="center"/>
        <w:tblLayout w:type="fixed"/>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CellMar>
          <w:top w:w="65" w:type="dxa"/>
          <w:bottom w:w="65" w:type="dxa"/>
          <w:left w:w="90" w:type="dxa"/>
          <w:right w:w="90" w:type="dxa"/>
        </w:tblCellMar>
      </w:tblPr>
      <w:tblGrid>
        <w:gridCol w:w="1757"/>
        <w:gridCol w:w="1757"/>
        <w:gridCol w:w="2891"/>
        <w:gridCol w:w="3231"/>
      </w:tblGrid>
      <w:tr>
        <w:trPr>
          <w:cantSplit/>
          <w:tblHeader/>
        </w:trPr>
        <w:tc>
          <w:tcPr>
            <w:tcW w:type="dxa" w:w="1757"/>
            <w:vAlign w:val="top"/>
            <w:shd w:fill="F1F1F1"/>
          </w:tcPr>
          <w:p>
            <w:pPr>
              <w:spacing w:after="0" w:line="252" w:lineRule="auto"/>
            </w:pPr>
            <w:r>
              <w:rPr>
                <w:b/>
                <w:sz w:val="19"/>
              </w:rPr>
              <w:t>Направление</w:t>
            </w:r>
          </w:p>
        </w:tc>
        <w:tc>
          <w:tcPr>
            <w:tcW w:type="dxa" w:w="1757"/>
            <w:vAlign w:val="top"/>
            <w:shd w:fill="F1F1F1"/>
          </w:tcPr>
          <w:p>
            <w:pPr>
              <w:spacing w:after="0" w:line="252" w:lineRule="auto"/>
            </w:pPr>
            <w:r>
              <w:rPr>
                <w:b/>
                <w:sz w:val="19"/>
              </w:rPr>
              <w:t>Целевая страница</w:t>
            </w:r>
          </w:p>
        </w:tc>
        <w:tc>
          <w:tcPr>
            <w:tcW w:type="dxa" w:w="2891"/>
            <w:vAlign w:val="top"/>
            <w:shd w:fill="F1F1F1"/>
          </w:tcPr>
          <w:p>
            <w:pPr>
              <w:spacing w:after="0" w:line="252" w:lineRule="auto"/>
            </w:pPr>
            <w:r>
              <w:rPr>
                <w:b/>
                <w:sz w:val="19"/>
              </w:rPr>
              <w:t>Материал напоминания</w:t>
            </w:r>
          </w:p>
        </w:tc>
        <w:tc>
          <w:tcPr>
            <w:tcW w:type="dxa" w:w="3231"/>
            <w:vAlign w:val="top"/>
            <w:shd w:fill="F1F1F1"/>
          </w:tcPr>
          <w:p>
            <w:pPr>
              <w:spacing w:after="0" w:line="252" w:lineRule="auto"/>
            </w:pPr>
            <w:r>
              <w:rPr>
                <w:b/>
                <w:sz w:val="19"/>
              </w:rPr>
              <w:t>Коммерческий следующий шаг</w:t>
            </w:r>
          </w:p>
        </w:tc>
      </w:tr>
      <w:tr>
        <w:trPr>
          <w:cantSplit/>
        </w:trPr>
        <w:tc>
          <w:tcPr>
            <w:tcW w:type="dxa" w:w="1757"/>
            <w:vAlign w:val="top"/>
          </w:tcPr>
          <w:p>
            <w:pPr>
              <w:spacing w:after="0" w:line="252" w:lineRule="auto"/>
            </w:pPr>
            <w:r>
              <w:rPr>
                <w:sz w:val="19"/>
              </w:rPr>
              <w:t>Обслуживание</w:t>
            </w:r>
          </w:p>
        </w:tc>
        <w:tc>
          <w:tcPr>
            <w:tcW w:type="dxa" w:w="1757"/>
            <w:vAlign w:val="top"/>
          </w:tcPr>
          <w:p>
            <w:pPr>
              <w:spacing w:after="0" w:line="252" w:lineRule="auto"/>
            </w:pPr>
            <w:r>
              <w:rPr>
                <w:rFonts w:ascii="Consolas" w:hAnsi="Consolas"/>
                <w:sz w:val="19"/>
              </w:rPr>
              <w:t>/obsluzhivanie/</w:t>
            </w:r>
          </w:p>
        </w:tc>
        <w:tc>
          <w:tcPr>
            <w:tcW w:type="dxa" w:w="2891"/>
            <w:vAlign w:val="top"/>
          </w:tcPr>
          <w:p>
            <w:pPr>
              <w:spacing w:after="0" w:line="252" w:lineRule="auto"/>
            </w:pPr>
            <w:r>
              <w:rPr>
                <w:sz w:val="19"/>
              </w:rPr>
              <w:t>Работы по ТО, чистка и проверка датчиков, отзыв о регулярном обслуживании</w:t>
            </w:r>
          </w:p>
        </w:tc>
        <w:tc>
          <w:tcPr>
            <w:tcW w:type="dxa" w:w="3231"/>
            <w:vAlign w:val="top"/>
          </w:tcPr>
          <w:p>
            <w:pPr>
              <w:spacing w:after="0" w:line="252" w:lineRule="auto"/>
            </w:pPr>
            <w:r>
              <w:rPr>
                <w:sz w:val="19"/>
              </w:rPr>
              <w:t xml:space="preserve">Рассчитать обслуживание — </w:t>
            </w:r>
            <w:r>
              <w:rPr>
                <w:rFonts w:ascii="Consolas" w:hAnsi="Consolas"/>
                <w:sz w:val="19"/>
              </w:rPr>
              <w:t>calculate</w:t>
            </w:r>
          </w:p>
        </w:tc>
      </w:tr>
      <w:tr>
        <w:trPr>
          <w:cantSplit/>
        </w:trPr>
        <w:tc>
          <w:tcPr>
            <w:tcW w:type="dxa" w:w="1757"/>
            <w:vAlign w:val="top"/>
          </w:tcPr>
          <w:p>
            <w:pPr>
              <w:spacing w:after="0" w:line="252" w:lineRule="auto"/>
            </w:pPr>
            <w:r>
              <w:rPr>
                <w:sz w:val="19"/>
              </w:rPr>
              <w:t>Смена подрядчика</w:t>
            </w:r>
          </w:p>
        </w:tc>
        <w:tc>
          <w:tcPr>
            <w:tcW w:type="dxa" w:w="1757"/>
            <w:vAlign w:val="top"/>
          </w:tcPr>
          <w:p>
            <w:pPr>
              <w:spacing w:after="0" w:line="252" w:lineRule="auto"/>
            </w:pPr>
            <w:r>
              <w:rPr>
                <w:rFonts w:ascii="Consolas" w:hAnsi="Consolas"/>
                <w:sz w:val="19"/>
              </w:rPr>
              <w:t>/smena-podryadchika/</w:t>
            </w:r>
          </w:p>
        </w:tc>
        <w:tc>
          <w:tcPr>
            <w:tcW w:type="dxa" w:w="2891"/>
            <w:vAlign w:val="top"/>
          </w:tcPr>
          <w:p>
            <w:pPr>
              <w:spacing w:after="0" w:line="252" w:lineRule="auto"/>
            </w:pPr>
            <w:r>
              <w:rPr>
                <w:sz w:val="19"/>
              </w:rPr>
              <w:t>Причина перехода, передача документов, согласованный порядок начала ТО</w:t>
            </w:r>
          </w:p>
        </w:tc>
        <w:tc>
          <w:tcPr>
            <w:tcW w:type="dxa" w:w="3231"/>
            <w:vAlign w:val="top"/>
          </w:tcPr>
          <w:p>
            <w:pPr>
              <w:spacing w:after="0" w:line="252" w:lineRule="auto"/>
            </w:pPr>
            <w:r>
              <w:rPr>
                <w:sz w:val="19"/>
              </w:rPr>
              <w:t xml:space="preserve">Рассчитать обслуживание — </w:t>
            </w:r>
            <w:r>
              <w:rPr>
                <w:rFonts w:ascii="Consolas" w:hAnsi="Consolas"/>
                <w:sz w:val="19"/>
              </w:rPr>
              <w:t>calculate</w:t>
            </w:r>
            <w:r>
              <w:rPr>
                <w:sz w:val="19"/>
              </w:rPr>
              <w:t xml:space="preserve">; выезд — только отдельный </w:t>
            </w:r>
            <w:r>
              <w:rPr>
                <w:rFonts w:ascii="Consolas" w:hAnsi="Consolas"/>
                <w:sz w:val="19"/>
              </w:rPr>
              <w:t>engineer_visit</w:t>
            </w:r>
          </w:p>
        </w:tc>
      </w:tr>
      <w:tr>
        <w:trPr>
          <w:cantSplit/>
        </w:trPr>
        <w:tc>
          <w:tcPr>
            <w:tcW w:type="dxa" w:w="1757"/>
            <w:vAlign w:val="top"/>
          </w:tcPr>
          <w:p>
            <w:pPr>
              <w:spacing w:after="0" w:line="252" w:lineRule="auto"/>
            </w:pPr>
            <w:r>
              <w:rPr>
                <w:sz w:val="19"/>
              </w:rPr>
              <w:t>Монтаж</w:t>
            </w:r>
          </w:p>
        </w:tc>
        <w:tc>
          <w:tcPr>
            <w:tcW w:type="dxa" w:w="1757"/>
            <w:vAlign w:val="top"/>
          </w:tcPr>
          <w:p>
            <w:pPr>
              <w:spacing w:after="0" w:line="252" w:lineRule="auto"/>
            </w:pPr>
            <w:r>
              <w:rPr>
                <w:rFonts w:ascii="Consolas" w:hAnsi="Consolas"/>
                <w:sz w:val="19"/>
              </w:rPr>
              <w:t>/montazh/</w:t>
            </w:r>
          </w:p>
        </w:tc>
        <w:tc>
          <w:tcPr>
            <w:tcW w:type="dxa" w:w="2891"/>
            <w:vAlign w:val="top"/>
          </w:tcPr>
          <w:p>
            <w:pPr>
              <w:spacing w:after="0" w:line="252" w:lineRule="auto"/>
            </w:pPr>
            <w:r>
              <w:rPr>
                <w:sz w:val="19"/>
              </w:rPr>
              <w:t>Объект, монтаж, пусконаладка, приёмка и тест результата</w:t>
            </w:r>
          </w:p>
        </w:tc>
        <w:tc>
          <w:tcPr>
            <w:tcW w:type="dxa" w:w="3231"/>
            <w:vAlign w:val="top"/>
          </w:tcPr>
          <w:p>
            <w:pPr>
              <w:spacing w:after="0" w:line="252" w:lineRule="auto"/>
            </w:pPr>
            <w:r>
              <w:rPr>
                <w:sz w:val="19"/>
              </w:rPr>
              <w:t xml:space="preserve">Рассчитать монтаж — </w:t>
            </w:r>
            <w:r>
              <w:rPr>
                <w:rFonts w:ascii="Consolas" w:hAnsi="Consolas"/>
                <w:sz w:val="19"/>
              </w:rPr>
              <w:t>calculate</w:t>
            </w:r>
          </w:p>
        </w:tc>
      </w:tr>
      <w:tr>
        <w:trPr>
          <w:cantSplit/>
        </w:trPr>
        <w:tc>
          <w:tcPr>
            <w:tcW w:type="dxa" w:w="1757"/>
            <w:vAlign w:val="top"/>
          </w:tcPr>
          <w:p>
            <w:pPr>
              <w:spacing w:after="0" w:line="252" w:lineRule="auto"/>
            </w:pPr>
            <w:r>
              <w:rPr>
                <w:sz w:val="19"/>
              </w:rPr>
              <w:t>Срочная сработка / ремонт</w:t>
            </w:r>
          </w:p>
        </w:tc>
        <w:tc>
          <w:tcPr>
            <w:tcW w:type="dxa" w:w="1757"/>
            <w:vAlign w:val="top"/>
          </w:tcPr>
          <w:p>
            <w:pPr>
              <w:spacing w:after="0" w:line="252" w:lineRule="auto"/>
            </w:pPr>
            <w:r>
              <w:rPr>
                <w:rFonts w:ascii="Consolas" w:hAnsi="Consolas"/>
                <w:sz w:val="19"/>
              </w:rPr>
              <w:t>/srabotka/</w:t>
            </w:r>
          </w:p>
        </w:tc>
        <w:tc>
          <w:tcPr>
            <w:tcW w:type="dxa" w:w="2891"/>
            <w:vAlign w:val="top"/>
          </w:tcPr>
          <w:p>
            <w:pPr>
              <w:spacing w:after="0" w:line="252" w:lineRule="auto"/>
            </w:pPr>
            <w:r>
              <w:rPr>
                <w:sz w:val="19"/>
              </w:rPr>
              <w:t>Диагностика конкретного симптома и проверка после работ</w:t>
            </w:r>
          </w:p>
        </w:tc>
        <w:tc>
          <w:tcPr>
            <w:tcW w:type="dxa" w:w="3231"/>
            <w:vAlign w:val="top"/>
          </w:tcPr>
          <w:p>
            <w:pPr>
              <w:spacing w:after="0" w:line="252" w:lineRule="auto"/>
            </w:pPr>
            <w:r>
              <w:rPr>
                <w:sz w:val="19"/>
              </w:rPr>
              <w:t xml:space="preserve">Вызвать инженера — </w:t>
            </w:r>
            <w:r>
              <w:rPr>
                <w:rFonts w:ascii="Consolas" w:hAnsi="Consolas"/>
                <w:sz w:val="19"/>
              </w:rPr>
              <w:t>engineer_visit</w:t>
            </w:r>
          </w:p>
        </w:tc>
      </w:tr>
      <w:tr>
        <w:trPr>
          <w:cantSplit/>
        </w:trPr>
        <w:tc>
          <w:tcPr>
            <w:tcW w:type="dxa" w:w="1757"/>
            <w:vAlign w:val="top"/>
          </w:tcPr>
          <w:p>
            <w:pPr>
              <w:spacing w:after="0" w:line="252" w:lineRule="auto"/>
            </w:pPr>
            <w:r>
              <w:rPr>
                <w:sz w:val="19"/>
              </w:rPr>
              <w:t>Модернизация</w:t>
            </w:r>
          </w:p>
        </w:tc>
        <w:tc>
          <w:tcPr>
            <w:tcW w:type="dxa" w:w="1757"/>
            <w:vAlign w:val="top"/>
          </w:tcPr>
          <w:p>
            <w:pPr>
              <w:spacing w:after="0" w:line="252" w:lineRule="auto"/>
            </w:pPr>
            <w:r>
              <w:rPr>
                <w:rFonts w:ascii="Consolas" w:hAnsi="Consolas"/>
                <w:sz w:val="19"/>
              </w:rPr>
              <w:t>/modernizaciya/</w:t>
            </w:r>
          </w:p>
        </w:tc>
        <w:tc>
          <w:tcPr>
            <w:tcW w:type="dxa" w:w="2891"/>
            <w:vAlign w:val="top"/>
          </w:tcPr>
          <w:p>
            <w:pPr>
              <w:spacing w:after="0" w:line="252" w:lineRule="auto"/>
            </w:pPr>
            <w:r>
              <w:rPr>
                <w:sz w:val="19"/>
              </w:rPr>
              <w:t>Исходное состояние, обоснование изменений, результат</w:t>
            </w:r>
          </w:p>
        </w:tc>
        <w:tc>
          <w:tcPr>
            <w:tcW w:type="dxa" w:w="3231"/>
            <w:vAlign w:val="top"/>
          </w:tcPr>
          <w:p>
            <w:pPr>
              <w:spacing w:after="0" w:line="252" w:lineRule="auto"/>
            </w:pPr>
            <w:r>
              <w:rPr>
                <w:sz w:val="19"/>
              </w:rPr>
              <w:t xml:space="preserve">Рассчитать модернизацию — </w:t>
            </w:r>
            <w:r>
              <w:rPr>
                <w:rFonts w:ascii="Consolas" w:hAnsi="Consolas"/>
                <w:sz w:val="19"/>
              </w:rPr>
              <w:t>calculate</w:t>
            </w:r>
          </w:p>
        </w:tc>
      </w:tr>
      <w:tr>
        <w:trPr>
          <w:cantSplit/>
        </w:trPr>
        <w:tc>
          <w:tcPr>
            <w:tcW w:type="dxa" w:w="1757"/>
            <w:vAlign w:val="top"/>
          </w:tcPr>
          <w:p>
            <w:pPr>
              <w:spacing w:after="0" w:line="252" w:lineRule="auto"/>
            </w:pPr>
            <w:r>
              <w:rPr>
                <w:sz w:val="19"/>
              </w:rPr>
              <w:t>Аудит</w:t>
            </w:r>
          </w:p>
        </w:tc>
        <w:tc>
          <w:tcPr>
            <w:tcW w:type="dxa" w:w="1757"/>
            <w:vAlign w:val="top"/>
          </w:tcPr>
          <w:p>
            <w:pPr>
              <w:spacing w:after="0" w:line="252" w:lineRule="auto"/>
            </w:pPr>
            <w:r>
              <w:rPr>
                <w:rFonts w:ascii="Consolas" w:hAnsi="Consolas"/>
                <w:sz w:val="19"/>
              </w:rPr>
              <w:t>/audit/</w:t>
            </w:r>
          </w:p>
        </w:tc>
        <w:tc>
          <w:tcPr>
            <w:tcW w:type="dxa" w:w="2891"/>
            <w:vAlign w:val="top"/>
          </w:tcPr>
          <w:p>
            <w:pPr>
              <w:spacing w:after="0" w:line="252" w:lineRule="auto"/>
            </w:pPr>
            <w:r>
              <w:rPr>
                <w:sz w:val="19"/>
              </w:rPr>
              <w:t>Проверка системы и документов, пример вывода и дальнейшего плана</w:t>
            </w:r>
          </w:p>
        </w:tc>
        <w:tc>
          <w:tcPr>
            <w:tcW w:type="dxa" w:w="3231"/>
            <w:vAlign w:val="top"/>
          </w:tcPr>
          <w:p>
            <w:pPr>
              <w:spacing w:after="0" w:line="252" w:lineRule="auto"/>
            </w:pPr>
            <w:r>
              <w:rPr>
                <w:sz w:val="19"/>
              </w:rPr>
              <w:t xml:space="preserve">Записаться на аудит — </w:t>
            </w:r>
            <w:r>
              <w:rPr>
                <w:rFonts w:ascii="Consolas" w:hAnsi="Consolas"/>
                <w:sz w:val="19"/>
              </w:rPr>
              <w:t>audit_booking</w:t>
            </w:r>
          </w:p>
        </w:tc>
      </w:tr>
      <w:tr>
        <w:trPr>
          <w:cantSplit/>
        </w:trPr>
        <w:tc>
          <w:tcPr>
            <w:tcW w:type="dxa" w:w="1757"/>
            <w:vAlign w:val="top"/>
          </w:tcPr>
          <w:p>
            <w:pPr>
              <w:spacing w:after="0" w:line="252" w:lineRule="auto"/>
            </w:pPr>
            <w:r>
              <w:rPr>
                <w:sz w:val="19"/>
              </w:rPr>
              <w:t>Кузет, внутри обслуживания</w:t>
            </w:r>
          </w:p>
        </w:tc>
        <w:tc>
          <w:tcPr>
            <w:tcW w:type="dxa" w:w="1757"/>
            <w:vAlign w:val="top"/>
          </w:tcPr>
          <w:p>
            <w:pPr>
              <w:spacing w:after="0" w:line="252" w:lineRule="auto"/>
            </w:pPr>
            <w:r>
              <w:rPr>
                <w:rFonts w:ascii="Consolas" w:hAnsi="Consolas"/>
                <w:sz w:val="19"/>
              </w:rPr>
              <w:t>/kuzet/</w:t>
            </w:r>
          </w:p>
        </w:tc>
        <w:tc>
          <w:tcPr>
            <w:tcW w:type="dxa" w:w="2891"/>
            <w:vAlign w:val="top"/>
          </w:tcPr>
          <w:p>
            <w:pPr>
              <w:spacing w:after="0" w:line="252" w:lineRule="auto"/>
            </w:pPr>
            <w:r>
              <w:rPr>
                <w:sz w:val="19"/>
              </w:rPr>
              <w:t>Объяснение пакета и подтверждённый пример для подходящего объекта</w:t>
            </w:r>
          </w:p>
        </w:tc>
        <w:tc>
          <w:tcPr>
            <w:tcW w:type="dxa" w:w="3231"/>
            <w:vAlign w:val="top"/>
          </w:tcPr>
          <w:p>
            <w:pPr>
              <w:spacing w:after="0" w:line="252" w:lineRule="auto"/>
            </w:pPr>
            <w:r>
              <w:rPr>
                <w:sz w:val="19"/>
              </w:rPr>
              <w:t xml:space="preserve">Рассчитать — </w:t>
            </w:r>
            <w:r>
              <w:rPr>
                <w:rFonts w:ascii="Consolas" w:hAnsi="Consolas"/>
                <w:sz w:val="19"/>
              </w:rPr>
              <w:t>calculate</w:t>
            </w:r>
            <w:r>
              <w:rPr>
                <w:sz w:val="19"/>
              </w:rPr>
              <w:t xml:space="preserve">, </w:t>
            </w:r>
            <w:r>
              <w:rPr>
                <w:rFonts w:ascii="Consolas" w:hAnsi="Consolas"/>
                <w:sz w:val="19"/>
              </w:rPr>
              <w:t>customer_type=new</w:t>
            </w:r>
          </w:p>
        </w:tc>
      </w:tr>
    </w:tbl>
    <w:p>
      <w:pPr>
        <w:spacing w:after="40" w:before="0" w:line="240" w:lineRule="auto"/>
      </w:pPr>
      <w:r>
        <w:rPr>
          <w:sz w:val="4"/>
        </w:rPr>
      </w:r>
    </w:p>
    <w:p>
      <w:r>
        <w:rPr>
          <w:rFonts w:ascii="Consolas" w:hAnsi="Consolas"/>
          <w:sz w:val="18"/>
        </w:rPr>
        <w:t>service_type</w:t>
      </w:r>
      <w:r>
        <w:t xml:space="preserve"> берётся из реестра pathname в опубликованном GTM и предмета обращения. В каноническом справочнике предусмотрены: обслуживание — </w:t>
      </w:r>
      <w:r>
        <w:rPr>
          <w:rFonts w:ascii="Consolas" w:hAnsi="Consolas"/>
          <w:sz w:val="18"/>
        </w:rPr>
        <w:t>aps_maintenance</w:t>
      </w:r>
      <w:r>
        <w:t xml:space="preserve">, модернизация — </w:t>
      </w:r>
      <w:r>
        <w:rPr>
          <w:rFonts w:ascii="Consolas" w:hAnsi="Consolas"/>
          <w:sz w:val="18"/>
        </w:rPr>
        <w:t>aps_modernization</w:t>
      </w:r>
      <w:r>
        <w:t xml:space="preserve">, аудит — </w:t>
      </w:r>
      <w:r>
        <w:rPr>
          <w:rFonts w:ascii="Consolas" w:hAnsi="Consolas"/>
          <w:sz w:val="18"/>
        </w:rPr>
        <w:t>fire_audit</w:t>
      </w:r>
      <w:r>
        <w:t xml:space="preserve">, Кузет — </w:t>
      </w:r>
      <w:r>
        <w:rPr>
          <w:rFonts w:ascii="Consolas" w:hAnsi="Consolas"/>
          <w:sz w:val="18"/>
        </w:rPr>
        <w:t>kuzet_retail</w:t>
      </w:r>
      <w:r>
        <w:t xml:space="preserve">. Для монтажа зарегистрированы </w:t>
      </w:r>
      <w:r>
        <w:rPr>
          <w:rFonts w:ascii="Consolas" w:hAnsi="Consolas"/>
          <w:sz w:val="18"/>
        </w:rPr>
        <w:t>installation</w:t>
      </w:r>
      <w:r>
        <w:t xml:space="preserve"> и </w:t>
      </w:r>
      <w:r>
        <w:rPr>
          <w:rFonts w:ascii="Consolas" w:hAnsi="Consolas"/>
          <w:sz w:val="18"/>
        </w:rPr>
        <w:t>aps_installation</w:t>
      </w:r>
      <w:r>
        <w:t xml:space="preserve">, для аварийного направления — </w:t>
      </w:r>
      <w:r>
        <w:rPr>
          <w:rFonts w:ascii="Consolas" w:hAnsi="Consolas"/>
          <w:sz w:val="18"/>
        </w:rPr>
        <w:t>emergency_visit</w:t>
      </w:r>
      <w:r>
        <w:t xml:space="preserve">, </w:t>
      </w:r>
      <w:r>
        <w:rPr>
          <w:rFonts w:ascii="Consolas" w:hAnsi="Consolas"/>
          <w:sz w:val="18"/>
        </w:rPr>
        <w:t>emergency_service</w:t>
      </w:r>
      <w:r>
        <w:t xml:space="preserve">, </w:t>
      </w:r>
      <w:r>
        <w:rPr>
          <w:rFonts w:ascii="Consolas" w:hAnsi="Consolas"/>
          <w:sz w:val="18"/>
        </w:rPr>
        <w:t>lead_srabotka</w:t>
      </w:r>
      <w:r>
        <w:t xml:space="preserve">, </w:t>
      </w:r>
      <w:r>
        <w:rPr>
          <w:rFonts w:ascii="Consolas" w:hAnsi="Consolas"/>
          <w:sz w:val="18"/>
        </w:rPr>
        <w:t>aps_repair</w:t>
      </w:r>
      <w:r>
        <w:t>. Фактическую привязку проверить по реестру и тесту: исполнитель сохраняет установленный код конкретной формы, а не выбирает произвольный новый псевдоним. Для смены подрядчика код уточняется по реестру и выбранному предмету обращения; название страницы не превращается в код услуги.</w:t>
      </w:r>
    </w:p>
    <w:p>
      <w:r>
        <w:t xml:space="preserve">Поле </w:t>
      </w:r>
      <w:r>
        <w:rPr>
          <w:rFonts w:ascii="Consolas" w:hAnsi="Consolas"/>
          <w:sz w:val="18"/>
        </w:rPr>
        <w:t>service</w:t>
      </w:r>
      <w:r>
        <w:t xml:space="preserve"> запрещено. Кузет не создаёт новую CRM-воронку автоматически. Отрасль объекта, ICP и предмет обращения не смешиваются: </w:t>
      </w:r>
      <w:r>
        <w:rPr>
          <w:rFonts w:ascii="Consolas" w:hAnsi="Consolas"/>
          <w:sz w:val="18"/>
        </w:rPr>
        <w:t>icp_type</w:t>
      </w:r>
      <w:r>
        <w:t xml:space="preserve"> описывает сценарий, </w:t>
      </w:r>
      <w:r>
        <w:rPr>
          <w:rFonts w:ascii="Consolas" w:hAnsi="Consolas"/>
          <w:sz w:val="18"/>
        </w:rPr>
        <w:t>icp_class</w:t>
      </w:r>
      <w:r>
        <w:t xml:space="preserve"> — качество лида. UTM описывает рекламу и не подменяет </w:t>
      </w:r>
      <w:r>
        <w:rPr>
          <w:rFonts w:ascii="Consolas" w:hAnsi="Consolas"/>
          <w:sz w:val="18"/>
        </w:rPr>
        <w:t>service_type</w:t>
      </w:r>
      <w:r>
        <w:t xml:space="preserve"> или </w:t>
      </w:r>
      <w:r>
        <w:rPr>
          <w:rFonts w:ascii="Consolas" w:hAnsi="Consolas"/>
          <w:sz w:val="18"/>
        </w:rPr>
        <w:t>requested_action</w:t>
      </w:r>
      <w:r>
        <w:t>.</w:t>
      </w:r>
    </w:p>
    <w:p>
      <w:pPr>
        <w:pStyle w:val="Heading1"/>
      </w:pPr>
      <w:r>
        <w:t>4. Аудитории и исключения</w:t>
      </w:r>
    </w:p>
    <w:p>
      <w:r>
        <w:t>Аудитории каждой платформы формируются её собственным разрешённым источником. Список Google не переносится в Meta автоматически. Один человек может быть распознан не на всех устройствах и площадках; посещение сайта не гарантирует последующий показ.</w:t>
      </w:r>
    </w:p>
    <w:tbl>
      <w:tblPr>
        <w:tblW w:type="auto" w:w="0"/>
        <w:jc w:val="center"/>
        <w:tblLayout w:type="fixed"/>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CellMar>
          <w:top w:w="65" w:type="dxa"/>
          <w:bottom w:w="65" w:type="dxa"/>
          <w:left w:w="90" w:type="dxa"/>
          <w:right w:w="90" w:type="dxa"/>
        </w:tblCellMar>
      </w:tblPr>
      <w:tblGrid>
        <w:gridCol w:w="1871"/>
        <w:gridCol w:w="3969"/>
        <w:gridCol w:w="3798"/>
      </w:tblGrid>
      <w:tr>
        <w:trPr>
          <w:cantSplit/>
          <w:tblHeader/>
        </w:trPr>
        <w:tc>
          <w:tcPr>
            <w:tcW w:type="dxa" w:w="1871"/>
            <w:vAlign w:val="top"/>
            <w:shd w:fill="F1F1F1"/>
          </w:tcPr>
          <w:p>
            <w:pPr>
              <w:spacing w:after="0" w:line="252" w:lineRule="auto"/>
            </w:pPr>
            <w:r>
              <w:rPr>
                <w:b/>
                <w:sz w:val="19"/>
              </w:rPr>
              <w:t>Сегмент</w:t>
            </w:r>
          </w:p>
        </w:tc>
        <w:tc>
          <w:tcPr>
            <w:tcW w:type="dxa" w:w="3969"/>
            <w:vAlign w:val="top"/>
            <w:shd w:fill="F1F1F1"/>
          </w:tcPr>
          <w:p>
            <w:pPr>
              <w:spacing w:after="0" w:line="252" w:lineRule="auto"/>
            </w:pPr>
            <w:r>
              <w:rPr>
                <w:b/>
                <w:sz w:val="19"/>
              </w:rPr>
              <w:t>Правило сбора</w:t>
            </w:r>
          </w:p>
        </w:tc>
        <w:tc>
          <w:tcPr>
            <w:tcW w:type="dxa" w:w="3798"/>
            <w:vAlign w:val="top"/>
            <w:shd w:fill="F1F1F1"/>
          </w:tcPr>
          <w:p>
            <w:pPr>
              <w:spacing w:after="0" w:line="252" w:lineRule="auto"/>
            </w:pPr>
            <w:r>
              <w:rPr>
                <w:b/>
                <w:sz w:val="19"/>
              </w:rPr>
              <w:t>Окно и применение</w:t>
            </w:r>
          </w:p>
        </w:tc>
      </w:tr>
      <w:tr>
        <w:trPr>
          <w:cantSplit/>
        </w:trPr>
        <w:tc>
          <w:tcPr>
            <w:tcW w:type="dxa" w:w="1871"/>
            <w:vAlign w:val="top"/>
          </w:tcPr>
          <w:p>
            <w:pPr>
              <w:spacing w:after="0" w:line="252" w:lineRule="auto"/>
            </w:pPr>
            <w:r>
              <w:rPr>
                <w:sz w:val="19"/>
              </w:rPr>
              <w:t>Все посетители</w:t>
            </w:r>
          </w:p>
        </w:tc>
        <w:tc>
          <w:tcPr>
            <w:tcW w:type="dxa" w:w="3969"/>
            <w:vAlign w:val="top"/>
          </w:tcPr>
          <w:p>
            <w:pPr>
              <w:spacing w:after="0" w:line="252" w:lineRule="auto"/>
            </w:pPr>
            <w:r>
              <w:rPr>
                <w:sz w:val="19"/>
              </w:rPr>
              <w:t>Все разрешённые маршруты согласованного реестра, включая кейсы и документы; дополнительно сегментировать по намерению</w:t>
            </w:r>
          </w:p>
        </w:tc>
        <w:tc>
          <w:tcPr>
            <w:tcW w:type="dxa" w:w="3798"/>
            <w:vAlign w:val="top"/>
          </w:tcPr>
          <w:p>
            <w:pPr>
              <w:spacing w:after="0" w:line="252" w:lineRule="auto"/>
            </w:pPr>
            <w:r>
              <w:rPr>
                <w:sz w:val="19"/>
              </w:rPr>
              <w:t>Базовое окно 30 дней; Meta также 90 дней по общему стандарту; текущие списки автоматически не сужать</w:t>
            </w:r>
          </w:p>
        </w:tc>
      </w:tr>
      <w:tr>
        <w:trPr>
          <w:cantSplit/>
        </w:trPr>
        <w:tc>
          <w:tcPr>
            <w:tcW w:type="dxa" w:w="1871"/>
            <w:vAlign w:val="top"/>
          </w:tcPr>
          <w:p>
            <w:pPr>
              <w:spacing w:after="0" w:line="252" w:lineRule="auto"/>
            </w:pPr>
            <w:r>
              <w:rPr>
                <w:sz w:val="19"/>
              </w:rPr>
              <w:t>Посетители услуги</w:t>
            </w:r>
          </w:p>
        </w:tc>
        <w:tc>
          <w:tcPr>
            <w:tcW w:type="dxa" w:w="3969"/>
            <w:vAlign w:val="top"/>
          </w:tcPr>
          <w:p>
            <w:pPr>
              <w:spacing w:after="0" w:line="252" w:lineRule="auto"/>
            </w:pPr>
            <w:r>
              <w:rPr>
                <w:sz w:val="19"/>
              </w:rPr>
              <w:t>Нормализованный pathname соответствующей страницы</w:t>
            </w:r>
          </w:p>
        </w:tc>
        <w:tc>
          <w:tcPr>
            <w:tcW w:type="dxa" w:w="3798"/>
            <w:vAlign w:val="top"/>
          </w:tcPr>
          <w:p>
            <w:pPr>
              <w:spacing w:after="0" w:line="252" w:lineRule="auto"/>
            </w:pPr>
            <w:r>
              <w:rPr>
                <w:sz w:val="19"/>
              </w:rPr>
              <w:t>Подготовить 30/90 дней; доступные окна и статус проверить в каждой платформе</w:t>
            </w:r>
          </w:p>
        </w:tc>
      </w:tr>
      <w:tr>
        <w:trPr>
          <w:cantSplit/>
        </w:trPr>
        <w:tc>
          <w:tcPr>
            <w:tcW w:type="dxa" w:w="1871"/>
            <w:vAlign w:val="top"/>
          </w:tcPr>
          <w:p>
            <w:pPr>
              <w:spacing w:after="0" w:line="252" w:lineRule="auto"/>
            </w:pPr>
            <w:r>
              <w:rPr>
                <w:sz w:val="19"/>
              </w:rPr>
              <w:t>Заинтересованные посетители</w:t>
            </w:r>
          </w:p>
        </w:tc>
        <w:tc>
          <w:tcPr>
            <w:tcW w:type="dxa" w:w="3969"/>
            <w:vAlign w:val="top"/>
          </w:tcPr>
          <w:p>
            <w:pPr>
              <w:spacing w:after="0" w:line="252" w:lineRule="auto"/>
            </w:pPr>
            <w:r>
              <w:rPr>
                <w:sz w:val="19"/>
              </w:rPr>
              <w:t>Разрешённые события CTA, начала формы, завершения калькулятора с контекстом услуги</w:t>
            </w:r>
          </w:p>
        </w:tc>
        <w:tc>
          <w:tcPr>
            <w:tcW w:type="dxa" w:w="3798"/>
            <w:vAlign w:val="top"/>
          </w:tcPr>
          <w:p>
            <w:pPr>
              <w:spacing w:after="0" w:line="252" w:lineRule="auto"/>
            </w:pPr>
            <w:r>
              <w:rPr>
                <w:sz w:val="19"/>
              </w:rPr>
              <w:t>Дополнительный сегмент при достаточном размере; событие не считается заявкой</w:t>
            </w:r>
          </w:p>
        </w:tc>
      </w:tr>
      <w:tr>
        <w:trPr>
          <w:cantSplit/>
        </w:trPr>
        <w:tc>
          <w:tcPr>
            <w:tcW w:type="dxa" w:w="1871"/>
            <w:vAlign w:val="top"/>
          </w:tcPr>
          <w:p>
            <w:pPr>
              <w:spacing w:after="0" w:line="252" w:lineRule="auto"/>
            </w:pPr>
            <w:r>
              <w:rPr>
                <w:sz w:val="19"/>
              </w:rPr>
              <w:t>Коммерческие заявители</w:t>
            </w:r>
          </w:p>
        </w:tc>
        <w:tc>
          <w:tcPr>
            <w:tcW w:type="dxa" w:w="3969"/>
            <w:vAlign w:val="top"/>
          </w:tcPr>
          <w:p>
            <w:pPr>
              <w:spacing w:after="0" w:line="252" w:lineRule="auto"/>
            </w:pPr>
            <w:r>
              <w:rPr>
                <w:sz w:val="19"/>
              </w:rPr>
              <w:t xml:space="preserve">Подтверждённая приёмщиком заявка с коммерческим </w:t>
            </w:r>
            <w:r>
              <w:rPr>
                <w:rFonts w:ascii="Consolas" w:hAnsi="Consolas"/>
                <w:sz w:val="19"/>
              </w:rPr>
              <w:t>requested_action</w:t>
            </w:r>
          </w:p>
        </w:tc>
        <w:tc>
          <w:tcPr>
            <w:tcW w:type="dxa" w:w="3798"/>
            <w:vAlign w:val="top"/>
          </w:tcPr>
          <w:p>
            <w:pPr>
              <w:spacing w:after="0" w:line="252" w:lineRule="auto"/>
            </w:pPr>
            <w:r>
              <w:rPr>
                <w:sz w:val="19"/>
              </w:rPr>
              <w:t>Исключаются из рекламы получения новой заявки; правило применяется явно</w:t>
            </w:r>
          </w:p>
        </w:tc>
      </w:tr>
      <w:tr>
        <w:trPr>
          <w:cantSplit/>
        </w:trPr>
        <w:tc>
          <w:tcPr>
            <w:tcW w:type="dxa" w:w="1871"/>
            <w:vAlign w:val="top"/>
          </w:tcPr>
          <w:p>
            <w:pPr>
              <w:spacing w:after="0" w:line="252" w:lineRule="auto"/>
            </w:pPr>
            <w:r>
              <w:rPr>
                <w:sz w:val="19"/>
              </w:rPr>
              <w:t>Получатели документов</w:t>
            </w:r>
          </w:p>
        </w:tc>
        <w:tc>
          <w:tcPr>
            <w:tcW w:type="dxa" w:w="3969"/>
            <w:vAlign w:val="top"/>
          </w:tcPr>
          <w:p>
            <w:pPr>
              <w:spacing w:after="0" w:line="252" w:lineRule="auto"/>
            </w:pPr>
            <w:r>
              <w:rPr>
                <w:rFonts w:ascii="Consolas" w:hAnsi="Consolas"/>
                <w:sz w:val="19"/>
              </w:rPr>
              <w:t>requested_action=document_download</w:t>
            </w:r>
            <w:r>
              <w:rPr>
                <w:sz w:val="19"/>
              </w:rPr>
              <w:t xml:space="preserve">, контекст формы и </w:t>
            </w:r>
            <w:r>
              <w:rPr>
                <w:rFonts w:ascii="Consolas" w:hAnsi="Consolas"/>
                <w:sz w:val="19"/>
              </w:rPr>
              <w:t>pz_download_document</w:t>
            </w:r>
            <w:r>
              <w:rPr>
                <w:sz w:val="19"/>
              </w:rPr>
              <w:t xml:space="preserve"> с </w:t>
            </w:r>
            <w:r>
              <w:rPr>
                <w:rFonts w:ascii="Consolas" w:hAnsi="Consolas"/>
                <w:sz w:val="19"/>
              </w:rPr>
              <w:t>file_name</w:t>
            </w:r>
          </w:p>
        </w:tc>
        <w:tc>
          <w:tcPr>
            <w:tcW w:type="dxa" w:w="3798"/>
            <w:vAlign w:val="top"/>
          </w:tcPr>
          <w:p>
            <w:pPr>
              <w:spacing w:after="0" w:line="252" w:lineRule="auto"/>
            </w:pPr>
            <w:r>
              <w:rPr>
                <w:sz w:val="19"/>
              </w:rPr>
              <w:t>Отдельный сценарий прогрева; не смешивать с коммерческими заявителями</w:t>
            </w:r>
          </w:p>
        </w:tc>
      </w:tr>
      <w:tr>
        <w:trPr>
          <w:cantSplit/>
        </w:trPr>
        <w:tc>
          <w:tcPr>
            <w:tcW w:type="dxa" w:w="1871"/>
            <w:vAlign w:val="top"/>
          </w:tcPr>
          <w:p>
            <w:pPr>
              <w:spacing w:after="0" w:line="252" w:lineRule="auto"/>
            </w:pPr>
            <w:r>
              <w:rPr>
                <w:sz w:val="19"/>
              </w:rPr>
              <w:t>Клиенты по договорам</w:t>
            </w:r>
          </w:p>
        </w:tc>
        <w:tc>
          <w:tcPr>
            <w:tcW w:type="dxa" w:w="3969"/>
            <w:vAlign w:val="top"/>
          </w:tcPr>
          <w:p>
            <w:pPr>
              <w:spacing w:after="0" w:line="252" w:lineRule="auto"/>
            </w:pPr>
            <w:r>
              <w:rPr>
                <w:sz w:val="19"/>
              </w:rPr>
              <w:t>Подтверждённый CRM-факт договора</w:t>
            </w:r>
          </w:p>
        </w:tc>
        <w:tc>
          <w:tcPr>
            <w:tcW w:type="dxa" w:w="3798"/>
            <w:vAlign w:val="top"/>
          </w:tcPr>
          <w:p>
            <w:pPr>
              <w:spacing w:after="0" w:line="252" w:lineRule="auto"/>
            </w:pPr>
            <w:r>
              <w:rPr>
                <w:sz w:val="19"/>
              </w:rPr>
              <w:t>Будущее отдельное исключение только при согласованном способе сопоставления и согласии; текущая интеграция его не обещает</w:t>
            </w:r>
          </w:p>
        </w:tc>
      </w:tr>
    </w:tbl>
    <w:p>
      <w:pPr>
        <w:spacing w:after="40" w:before="0" w:line="240" w:lineRule="auto"/>
      </w:pPr>
      <w:r>
        <w:rPr>
          <w:sz w:val="4"/>
        </w:rPr>
      </w:r>
    </w:p>
    <w:p>
      <w:r>
        <w:t>Исходные исключения из общих стандартов сохраняются: Meta — Lead за 180 дней, Google/YouTube — успешные формы за 540 дней в действующей комбинации. Создание списка само по себе никого не исключает: включение посетителей и исключение заявителей проверяются в сохранённых настройках каждой применяемой группы или комбинации.</w:t>
      </w:r>
    </w:p>
    <w:p>
      <w:r>
        <w:t>До подключения документов требуется согласованная миграция исключений. Проверить, попадает ли форма выдачи документа в общий Meta Lead и Google-список успешных форм. Если попадает, разделить коммерческих заявителей и получателей документов по каноническим полям, проверить новые правила и только затем подключить их к выключенным кампаниям. Действующие списки не очищать, не пересоздавать и не отключать автоматически. Общая форма успеха может остаться техническим событием, но не должна без классификации означать коммерческий результат во всех рекламных системах.</w:t>
      </w:r>
    </w:p>
    <w:p>
      <w:r>
        <w:t>В каждой платформе исполнитель выбирает поддерживаемый способ сегментации — URL-правила либо разрешённые события с параметрами. В протоколе указываются реально доступные фильтры. Если параметры нельзя использовать для строгого исключения, сначала дорабатывается и принимается общий маппинг; подмена его несуществующим фильтром запрещена.</w:t>
      </w:r>
    </w:p>
    <w:p>
      <w:r>
        <w:t>Для окна 90 дней при отдельной активной группе 30 дней использовать, где доступно, «90 дней минус 30 дней», чтобы группы не конкурировали за тех же посетителей. Если такое разделение недоступно или база мала, использовать одну согласованную группу. Переход на 90 дней расширяет давность собственной базы, но не разрешает показы новым людям.</w:t>
      </w:r>
    </w:p>
    <w:p>
      <w:pPr>
        <w:pStyle w:val="Heading1"/>
      </w:pPr>
      <w:r>
        <w:t>5. Контракт аналитики, формы и документы</w:t>
      </w:r>
    </w:p>
    <w:p>
      <w:r>
        <w:t xml:space="preserve">На каждой странице один общий GTM и один общий модуль аналитики. Новая страница добавляется в общий реестр, локальные копии Pixel, Google Ads и обработчиков конверсий не вставляются. Маршрут задаёт </w:t>
      </w:r>
      <w:r>
        <w:rPr>
          <w:rFonts w:ascii="Consolas" w:hAnsi="Consolas"/>
          <w:sz w:val="18"/>
        </w:rPr>
        <w:t>page_type</w:t>
      </w:r>
      <w:r>
        <w:t xml:space="preserve">, </w:t>
      </w:r>
      <w:r>
        <w:rPr>
          <w:rFonts w:ascii="Consolas" w:hAnsi="Consolas"/>
          <w:sz w:val="18"/>
        </w:rPr>
        <w:t>page_name</w:t>
      </w:r>
      <w:r>
        <w:t xml:space="preserve">, </w:t>
      </w:r>
      <w:r>
        <w:rPr>
          <w:rFonts w:ascii="Consolas" w:hAnsi="Consolas"/>
          <w:sz w:val="18"/>
        </w:rPr>
        <w:t>source_page</w:t>
      </w:r>
      <w:r>
        <w:t xml:space="preserve">, </w:t>
      </w:r>
      <w:r>
        <w:rPr>
          <w:rFonts w:ascii="Consolas" w:hAnsi="Consolas"/>
          <w:sz w:val="18"/>
        </w:rPr>
        <w:t>service_type</w:t>
      </w:r>
      <w:r>
        <w:t xml:space="preserve">, </w:t>
      </w:r>
      <w:r>
        <w:rPr>
          <w:rFonts w:ascii="Consolas" w:hAnsi="Consolas"/>
          <w:sz w:val="18"/>
        </w:rPr>
        <w:t>customer_type</w:t>
      </w:r>
      <w:r>
        <w:t xml:space="preserve">, </w:t>
      </w:r>
      <w:r>
        <w:rPr>
          <w:rFonts w:ascii="Consolas" w:hAnsi="Consolas"/>
          <w:sz w:val="18"/>
        </w:rPr>
        <w:t>form_name</w:t>
      </w:r>
      <w:r>
        <w:t xml:space="preserve">, </w:t>
      </w:r>
      <w:r>
        <w:rPr>
          <w:rFonts w:ascii="Consolas" w:hAnsi="Consolas"/>
          <w:sz w:val="18"/>
        </w:rPr>
        <w:t>form_location</w:t>
      </w:r>
      <w:r>
        <w:t xml:space="preserve">. Формы передают также </w:t>
      </w:r>
      <w:r>
        <w:rPr>
          <w:rFonts w:ascii="Consolas" w:hAnsi="Consolas"/>
          <w:sz w:val="18"/>
        </w:rPr>
        <w:t>page_url</w:t>
      </w:r>
      <w:r>
        <w:t xml:space="preserve">, </w:t>
      </w:r>
      <w:r>
        <w:rPr>
          <w:rFonts w:ascii="Consolas" w:hAnsi="Consolas"/>
          <w:sz w:val="18"/>
        </w:rPr>
        <w:t>page_path</w:t>
      </w:r>
      <w:r>
        <w:t xml:space="preserve">, </w:t>
      </w:r>
      <w:r>
        <w:rPr>
          <w:rFonts w:ascii="Consolas" w:hAnsi="Consolas"/>
          <w:sz w:val="18"/>
        </w:rPr>
        <w:t>page_title</w:t>
      </w:r>
      <w:r>
        <w:t xml:space="preserve">, </w:t>
      </w:r>
      <w:r>
        <w:rPr>
          <w:rFonts w:ascii="Consolas" w:hAnsi="Consolas"/>
          <w:sz w:val="18"/>
        </w:rPr>
        <w:t>form_id</w:t>
      </w:r>
      <w:r>
        <w:t xml:space="preserve">, </w:t>
      </w:r>
      <w:r>
        <w:rPr>
          <w:rFonts w:ascii="Consolas" w:hAnsi="Consolas"/>
          <w:sz w:val="18"/>
        </w:rPr>
        <w:t>requested_action</w:t>
      </w:r>
      <w:r>
        <w:t xml:space="preserve"> и согласованные поля атрибуции.</w:t>
      </w:r>
    </w:p>
    <w:tbl>
      <w:tblPr>
        <w:tblW w:type="auto" w:w="0"/>
        <w:jc w:val="center"/>
        <w:tblLayout w:type="fixed"/>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CellMar>
          <w:top w:w="65" w:type="dxa"/>
          <w:bottom w:w="65" w:type="dxa"/>
          <w:left w:w="90" w:type="dxa"/>
          <w:right w:w="90" w:type="dxa"/>
        </w:tblCellMar>
      </w:tblPr>
      <w:tblGrid>
        <w:gridCol w:w="2324"/>
        <w:gridCol w:w="2721"/>
        <w:gridCol w:w="4592"/>
      </w:tblGrid>
      <w:tr>
        <w:trPr>
          <w:cantSplit/>
          <w:tblHeader/>
        </w:trPr>
        <w:tc>
          <w:tcPr>
            <w:tcW w:type="dxa" w:w="2324"/>
            <w:vAlign w:val="top"/>
            <w:shd w:fill="F1F1F1"/>
          </w:tcPr>
          <w:p>
            <w:pPr>
              <w:spacing w:after="0" w:line="252" w:lineRule="auto"/>
            </w:pPr>
            <w:r>
              <w:rPr>
                <w:b/>
                <w:sz w:val="19"/>
              </w:rPr>
              <w:t>Событие / поле</w:t>
            </w:r>
          </w:p>
        </w:tc>
        <w:tc>
          <w:tcPr>
            <w:tcW w:type="dxa" w:w="2721"/>
            <w:vAlign w:val="top"/>
            <w:shd w:fill="F1F1F1"/>
          </w:tcPr>
          <w:p>
            <w:pPr>
              <w:spacing w:after="0" w:line="252" w:lineRule="auto"/>
            </w:pPr>
            <w:r>
              <w:rPr>
                <w:b/>
                <w:sz w:val="19"/>
              </w:rPr>
              <w:t>Назначение</w:t>
            </w:r>
          </w:p>
        </w:tc>
        <w:tc>
          <w:tcPr>
            <w:tcW w:type="dxa" w:w="4592"/>
            <w:vAlign w:val="top"/>
            <w:shd w:fill="F1F1F1"/>
          </w:tcPr>
          <w:p>
            <w:pPr>
              <w:spacing w:after="0" w:line="252" w:lineRule="auto"/>
            </w:pPr>
            <w:r>
              <w:rPr>
                <w:b/>
                <w:sz w:val="19"/>
              </w:rPr>
              <w:t>Требование</w:t>
            </w:r>
          </w:p>
        </w:tc>
      </w:tr>
      <w:tr>
        <w:trPr>
          <w:cantSplit/>
        </w:trPr>
        <w:tc>
          <w:tcPr>
            <w:tcW w:type="dxa" w:w="2324"/>
            <w:vAlign w:val="top"/>
          </w:tcPr>
          <w:p>
            <w:pPr>
              <w:spacing w:after="0" w:line="252" w:lineRule="auto"/>
            </w:pPr>
            <w:r>
              <w:rPr>
                <w:rFonts w:ascii="Consolas" w:hAnsi="Consolas"/>
                <w:sz w:val="19"/>
              </w:rPr>
              <w:t>pz_cta_click</w:t>
            </w:r>
          </w:p>
        </w:tc>
        <w:tc>
          <w:tcPr>
            <w:tcW w:type="dxa" w:w="2721"/>
            <w:vAlign w:val="top"/>
          </w:tcPr>
          <w:p>
            <w:pPr>
              <w:spacing w:after="0" w:line="252" w:lineRule="auto"/>
            </w:pPr>
            <w:r>
              <w:rPr>
                <w:sz w:val="19"/>
              </w:rPr>
              <w:t>Намерение перейти или связаться</w:t>
            </w:r>
          </w:p>
        </w:tc>
        <w:tc>
          <w:tcPr>
            <w:tcW w:type="dxa" w:w="4592"/>
            <w:vAlign w:val="top"/>
          </w:tcPr>
          <w:p>
            <w:pPr>
              <w:spacing w:after="0" w:line="252" w:lineRule="auto"/>
            </w:pPr>
            <w:r>
              <w:rPr>
                <w:sz w:val="19"/>
              </w:rPr>
              <w:t>Услуга, действие, место и текст CTA; клик не равен заявке</w:t>
            </w:r>
          </w:p>
        </w:tc>
      </w:tr>
      <w:tr>
        <w:trPr>
          <w:cantSplit/>
        </w:trPr>
        <w:tc>
          <w:tcPr>
            <w:tcW w:type="dxa" w:w="2324"/>
            <w:vAlign w:val="top"/>
          </w:tcPr>
          <w:p>
            <w:pPr>
              <w:spacing w:after="0" w:line="252" w:lineRule="auto"/>
            </w:pPr>
            <w:r>
              <w:rPr>
                <w:rFonts w:ascii="Consolas" w:hAnsi="Consolas"/>
                <w:sz w:val="19"/>
              </w:rPr>
              <w:t>pz_form_start</w:t>
            </w:r>
            <w:r>
              <w:rPr>
                <w:sz w:val="19"/>
              </w:rPr>
              <w:t xml:space="preserve">, </w:t>
            </w:r>
            <w:r>
              <w:rPr>
                <w:rFonts w:ascii="Consolas" w:hAnsi="Consolas"/>
                <w:sz w:val="19"/>
              </w:rPr>
              <w:t>pz_form_submit</w:t>
            </w:r>
          </w:p>
        </w:tc>
        <w:tc>
          <w:tcPr>
            <w:tcW w:type="dxa" w:w="2721"/>
            <w:vAlign w:val="top"/>
          </w:tcPr>
          <w:p>
            <w:pPr>
              <w:spacing w:after="0" w:line="252" w:lineRule="auto"/>
            </w:pPr>
            <w:r>
              <w:rPr>
                <w:sz w:val="19"/>
              </w:rPr>
              <w:t>Начало и попытка отправки</w:t>
            </w:r>
          </w:p>
        </w:tc>
        <w:tc>
          <w:tcPr>
            <w:tcW w:type="dxa" w:w="4592"/>
            <w:vAlign w:val="top"/>
          </w:tcPr>
          <w:p>
            <w:pPr>
              <w:spacing w:after="0" w:line="252" w:lineRule="auto"/>
            </w:pPr>
            <w:r>
              <w:rPr>
                <w:sz w:val="19"/>
              </w:rPr>
              <w:t>Не создают Lead и не пополняют исключение коммерческих заявителей</w:t>
            </w:r>
          </w:p>
        </w:tc>
      </w:tr>
      <w:tr>
        <w:trPr>
          <w:cantSplit/>
        </w:trPr>
        <w:tc>
          <w:tcPr>
            <w:tcW w:type="dxa" w:w="2324"/>
            <w:vAlign w:val="top"/>
          </w:tcPr>
          <w:p>
            <w:pPr>
              <w:spacing w:after="0" w:line="252" w:lineRule="auto"/>
            </w:pPr>
            <w:r>
              <w:rPr>
                <w:rFonts w:ascii="Consolas" w:hAnsi="Consolas"/>
                <w:sz w:val="19"/>
              </w:rPr>
              <w:t>pz_form_success</w:t>
            </w:r>
          </w:p>
        </w:tc>
        <w:tc>
          <w:tcPr>
            <w:tcW w:type="dxa" w:w="2721"/>
            <w:vAlign w:val="top"/>
          </w:tcPr>
          <w:p>
            <w:pPr>
              <w:spacing w:after="0" w:line="252" w:lineRule="auto"/>
            </w:pPr>
            <w:r>
              <w:rPr>
                <w:sz w:val="19"/>
              </w:rPr>
              <w:t>Приёмщик подтвердил принятие формы</w:t>
            </w:r>
          </w:p>
        </w:tc>
        <w:tc>
          <w:tcPr>
            <w:tcW w:type="dxa" w:w="4592"/>
            <w:vAlign w:val="top"/>
          </w:tcPr>
          <w:p>
            <w:pPr>
              <w:spacing w:after="0" w:line="252" w:lineRule="auto"/>
            </w:pPr>
            <w:r>
              <w:rPr>
                <w:sz w:val="19"/>
              </w:rPr>
              <w:t xml:space="preserve">Один успех одной заявки с исходным </w:t>
            </w:r>
            <w:r>
              <w:rPr>
                <w:rFonts w:ascii="Consolas" w:hAnsi="Consolas"/>
                <w:sz w:val="19"/>
              </w:rPr>
              <w:t>event_id</w:t>
            </w:r>
            <w:r>
              <w:rPr>
                <w:sz w:val="19"/>
              </w:rPr>
              <w:t>; HTTP-ответ сам по себе не доказывает успех</w:t>
            </w:r>
          </w:p>
        </w:tc>
      </w:tr>
      <w:tr>
        <w:trPr>
          <w:cantSplit/>
        </w:trPr>
        <w:tc>
          <w:tcPr>
            <w:tcW w:type="dxa" w:w="2324"/>
            <w:vAlign w:val="top"/>
          </w:tcPr>
          <w:p>
            <w:pPr>
              <w:spacing w:after="0" w:line="252" w:lineRule="auto"/>
            </w:pPr>
            <w:r>
              <w:rPr>
                <w:rFonts w:ascii="Consolas" w:hAnsi="Consolas"/>
                <w:sz w:val="19"/>
              </w:rPr>
              <w:t>generate_lead</w:t>
            </w:r>
          </w:p>
        </w:tc>
        <w:tc>
          <w:tcPr>
            <w:tcW w:type="dxa" w:w="2721"/>
            <w:vAlign w:val="top"/>
          </w:tcPr>
          <w:p>
            <w:pPr>
              <w:spacing w:after="0" w:line="252" w:lineRule="auto"/>
            </w:pPr>
            <w:r>
              <w:rPr>
                <w:sz w:val="19"/>
              </w:rPr>
              <w:t>Производное событие GA4 по контракту</w:t>
            </w:r>
          </w:p>
        </w:tc>
        <w:tc>
          <w:tcPr>
            <w:tcW w:type="dxa" w:w="4592"/>
            <w:vAlign w:val="top"/>
          </w:tcPr>
          <w:p>
            <w:pPr>
              <w:spacing w:after="0" w:line="252" w:lineRule="auto"/>
            </w:pPr>
            <w:r>
              <w:rPr>
                <w:sz w:val="19"/>
              </w:rPr>
              <w:t>Формируется общим модулем из принятого успеха; та же заявка и тот же ID</w:t>
            </w:r>
          </w:p>
        </w:tc>
      </w:tr>
      <w:tr>
        <w:trPr>
          <w:cantSplit/>
        </w:trPr>
        <w:tc>
          <w:tcPr>
            <w:tcW w:type="dxa" w:w="2324"/>
            <w:vAlign w:val="top"/>
          </w:tcPr>
          <w:p>
            <w:pPr>
              <w:spacing w:after="0" w:line="252" w:lineRule="auto"/>
            </w:pPr>
            <w:r>
              <w:rPr>
                <w:sz w:val="19"/>
              </w:rPr>
              <w:t>Meta Lead</w:t>
            </w:r>
          </w:p>
        </w:tc>
        <w:tc>
          <w:tcPr>
            <w:tcW w:type="dxa" w:w="2721"/>
            <w:vAlign w:val="top"/>
          </w:tcPr>
          <w:p>
            <w:pPr>
              <w:spacing w:after="0" w:line="252" w:lineRule="auto"/>
            </w:pPr>
            <w:r>
              <w:rPr>
                <w:sz w:val="19"/>
              </w:rPr>
              <w:t>Рекламное событие подтверждённого успеха</w:t>
            </w:r>
          </w:p>
        </w:tc>
        <w:tc>
          <w:tcPr>
            <w:tcW w:type="dxa" w:w="4592"/>
            <w:vAlign w:val="top"/>
          </w:tcPr>
          <w:p>
            <w:pPr>
              <w:spacing w:after="0" w:line="252" w:lineRule="auto"/>
            </w:pPr>
            <w:r>
              <w:rPr>
                <w:sz w:val="19"/>
              </w:rPr>
              <w:t xml:space="preserve">Только при разрешениях; единый Meta </w:t>
            </w:r>
            <w:r>
              <w:rPr>
                <w:rFonts w:ascii="Consolas" w:hAnsi="Consolas"/>
                <w:sz w:val="19"/>
              </w:rPr>
              <w:t>eventID</w:t>
            </w:r>
            <w:r>
              <w:rPr>
                <w:sz w:val="19"/>
              </w:rPr>
              <w:t>; коммерческий смысл проверяется для каждого типа формы</w:t>
            </w:r>
          </w:p>
        </w:tc>
      </w:tr>
      <w:tr>
        <w:trPr>
          <w:cantSplit/>
        </w:trPr>
        <w:tc>
          <w:tcPr>
            <w:tcW w:type="dxa" w:w="2324"/>
            <w:vAlign w:val="top"/>
          </w:tcPr>
          <w:p>
            <w:pPr>
              <w:spacing w:after="0" w:line="252" w:lineRule="auto"/>
            </w:pPr>
            <w:r>
              <w:rPr>
                <w:rFonts w:ascii="Consolas" w:hAnsi="Consolas"/>
                <w:sz w:val="19"/>
              </w:rPr>
              <w:t>pz_download_document</w:t>
            </w:r>
          </w:p>
        </w:tc>
        <w:tc>
          <w:tcPr>
            <w:tcW w:type="dxa" w:w="2721"/>
            <w:vAlign w:val="top"/>
          </w:tcPr>
          <w:p>
            <w:pPr>
              <w:spacing w:after="0" w:line="252" w:lineRule="auto"/>
            </w:pPr>
            <w:r>
              <w:rPr>
                <w:sz w:val="19"/>
              </w:rPr>
              <w:t>Выдача / скачивание документа</w:t>
            </w:r>
          </w:p>
        </w:tc>
        <w:tc>
          <w:tcPr>
            <w:tcW w:type="dxa" w:w="4592"/>
            <w:vAlign w:val="top"/>
          </w:tcPr>
          <w:p>
            <w:pPr>
              <w:spacing w:after="0" w:line="252" w:lineRule="auto"/>
            </w:pPr>
            <w:r>
              <w:rPr>
                <w:sz w:val="19"/>
              </w:rPr>
              <w:t xml:space="preserve">Существующее имя события, параметр </w:t>
            </w:r>
            <w:r>
              <w:rPr>
                <w:rFonts w:ascii="Consolas" w:hAnsi="Consolas"/>
                <w:sz w:val="19"/>
              </w:rPr>
              <w:t>file_name</w:t>
            </w:r>
            <w:r>
              <w:rPr>
                <w:sz w:val="19"/>
              </w:rPr>
              <w:t>; не переименовывать в новый аналог</w:t>
            </w:r>
          </w:p>
        </w:tc>
      </w:tr>
      <w:tr>
        <w:trPr>
          <w:cantSplit/>
        </w:trPr>
        <w:tc>
          <w:tcPr>
            <w:tcW w:type="dxa" w:w="2324"/>
            <w:vAlign w:val="top"/>
          </w:tcPr>
          <w:p>
            <w:pPr>
              <w:spacing w:after="0" w:line="252" w:lineRule="auto"/>
            </w:pPr>
            <w:r>
              <w:rPr>
                <w:rFonts w:ascii="Consolas" w:hAnsi="Consolas"/>
                <w:sz w:val="19"/>
              </w:rPr>
              <w:t>requested_action</w:t>
            </w:r>
          </w:p>
        </w:tc>
        <w:tc>
          <w:tcPr>
            <w:tcW w:type="dxa" w:w="2721"/>
            <w:vAlign w:val="top"/>
          </w:tcPr>
          <w:p>
            <w:pPr>
              <w:spacing w:after="0" w:line="252" w:lineRule="auto"/>
            </w:pPr>
            <w:r>
              <w:rPr>
                <w:sz w:val="19"/>
              </w:rPr>
              <w:t>Намерение обращения</w:t>
            </w:r>
          </w:p>
        </w:tc>
        <w:tc>
          <w:tcPr>
            <w:tcW w:type="dxa" w:w="4592"/>
            <w:vAlign w:val="top"/>
          </w:tcPr>
          <w:p>
            <w:pPr>
              <w:spacing w:after="0" w:line="252" w:lineRule="auto"/>
            </w:pPr>
            <w:r>
              <w:rPr>
                <w:rFonts w:ascii="Consolas" w:hAnsi="Consolas"/>
                <w:sz w:val="19"/>
              </w:rPr>
              <w:t>calculate</w:t>
            </w:r>
            <w:r>
              <w:rPr>
                <w:sz w:val="19"/>
              </w:rPr>
              <w:t xml:space="preserve">, </w:t>
            </w:r>
            <w:r>
              <w:rPr>
                <w:rFonts w:ascii="Consolas" w:hAnsi="Consolas"/>
                <w:sz w:val="19"/>
              </w:rPr>
              <w:t>engineer_visit</w:t>
            </w:r>
            <w:r>
              <w:rPr>
                <w:sz w:val="19"/>
              </w:rPr>
              <w:t xml:space="preserve">, </w:t>
            </w:r>
            <w:r>
              <w:rPr>
                <w:rFonts w:ascii="Consolas" w:hAnsi="Consolas"/>
                <w:sz w:val="19"/>
              </w:rPr>
              <w:t>audit_booking</w:t>
            </w:r>
            <w:r>
              <w:rPr>
                <w:sz w:val="19"/>
              </w:rPr>
              <w:t xml:space="preserve">, </w:t>
            </w:r>
            <w:r>
              <w:rPr>
                <w:rFonts w:ascii="Consolas" w:hAnsi="Consolas"/>
                <w:sz w:val="19"/>
              </w:rPr>
              <w:t>contact_request</w:t>
            </w:r>
            <w:r>
              <w:rPr>
                <w:sz w:val="19"/>
              </w:rPr>
              <w:t xml:space="preserve">, </w:t>
            </w:r>
            <w:r>
              <w:rPr>
                <w:rFonts w:ascii="Consolas" w:hAnsi="Consolas"/>
                <w:sz w:val="19"/>
              </w:rPr>
              <w:t>document_download</w:t>
            </w:r>
          </w:p>
        </w:tc>
      </w:tr>
    </w:tbl>
    <w:p>
      <w:pPr>
        <w:spacing w:after="40" w:before="0" w:line="240" w:lineRule="auto"/>
      </w:pPr>
      <w:r>
        <w:rPr>
          <w:sz w:val="4"/>
        </w:rPr>
      </w:r>
    </w:p>
    <w:p>
      <w:r>
        <w:t xml:space="preserve">UUID </w:t>
      </w:r>
      <w:r>
        <w:rPr>
          <w:rFonts w:ascii="Consolas" w:hAnsi="Consolas"/>
          <w:sz w:val="18"/>
        </w:rPr>
        <w:t>event_id</w:t>
      </w:r>
      <w:r>
        <w:t xml:space="preserve"> создаётся до запроса. Один ID находится в скрытом поле, запросе приёмщику, событии успеха и Meta. Повтор доставки не создаёт второй лид или договорную конверсию. Самостоятельная новая заявка получает новый ID. В нативной форме Tilda и прямой форме используется только один подтверждённый путь успеха; подключать оба пути к одной отправке нельзя.</w:t>
      </w:r>
    </w:p>
    <w:p>
      <w:r>
        <w:t>В Google Ads действует зафиксированное общим стандартом ограничение тега успешной формы «Один раз на страницу»: повтор в том же документе не запускает тег. Вторая независимая заявка без перезагрузки также не запускает его повторно. Если понадобится учитывать несколько независимых заявок за загрузку, нужна отдельная проверенная доработка дедупликации. UUID нельзя объявлять уже внедрённым Transaction ID Google Ads.</w:t>
      </w:r>
    </w:p>
    <w:p>
      <w:r>
        <w:t>Во всём dataLayer, рекламных событиях и рекламных URL отсутствуют телефон, email, адрес, свободный текст и полный payload формы. UUID не вычисляется из контактов. Контакты передаются приёмщику по контракту заявки. Полный payload не копируется в журнал аналитики; согласие не отменяет запрет на такое копирование.</w:t>
      </w:r>
    </w:p>
    <w:p>
      <w:r>
        <w:t xml:space="preserve">Для первой партии документов этапа 5 использовать предусмотренные медиапланом страницы: </w:t>
      </w:r>
      <w:r>
        <w:rPr>
          <w:rFonts w:ascii="Consolas" w:hAnsi="Consolas"/>
          <w:sz w:val="18"/>
        </w:rPr>
        <w:t>/dokumenty/chek-list-dchs/</w:t>
      </w:r>
      <w:r>
        <w:t xml:space="preserve">, </w:t>
      </w:r>
      <w:r>
        <w:rPr>
          <w:rFonts w:ascii="Consolas" w:hAnsi="Consolas"/>
          <w:sz w:val="18"/>
        </w:rPr>
        <w:t>/dokumenty/zhurnal-obsluzhivaniya-aps/</w:t>
      </w:r>
      <w:r>
        <w:t xml:space="preserve">, </w:t>
      </w:r>
      <w:r>
        <w:rPr>
          <w:rFonts w:ascii="Consolas" w:hAnsi="Consolas"/>
          <w:sz w:val="18"/>
        </w:rPr>
        <w:t>/dokumenty/prikaz-otvetstvennogo/</w:t>
      </w:r>
      <w:r>
        <w:t xml:space="preserve">, </w:t>
      </w:r>
      <w:r>
        <w:rPr>
          <w:rFonts w:ascii="Consolas" w:hAnsi="Consolas"/>
          <w:sz w:val="18"/>
        </w:rPr>
        <w:t>/dokumenty/dogovor-obsluzhivaniya/</w:t>
      </w:r>
      <w:r>
        <w:t>. Предварительно проверить публикацию и содержимое каждой. Событие скачивания означает наблюдаемую выдачу/открытие доступного файла, а не доказанное прочтение или сохранение пользователем.</w:t>
      </w:r>
    </w:p>
    <w:p>
      <w:r>
        <w:t xml:space="preserve">Форма документа использует </w:t>
      </w:r>
      <w:r>
        <w:rPr>
          <w:rFonts w:ascii="Consolas" w:hAnsi="Consolas"/>
          <w:sz w:val="18"/>
        </w:rPr>
        <w:t>document_download</w:t>
      </w:r>
      <w:r>
        <w:t xml:space="preserve">, название материала, источник, компанию, роль и сведения об объекте по ТЗ этапа 5. Поле «Город / Регион объекта» обязательно и без предвыбранного ответа: Алматы, Алматинская область, другой регион с уточнением. IP не заменяет регион объекта. Файл автоматически выдаётся всем; другой регион учитывается отдельно без продажных задач и уведомлений. Сервер проверяет </w:t>
      </w:r>
      <w:r>
        <w:rPr>
          <w:rFonts w:ascii="Consolas" w:hAnsi="Consolas"/>
          <w:sz w:val="18"/>
        </w:rPr>
        <w:t>sales_eligible</w:t>
      </w:r>
      <w:r>
        <w:t xml:space="preserve"> и геосегмент, не доверяя одному скрытому полю. Отказ от необязательного согласия не блокирует получение файла.</w:t>
      </w:r>
    </w:p>
    <w:p>
      <w:r>
        <w:t xml:space="preserve">После материала предлагается переход «Рассчитать работы» на соответствующую услугу или калькулятор; для такого коммерческого действия применяется </w:t>
      </w:r>
      <w:r>
        <w:rPr>
          <w:rFonts w:ascii="Consolas" w:hAnsi="Consolas"/>
          <w:sz w:val="18"/>
        </w:rPr>
        <w:t>calculate</w:t>
      </w:r>
      <w:r>
        <w:t>. Скачивание не переименовывается в расчёт, а документ не предлагается как универсальный юридический шаблон без контекста применения.</w:t>
      </w:r>
    </w:p>
    <w:p>
      <w:pPr>
        <w:pStyle w:val="Heading1"/>
      </w:pPr>
      <w:r>
        <w:t>6. Согласие и связь с CRM</w:t>
      </w:r>
    </w:p>
    <w:p>
      <w:r>
        <w:t>Один общий баннер действует на всех страницах. До выбора необязательные категории запрещены. Сохранённое решение восстанавливается при переходах; в подвале доступны «Настройки cookies». Отдельное согласие на обработку заявки не заменяет разрешение рекламного отслеживания.</w:t>
      </w:r>
    </w:p>
    <w:p>
      <w:r>
        <w:t>Meta загружается и передаёт PageView/Lead только при одновременно сохранённых разрешениях рекламы и маркетинга. Отсутствующее или неизвестное значение marketing означает отказ. PageView передаётся один раз на документ после восстановления или предоставления обоих разрешений. После отзыва новые рекламные события и ожидающие отправки блокируются. Повторное открытие настроек не создаёт новый PageView.</w:t>
      </w:r>
    </w:p>
    <w:p>
      <w:r>
        <w:t>Google Consent Mode и передача данных соблюдают действующий общий стандарт. Отказавшемуся посетителю нельзя обещать персональное рекламное сопровождение. Серверная отправка, BigQuery, хэширование контактов и моделирование не считаются способом обхода согласия и не гарантируют включение в аудиторию.</w:t>
      </w:r>
    </w:p>
    <w:p>
      <w:r>
        <w:t xml:space="preserve">Коммерческая заявка поступает в существующую Общую воронку CRM и направляется по предмету обращения без создания дубля при перемещении. Сохраняются исходная услуга, регион объекта, </w:t>
      </w:r>
      <w:r>
        <w:rPr>
          <w:rFonts w:ascii="Consolas" w:hAnsi="Consolas"/>
          <w:sz w:val="18"/>
        </w:rPr>
        <w:t>event_id</w:t>
      </w:r>
      <w:r>
        <w:t>, источник, допустимые click ID и согласованная рекламная атрибуция. В отчёте различаются первоначальный источник и последующий рекламный возврат; кампанию ретаргетинга нельзя объявлять единственным источником клиента только по последнему клику.</w:t>
      </w:r>
    </w:p>
    <w:p>
      <w:r>
        <w:rPr>
          <w:rFonts w:ascii="Consolas" w:hAnsi="Consolas"/>
          <w:sz w:val="18"/>
        </w:rPr>
        <w:t>contract_won</w:t>
      </w:r>
      <w:r>
        <w:t xml:space="preserve"> передаётся по фактической дате заключения и подтверждённому ID договора. Повтор доставки или перемещение сделки не создаёт новый договорный результат. Форма, квалификация, обследование, КП, оплата и завершение работ — Secondary в Google Ads; добавление их в custom goal не должно обходить это правило. Обучение по договорам начинается после десяти уникальных подтверждённых договоров, успешно принятых Google, и проверки импорта и атрибуции. Это порог проекта, а не минимум платформы.</w:t>
      </w:r>
    </w:p>
    <w:p>
      <w:r>
        <w:t>Хэшированные контакты, CAPI и CRM-аудитории выносятся в отдельную интеграцию с согласованным составом данных и приёмкой. Эта версия не подтверждает их внедрение.</w:t>
      </w:r>
    </w:p>
    <w:p>
      <w:pPr>
        <w:pStyle w:val="Heading1"/>
      </w:pPr>
      <w:r>
        <w:t>7. Настройки рекламных площадок</w:t>
      </w:r>
    </w:p>
    <w:p>
      <w:pPr>
        <w:pStyle w:val="Heading2"/>
      </w:pPr>
      <w:r>
        <w:t>7.1 Google Поиск</w:t>
      </w:r>
    </w:p>
    <w:p>
      <w:r>
        <w:t>К существующим поисковым кампаниям добавляются пригодные сервисные аудитории в режиме «Наблюдение». Этот режим позволяет сравнивать возвращающихся посетителей, но не ограничивает поиск только ими. Сохраняются исходные ключевые слова, минус-слова, география и цели. Документы и информационные запросы выделяются по медиаплану так, чтобы общий список минус-слов не блокировал собственный прогрев.</w:t>
      </w:r>
    </w:p>
    <w:p>
      <w:r>
        <w:t>Строгий поисковый ремаркетинг с режимом «Таргетинг» — последующий отдельный эксперимент при пригодной аудитории; его не включать вместо основных поисковых кампаний. Начальные exact/phrase и порог обучения по договорам сохраняются. Подготовка ремаркетинга не разрешает broad или PMax.</w:t>
      </w:r>
    </w:p>
    <w:p>
      <w:pPr>
        <w:pStyle w:val="Heading2"/>
      </w:pPr>
      <w:r>
        <w:t>7.2 YouTube</w:t>
      </w:r>
    </w:p>
    <w:p>
      <w:r>
        <w:t>Сохранить исходную выключенную последовательность: шесть отзывов → полный тест склада. Формат — in-stream с возможностью пропуска; переход к следующему шагу — после показа предыдущего. Одна последовательность за 30 дней по зафиксированному стандарту не гарантирует прохождение всех шагов. Ссылка на Shorts как источник не означает размещение этой последовательности в ленте Shorts.</w:t>
      </w:r>
    </w:p>
    <w:p>
      <w:r>
        <w:t>До запуска проверить каждый ролик целиком, включая звук, роль спикера, адреса и контакты. Материал сотрудника нельзя представлять как независимый отзыв клиента. При запуске сервисных групп сначала проверить, не дублируют ли они действующую последовательность и друг друга. Изменение состава и порядка выполняется отдельно, с записью версии.</w:t>
      </w:r>
    </w:p>
    <w:p>
      <w:r>
        <w:t>На подготовительном этапе исходная общая последовательность остаётся тестом доверия. Для сервиса подбирается материал из матрицы раздела 3; при наличии полного кейса используется соответствующее полноразмерное видео. Длинный ролик не обязан показываться всем: возможность пропуска сохраняется. Из него допускается создать короткую версию без потери контекста результата.</w:t>
      </w:r>
    </w:p>
    <w:p>
      <w:r>
        <w:t xml:space="preserve">Перед запуском общей базы обязательно выбрать и принять посадочную: нейтральную страницу доверия с выбором услуги либо сервисный сценарий с соответствующим переходом. Вести всех посетителей разных услуг на аварийную страницу </w:t>
      </w:r>
      <w:r>
        <w:rPr>
          <w:rFonts w:ascii="Consolas" w:hAnsi="Consolas"/>
          <w:sz w:val="18"/>
        </w:rPr>
        <w:t>/srabotka/</w:t>
      </w:r>
      <w:r>
        <w:t xml:space="preserve"> нельзя. Если подходящая нейтральная страница ещё не согласована или не опубликована, общий сценарий остаётся выключенным; исполнитель фиксирует этот пробел в протоколе.</w:t>
      </w:r>
    </w:p>
    <w:p>
      <w:r>
        <w:t>В подтипе «Последовательность объявлений» таргетинг и исключения задаются на уровне кампании; группы являются шагами цепочки. Нельзя назначать шести шагам одной общей последовательности шесть независимых сервисных аудиторий. Будущий вариант выбирается явно: сохранить общую цепочку; использовать обычную видеокампанию с подтверждённой поддержкой нужного уровня аудитории; либо подготовить отдельные согласованные последовательности. Создание новых кампаний не умножает утверждённый общий лимит YouTube.</w:t>
      </w:r>
    </w:p>
    <w:p>
      <w:pPr>
        <w:pStyle w:val="Heading2"/>
      </w:pPr>
      <w:r>
        <w:t>7.3 Instagram</w:t>
      </w:r>
    </w:p>
    <w:p>
      <w:r>
        <w:t>Ручные места размещения: только подходящие Feed, Stories и Reels Instagram. Иные платформы и автоматическое расширение размещений не добавляются. Включается выбранная аудитория посетителей, явно исключается установленная аудитория заявителей. Пользовательская аудитория должна строго ограничивать показ, а не использоваться только как подсказка Advantage+. Если такое ограничение нельзя подтвердить в интерфейсе, группа не запускается.</w:t>
      </w:r>
    </w:p>
    <w:p>
      <w:r>
        <w:t>Для каждой приоритетной услуги подготовить небольшой набор подходящих существующих роликов. На малом бюджете не запускать все материалы и все группы одновременно. Instagram может распределять показы неравномерно; обещать равную долю или очередь роликов нельзя. Требование к специалисту — проверить фактическую доставку, частоту и результат, затем обновлять состав по данным.</w:t>
      </w:r>
    </w:p>
    <w:p>
      <w:r>
        <w:t>Для видео с исходной публикацией проверить права связанного аккаунта, доступность «Использовать существующую публикацию», рекламное превью, кнопку и целевую страницу. Сохранённый черновик и сформированное превью не означают публикацию и модерацию объявления.</w:t>
      </w:r>
    </w:p>
    <w:p>
      <w:pPr>
        <w:pStyle w:val="Heading2"/>
      </w:pPr>
      <w:r>
        <w:t>7.4 Сайты и приложения Google</w:t>
      </w:r>
    </w:p>
    <w:p>
      <w:r>
        <w:t>КМС не входит в стартовые настройки медиаплана и действующих приложений Google Ads. Ремаркетинг на сайтах и в приложениях возможен только как последующий отдельно согласованный эксперимент: собственные посетители, явные исключения заявителей, отключённый оптимизированный таргетинг, отдельный лимит и проверка качества размещений.</w:t>
      </w:r>
    </w:p>
    <w:p>
      <w:r>
        <w:t>Просмотр приложения не гарантирует наличие рекламы Google и возможность сопоставить пользователя. YouTube и Instagram не включают КМС автоматически. Эта версия не создаёт Display-кампанию и не перераспределяет на неё бюджет.</w:t>
      </w:r>
    </w:p>
    <w:p>
      <w:pPr>
        <w:pStyle w:val="Heading1"/>
        <w:pageBreakBefore/>
      </w:pPr>
      <w:r>
        <w:t>8. Реестр существующих видеоматериалов</w:t>
      </w:r>
    </w:p>
    <w:p>
      <w:r>
        <w:t>Ниже — кандидаты из рабочего комплекта и сведений аккаунта. Их наличие не равно полной проверке содержания или готовности рекламы. Для каждого исполнитель записывает точную ссылку, услугу, объект, роль спикера, длительность, язык, версию, актуальность контактов и итог «использовать / перемонтировать / не использовать». Полный просмотр и прослушивание обязательны до выбора.</w:t>
      </w:r>
    </w:p>
    <w:tbl>
      <w:tblPr>
        <w:tblW w:type="auto" w:w="0"/>
        <w:jc w:val="center"/>
        <w:tblLayout w:type="fixed"/>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CellMar>
          <w:top w:w="65" w:type="dxa"/>
          <w:bottom w:w="65" w:type="dxa"/>
          <w:left w:w="90" w:type="dxa"/>
          <w:right w:w="90" w:type="dxa"/>
        </w:tblCellMar>
      </w:tblPr>
      <w:tblGrid>
        <w:gridCol w:w="850"/>
        <w:gridCol w:w="4025"/>
        <w:gridCol w:w="4762"/>
      </w:tblGrid>
      <w:tr>
        <w:trPr>
          <w:cantSplit/>
          <w:tblHeader/>
        </w:trPr>
        <w:tc>
          <w:tcPr>
            <w:tcW w:type="dxa" w:w="850"/>
            <w:vAlign w:val="top"/>
            <w:shd w:fill="F1F1F1"/>
          </w:tcPr>
          <w:p>
            <w:pPr>
              <w:spacing w:after="0" w:line="252" w:lineRule="auto"/>
            </w:pPr>
            <w:r>
              <w:rPr>
                <w:b/>
                <w:sz w:val="19"/>
              </w:rPr>
              <w:t>Код</w:t>
            </w:r>
          </w:p>
        </w:tc>
        <w:tc>
          <w:tcPr>
            <w:tcW w:type="dxa" w:w="4025"/>
            <w:vAlign w:val="top"/>
            <w:shd w:fill="F1F1F1"/>
          </w:tcPr>
          <w:p>
            <w:pPr>
              <w:spacing w:after="0" w:line="252" w:lineRule="auto"/>
            </w:pPr>
            <w:r>
              <w:rPr>
                <w:b/>
                <w:sz w:val="19"/>
              </w:rPr>
              <w:t>Кандидат</w:t>
            </w:r>
          </w:p>
        </w:tc>
        <w:tc>
          <w:tcPr>
            <w:tcW w:type="dxa" w:w="4762"/>
            <w:vAlign w:val="top"/>
            <w:shd w:fill="F1F1F1"/>
          </w:tcPr>
          <w:p>
            <w:pPr>
              <w:spacing w:after="0" w:line="252" w:lineRule="auto"/>
            </w:pPr>
            <w:r>
              <w:rPr>
                <w:b/>
                <w:sz w:val="19"/>
              </w:rPr>
              <w:t>Что проверить</w:t>
            </w:r>
          </w:p>
        </w:tc>
      </w:tr>
      <w:tr>
        <w:trPr>
          <w:cantSplit/>
        </w:trPr>
        <w:tc>
          <w:tcPr>
            <w:tcW w:type="dxa" w:w="850"/>
            <w:vAlign w:val="top"/>
          </w:tcPr>
          <w:p>
            <w:pPr>
              <w:spacing w:after="0" w:line="252" w:lineRule="auto"/>
            </w:pPr>
            <w:r>
              <w:rPr>
                <w:sz w:val="19"/>
              </w:rPr>
              <w:t>V01</w:t>
            </w:r>
          </w:p>
        </w:tc>
        <w:tc>
          <w:tcPr>
            <w:tcW w:type="dxa" w:w="4025"/>
            <w:vAlign w:val="top"/>
          </w:tcPr>
          <w:p>
            <w:pPr>
              <w:spacing w:after="0" w:line="252" w:lineRule="auto"/>
            </w:pPr>
            <w:hyperlink r:id="rId11">
              <w:r>
                <w:rPr>
                  <w:color w:val="0563C1"/>
                  <w:u w:val="single"/>
                </w:rPr>
                <w:t>YouTube: инженер БЦ после приёмки</w:t>
              </w:r>
            </w:hyperlink>
          </w:p>
        </w:tc>
        <w:tc>
          <w:tcPr>
            <w:tcW w:type="dxa" w:w="4762"/>
            <w:vAlign w:val="top"/>
          </w:tcPr>
          <w:p>
            <w:pPr>
              <w:spacing w:after="0" w:line="252" w:lineRule="auto"/>
            </w:pPr>
            <w:r>
              <w:rPr>
                <w:sz w:val="19"/>
              </w:rPr>
              <w:t>Какие работы выполнены; роль и формулировки отзыва</w:t>
            </w:r>
          </w:p>
        </w:tc>
      </w:tr>
      <w:tr>
        <w:trPr>
          <w:cantSplit/>
        </w:trPr>
        <w:tc>
          <w:tcPr>
            <w:tcW w:type="dxa" w:w="850"/>
            <w:vAlign w:val="top"/>
          </w:tcPr>
          <w:p>
            <w:pPr>
              <w:spacing w:after="0" w:line="252" w:lineRule="auto"/>
            </w:pPr>
            <w:r>
              <w:rPr>
                <w:sz w:val="19"/>
              </w:rPr>
              <w:t>V02</w:t>
            </w:r>
          </w:p>
        </w:tc>
        <w:tc>
          <w:tcPr>
            <w:tcW w:type="dxa" w:w="4025"/>
            <w:vAlign w:val="top"/>
          </w:tcPr>
          <w:p>
            <w:pPr>
              <w:spacing w:after="0" w:line="252" w:lineRule="auto"/>
            </w:pPr>
            <w:hyperlink r:id="rId12">
              <w:r>
                <w:rPr>
                  <w:color w:val="0563C1"/>
                  <w:u w:val="single"/>
                </w:rPr>
                <w:t>YouTube: инженер ТБ трёхэтажного здания</w:t>
              </w:r>
            </w:hyperlink>
          </w:p>
        </w:tc>
        <w:tc>
          <w:tcPr>
            <w:tcW w:type="dxa" w:w="4762"/>
            <w:vAlign w:val="top"/>
          </w:tcPr>
          <w:p>
            <w:pPr>
              <w:spacing w:after="0" w:line="252" w:lineRule="auto"/>
            </w:pPr>
            <w:r>
              <w:rPr>
                <w:sz w:val="19"/>
              </w:rPr>
              <w:t>Связь с услугой и подтверждённый результат</w:t>
            </w:r>
          </w:p>
        </w:tc>
      </w:tr>
      <w:tr>
        <w:trPr>
          <w:cantSplit/>
        </w:trPr>
        <w:tc>
          <w:tcPr>
            <w:tcW w:type="dxa" w:w="850"/>
            <w:vAlign w:val="top"/>
          </w:tcPr>
          <w:p>
            <w:pPr>
              <w:spacing w:after="0" w:line="252" w:lineRule="auto"/>
            </w:pPr>
            <w:r>
              <w:rPr>
                <w:sz w:val="19"/>
              </w:rPr>
              <w:t>V03</w:t>
            </w:r>
          </w:p>
        </w:tc>
        <w:tc>
          <w:tcPr>
            <w:tcW w:type="dxa" w:w="4025"/>
            <w:vAlign w:val="top"/>
          </w:tcPr>
          <w:p>
            <w:pPr>
              <w:spacing w:after="0" w:line="252" w:lineRule="auto"/>
            </w:pPr>
            <w:hyperlink r:id="rId13">
              <w:r>
                <w:rPr>
                  <w:color w:val="0563C1"/>
                  <w:u w:val="single"/>
                </w:rPr>
                <w:t>YouTube: DENIZ</w:t>
              </w:r>
            </w:hyperlink>
          </w:p>
        </w:tc>
        <w:tc>
          <w:tcPr>
            <w:tcW w:type="dxa" w:w="4762"/>
            <w:vAlign w:val="top"/>
          </w:tcPr>
          <w:p>
            <w:pPr>
              <w:spacing w:after="0" w:line="252" w:lineRule="auto"/>
            </w:pPr>
            <w:r>
              <w:rPr>
                <w:sz w:val="19"/>
              </w:rPr>
              <w:t>Контекст производственного объекта и выполненных работ</w:t>
            </w:r>
          </w:p>
        </w:tc>
      </w:tr>
      <w:tr>
        <w:trPr>
          <w:cantSplit/>
        </w:trPr>
        <w:tc>
          <w:tcPr>
            <w:tcW w:type="dxa" w:w="850"/>
            <w:vAlign w:val="top"/>
          </w:tcPr>
          <w:p>
            <w:pPr>
              <w:spacing w:after="0" w:line="252" w:lineRule="auto"/>
            </w:pPr>
            <w:r>
              <w:rPr>
                <w:sz w:val="19"/>
              </w:rPr>
              <w:t>V04</w:t>
            </w:r>
          </w:p>
        </w:tc>
        <w:tc>
          <w:tcPr>
            <w:tcW w:type="dxa" w:w="4025"/>
            <w:vAlign w:val="top"/>
          </w:tcPr>
          <w:p>
            <w:pPr>
              <w:spacing w:after="0" w:line="252" w:lineRule="auto"/>
            </w:pPr>
            <w:hyperlink r:id="rId14">
              <w:r>
                <w:rPr>
                  <w:color w:val="0563C1"/>
                  <w:u w:val="single"/>
                </w:rPr>
                <w:t>YouTube: отзыв на объекте</w:t>
              </w:r>
            </w:hyperlink>
          </w:p>
        </w:tc>
        <w:tc>
          <w:tcPr>
            <w:tcW w:type="dxa" w:w="4762"/>
            <w:vAlign w:val="top"/>
          </w:tcPr>
          <w:p>
            <w:pPr>
              <w:spacing w:after="0" w:line="252" w:lineRule="auto"/>
            </w:pPr>
            <w:r>
              <w:rPr>
                <w:sz w:val="19"/>
              </w:rPr>
              <w:t>Услуга, роль спикера, актуальность контактов</w:t>
            </w:r>
          </w:p>
        </w:tc>
      </w:tr>
      <w:tr>
        <w:trPr>
          <w:cantSplit/>
        </w:trPr>
        <w:tc>
          <w:tcPr>
            <w:tcW w:type="dxa" w:w="850"/>
            <w:vAlign w:val="top"/>
          </w:tcPr>
          <w:p>
            <w:pPr>
              <w:spacing w:after="0" w:line="252" w:lineRule="auto"/>
            </w:pPr>
            <w:r>
              <w:rPr>
                <w:sz w:val="19"/>
              </w:rPr>
              <w:t>V05</w:t>
            </w:r>
          </w:p>
        </w:tc>
        <w:tc>
          <w:tcPr>
            <w:tcW w:type="dxa" w:w="4025"/>
            <w:vAlign w:val="top"/>
          </w:tcPr>
          <w:p>
            <w:pPr>
              <w:spacing w:after="0" w:line="252" w:lineRule="auto"/>
            </w:pPr>
            <w:hyperlink r:id="rId15">
              <w:r>
                <w:rPr>
                  <w:color w:val="0563C1"/>
                  <w:u w:val="single"/>
                </w:rPr>
                <w:t>YouTube: инженер Pozharnik.kz</w:t>
              </w:r>
            </w:hyperlink>
          </w:p>
        </w:tc>
        <w:tc>
          <w:tcPr>
            <w:tcW w:type="dxa" w:w="4762"/>
            <w:vAlign w:val="top"/>
          </w:tcPr>
          <w:p>
            <w:pPr>
              <w:spacing w:after="0" w:line="252" w:lineRule="auto"/>
            </w:pPr>
            <w:r>
              <w:rPr>
                <w:sz w:val="19"/>
              </w:rPr>
              <w:t>Сотрудник или клиент; допустимое представление роли</w:t>
            </w:r>
          </w:p>
        </w:tc>
      </w:tr>
      <w:tr>
        <w:trPr>
          <w:cantSplit/>
        </w:trPr>
        <w:tc>
          <w:tcPr>
            <w:tcW w:type="dxa" w:w="850"/>
            <w:vAlign w:val="top"/>
          </w:tcPr>
          <w:p>
            <w:pPr>
              <w:spacing w:after="0" w:line="252" w:lineRule="auto"/>
            </w:pPr>
            <w:r>
              <w:rPr>
                <w:sz w:val="19"/>
              </w:rPr>
              <w:t>V06</w:t>
            </w:r>
          </w:p>
        </w:tc>
        <w:tc>
          <w:tcPr>
            <w:tcW w:type="dxa" w:w="4025"/>
            <w:vAlign w:val="top"/>
          </w:tcPr>
          <w:p>
            <w:pPr>
              <w:spacing w:after="0" w:line="252" w:lineRule="auto"/>
            </w:pPr>
            <w:hyperlink r:id="rId16">
              <w:r>
                <w:rPr>
                  <w:color w:val="0563C1"/>
                  <w:u w:val="single"/>
                </w:rPr>
                <w:t>YouTube: отзыв на объекте</w:t>
              </w:r>
            </w:hyperlink>
          </w:p>
        </w:tc>
        <w:tc>
          <w:tcPr>
            <w:tcW w:type="dxa" w:w="4762"/>
            <w:vAlign w:val="top"/>
          </w:tcPr>
          <w:p>
            <w:pPr>
              <w:spacing w:after="0" w:line="252" w:lineRule="auto"/>
            </w:pPr>
            <w:r>
              <w:rPr>
                <w:sz w:val="19"/>
              </w:rPr>
              <w:t>Услуга и самостоятельность материала</w:t>
            </w:r>
          </w:p>
        </w:tc>
      </w:tr>
      <w:tr>
        <w:trPr>
          <w:cantSplit/>
        </w:trPr>
        <w:tc>
          <w:tcPr>
            <w:tcW w:type="dxa" w:w="850"/>
            <w:vAlign w:val="top"/>
          </w:tcPr>
          <w:p>
            <w:pPr>
              <w:spacing w:after="0" w:line="252" w:lineRule="auto"/>
            </w:pPr>
            <w:r>
              <w:rPr>
                <w:sz w:val="19"/>
              </w:rPr>
              <w:t>V07</w:t>
            </w:r>
          </w:p>
        </w:tc>
        <w:tc>
          <w:tcPr>
            <w:tcW w:type="dxa" w:w="4025"/>
            <w:vAlign w:val="top"/>
          </w:tcPr>
          <w:p>
            <w:pPr>
              <w:spacing w:after="0" w:line="252" w:lineRule="auto"/>
            </w:pPr>
            <w:hyperlink r:id="rId17">
              <w:r>
                <w:rPr>
                  <w:color w:val="0563C1"/>
                  <w:u w:val="single"/>
                </w:rPr>
                <w:t>YouTube: полный тест склада</w:t>
              </w:r>
            </w:hyperlink>
          </w:p>
        </w:tc>
        <w:tc>
          <w:tcPr>
            <w:tcW w:type="dxa" w:w="4762"/>
            <w:vAlign w:val="top"/>
          </w:tcPr>
          <w:p>
            <w:pPr>
              <w:spacing w:after="0" w:line="252" w:lineRule="auto"/>
            </w:pPr>
            <w:r>
              <w:rPr>
                <w:sz w:val="19"/>
              </w:rPr>
              <w:t>Полный звук и кадры; связь теста с конкретными работами</w:t>
            </w:r>
          </w:p>
        </w:tc>
      </w:tr>
      <w:tr>
        <w:trPr>
          <w:cantSplit/>
        </w:trPr>
        <w:tc>
          <w:tcPr>
            <w:tcW w:type="dxa" w:w="850"/>
            <w:vAlign w:val="top"/>
          </w:tcPr>
          <w:p>
            <w:pPr>
              <w:spacing w:after="0" w:line="252" w:lineRule="auto"/>
            </w:pPr>
            <w:r>
              <w:rPr>
                <w:sz w:val="19"/>
              </w:rPr>
              <w:t>V08</w:t>
            </w:r>
          </w:p>
        </w:tc>
        <w:tc>
          <w:tcPr>
            <w:tcW w:type="dxa" w:w="4025"/>
            <w:vAlign w:val="top"/>
          </w:tcPr>
          <w:p>
            <w:pPr>
              <w:spacing w:after="0" w:line="252" w:lineRule="auto"/>
            </w:pPr>
            <w:hyperlink r:id="rId18">
              <w:r>
                <w:rPr>
                  <w:color w:val="0563C1"/>
                  <w:u w:val="single"/>
                </w:rPr>
                <w:t>YouTube: тест лифта</w:t>
              </w:r>
            </w:hyperlink>
          </w:p>
        </w:tc>
        <w:tc>
          <w:tcPr>
            <w:tcW w:type="dxa" w:w="4762"/>
            <w:vAlign w:val="top"/>
          </w:tcPr>
          <w:p>
            <w:pPr>
              <w:spacing w:after="0" w:line="252" w:lineRule="auto"/>
            </w:pPr>
            <w:r>
              <w:rPr>
                <w:sz w:val="19"/>
              </w:rPr>
              <w:t>Контекст и соответствие монтажу / модернизации</w:t>
            </w:r>
          </w:p>
        </w:tc>
      </w:tr>
      <w:tr>
        <w:trPr>
          <w:cantSplit/>
        </w:trPr>
        <w:tc>
          <w:tcPr>
            <w:tcW w:type="dxa" w:w="850"/>
            <w:vAlign w:val="top"/>
          </w:tcPr>
          <w:p>
            <w:pPr>
              <w:spacing w:after="0" w:line="252" w:lineRule="auto"/>
            </w:pPr>
            <w:r>
              <w:rPr>
                <w:sz w:val="19"/>
              </w:rPr>
              <w:t>V09</w:t>
            </w:r>
          </w:p>
        </w:tc>
        <w:tc>
          <w:tcPr>
            <w:tcW w:type="dxa" w:w="4025"/>
            <w:vAlign w:val="top"/>
          </w:tcPr>
          <w:p>
            <w:pPr>
              <w:spacing w:after="0" w:line="252" w:lineRule="auto"/>
            </w:pPr>
            <w:hyperlink r:id="rId19">
              <w:r>
                <w:rPr>
                  <w:color w:val="0563C1"/>
                  <w:u w:val="single"/>
                </w:rPr>
                <w:t>YouTube: «Не сработала наша сигнализация…»</w:t>
              </w:r>
            </w:hyperlink>
          </w:p>
        </w:tc>
        <w:tc>
          <w:tcPr>
            <w:tcW w:type="dxa" w:w="4762"/>
            <w:vAlign w:val="top"/>
          </w:tcPr>
          <w:p>
            <w:pPr>
              <w:spacing w:after="0" w:line="252" w:lineRule="auto"/>
            </w:pPr>
            <w:r>
              <w:rPr>
                <w:sz w:val="19"/>
              </w:rPr>
              <w:t>Причина и итог; заголовок без контекста не использовать как доказательство</w:t>
            </w:r>
          </w:p>
        </w:tc>
      </w:tr>
      <w:tr>
        <w:trPr>
          <w:cantSplit/>
        </w:trPr>
        <w:tc>
          <w:tcPr>
            <w:tcW w:type="dxa" w:w="850"/>
            <w:vAlign w:val="top"/>
          </w:tcPr>
          <w:p>
            <w:pPr>
              <w:spacing w:after="0" w:line="252" w:lineRule="auto"/>
            </w:pPr>
            <w:r>
              <w:rPr>
                <w:sz w:val="19"/>
              </w:rPr>
              <w:t>V10</w:t>
            </w:r>
          </w:p>
        </w:tc>
        <w:tc>
          <w:tcPr>
            <w:tcW w:type="dxa" w:w="4025"/>
            <w:vAlign w:val="top"/>
          </w:tcPr>
          <w:p>
            <w:pPr>
              <w:spacing w:after="0" w:line="252" w:lineRule="auto"/>
            </w:pPr>
            <w:hyperlink r:id="rId20">
              <w:r>
                <w:rPr>
                  <w:color w:val="0563C1"/>
                  <w:u w:val="single"/>
                </w:rPr>
                <w:t>Instagram: отзыв инженера БЦ</w:t>
              </w:r>
            </w:hyperlink>
          </w:p>
        </w:tc>
        <w:tc>
          <w:tcPr>
            <w:tcW w:type="dxa" w:w="4762"/>
            <w:vAlign w:val="top"/>
          </w:tcPr>
          <w:p>
            <w:pPr>
              <w:spacing w:after="0" w:line="252" w:lineRule="auto"/>
            </w:pPr>
            <w:r>
              <w:rPr>
                <w:sz w:val="19"/>
              </w:rPr>
              <w:t>Соответствие услуге, контакты, рекламное превью</w:t>
            </w:r>
          </w:p>
        </w:tc>
      </w:tr>
      <w:tr>
        <w:trPr>
          <w:cantSplit/>
        </w:trPr>
        <w:tc>
          <w:tcPr>
            <w:tcW w:type="dxa" w:w="850"/>
            <w:vAlign w:val="top"/>
          </w:tcPr>
          <w:p>
            <w:pPr>
              <w:spacing w:after="0" w:line="252" w:lineRule="auto"/>
            </w:pPr>
            <w:r>
              <w:rPr>
                <w:sz w:val="19"/>
              </w:rPr>
              <w:t>V11</w:t>
            </w:r>
          </w:p>
        </w:tc>
        <w:tc>
          <w:tcPr>
            <w:tcW w:type="dxa" w:w="4025"/>
            <w:vAlign w:val="top"/>
          </w:tcPr>
          <w:p>
            <w:pPr>
              <w:spacing w:after="0" w:line="252" w:lineRule="auto"/>
            </w:pPr>
            <w:r>
              <w:rPr>
                <w:sz w:val="19"/>
              </w:rPr>
              <w:t>Instagram: «Обслуживание пожарной сигнализации»</w:t>
            </w:r>
          </w:p>
        </w:tc>
        <w:tc>
          <w:tcPr>
            <w:tcW w:type="dxa" w:w="4762"/>
            <w:vAlign w:val="top"/>
          </w:tcPr>
          <w:p>
            <w:pPr>
              <w:spacing w:after="0" w:line="252" w:lineRule="auto"/>
            </w:pPr>
            <w:r>
              <w:rPr>
                <w:sz w:val="19"/>
              </w:rPr>
              <w:t>Кандидат по обложке; установить точный URL и проверить всё содержание</w:t>
            </w:r>
          </w:p>
        </w:tc>
      </w:tr>
      <w:tr>
        <w:trPr>
          <w:cantSplit/>
        </w:trPr>
        <w:tc>
          <w:tcPr>
            <w:tcW w:type="dxa" w:w="850"/>
            <w:vAlign w:val="top"/>
          </w:tcPr>
          <w:p>
            <w:pPr>
              <w:spacing w:after="0" w:line="252" w:lineRule="auto"/>
            </w:pPr>
            <w:r>
              <w:rPr>
                <w:sz w:val="19"/>
              </w:rPr>
              <w:t>V12</w:t>
            </w:r>
          </w:p>
        </w:tc>
        <w:tc>
          <w:tcPr>
            <w:tcW w:type="dxa" w:w="4025"/>
            <w:vAlign w:val="top"/>
          </w:tcPr>
          <w:p>
            <w:pPr>
              <w:spacing w:after="0" w:line="252" w:lineRule="auto"/>
            </w:pPr>
            <w:r>
              <w:rPr>
                <w:sz w:val="19"/>
              </w:rPr>
              <w:t>Instagram: «Чистые датчики»</w:t>
            </w:r>
          </w:p>
        </w:tc>
        <w:tc>
          <w:tcPr>
            <w:tcW w:type="dxa" w:w="4762"/>
            <w:vAlign w:val="top"/>
          </w:tcPr>
          <w:p>
            <w:pPr>
              <w:spacing w:after="0" w:line="252" w:lineRule="auto"/>
            </w:pPr>
            <w:r>
              <w:rPr>
                <w:sz w:val="19"/>
              </w:rPr>
              <w:t>Кандидат по обложке; установить точный URL и связь с результатом ТО</w:t>
            </w:r>
          </w:p>
        </w:tc>
      </w:tr>
    </w:tbl>
    <w:p>
      <w:pPr>
        <w:spacing w:after="40" w:before="0" w:line="240" w:lineRule="auto"/>
      </w:pPr>
      <w:r>
        <w:rPr>
          <w:sz w:val="4"/>
        </w:rPr>
      </w:r>
    </w:p>
    <w:p>
      <w:r>
        <w:t>Праздничные публикации не являются приоритетными коммерческими доказательствами. Обложка, заголовок и автоматическая расшифровка не заменяют аудит видео. Отсутствие подтверждённого материала в этом реестре не доказывает его отсутствие на канале.</w:t>
      </w:r>
    </w:p>
    <w:p>
      <w:pPr>
        <w:pStyle w:val="Heading1"/>
        <w:pageBreakBefore/>
      </w:pPr>
      <w:r>
        <w:t>9. Задания на материалы при выявленных пробелах</w:t>
      </w:r>
    </w:p>
    <w:p>
      <w:r>
        <w:t>Сначала выполнить аудит реестра. Если подходящий материал уже есть, использовать его или сделать согласованную адаптацию. Создавать перечисленные ниже ролики только при отсутствии пригодного видео. Первым выпуском закрыть обслуживание и смену подрядчика; Кузет — вариант внутри обслуживания. Остальные направления выпускаются по готовности страниц и аудиторий, а не все одновременно.</w:t>
      </w:r>
    </w:p>
    <w:p>
      <w:pPr>
        <w:pStyle w:val="Heading2"/>
      </w:pPr>
      <w:r>
        <w:t>R01 Обслуживание — первый приоритет</w:t>
      </w:r>
    </w:p>
    <w:p>
      <w:r>
        <w:t xml:space="preserve">Сюжет: задача объекта → фактические работы по ТО → контрольная проверка → документированный результат. Кадры: инженер, реальная чистка/проверка, прибор и результат работ без чужих контактов. Опора: кандидаты V11/V12 и подходящий отзыв. CTA: «Рассчитать обслуживание»; посадочная </w:t>
      </w:r>
      <w:r>
        <w:rPr>
          <w:rFonts w:ascii="Consolas" w:hAnsi="Consolas"/>
          <w:sz w:val="18"/>
        </w:rPr>
        <w:t>/obsluzhivanie/</w:t>
      </w:r>
      <w:r>
        <w:t>. Не обещать устранение любого дефекта одним ТО.</w:t>
      </w:r>
    </w:p>
    <w:p>
      <w:pPr>
        <w:pStyle w:val="Heading2"/>
      </w:pPr>
      <w:r>
        <w:t>R02 Смена подрядчика — первый приоритет</w:t>
      </w:r>
    </w:p>
    <w:p>
      <w:r>
        <w:t xml:space="preserve">Сюжет: подтверждённая причина перехода → изучение документов и состояния системы → согласование передачи → начало обслуживания. Нужен реальный кейс или объяснение фактического процесса инженером. Опора: подходящие отзывы после проверки. CTA: «Рассчитать обслуживание»; </w:t>
      </w:r>
      <w:r>
        <w:rPr>
          <w:rFonts w:ascii="Consolas" w:hAnsi="Consolas"/>
          <w:sz w:val="18"/>
        </w:rPr>
        <w:t>/smena-podryadchika/</w:t>
      </w:r>
      <w:r>
        <w:t>. Не давать неподтверждённые обещания бесплатного исправления или сроков передачи.</w:t>
      </w:r>
    </w:p>
    <w:p>
      <w:pPr>
        <w:pStyle w:val="Heading2"/>
      </w:pPr>
      <w:r>
        <w:t>R03 Кузет — вариант обслуживания</w:t>
      </w:r>
    </w:p>
    <w:p>
      <w:r>
        <w:t xml:space="preserve">Сюжет: кому подходит пакет → что входит по действующим условиям → пример объекта → следующий шаг. Опора: утверждённая страница пакета и реальные материалы обслуживания. CTA: «Рассчитать»; </w:t>
      </w:r>
      <w:r>
        <w:rPr>
          <w:rFonts w:ascii="Consolas" w:hAnsi="Consolas"/>
          <w:sz w:val="18"/>
        </w:rPr>
        <w:t>/kuzet/</w:t>
      </w:r>
      <w:r>
        <w:t>. Не создавать отдельный рекламный бюджет сверх обслуживания и не представлять пакет как подходящий всем объектам.</w:t>
      </w:r>
    </w:p>
    <w:p>
      <w:pPr>
        <w:pStyle w:val="Heading2"/>
      </w:pPr>
      <w:r>
        <w:t>R04 Монтаж</w:t>
      </w:r>
    </w:p>
    <w:p>
      <w:r>
        <w:t xml:space="preserve">Сюжет: задача заказчика → монтаж и пусконаладка → проверка функций → приёмка. Опора: V01/V07/V08, только если подтверждена связь с фактически выполненными работами. CTA: «Рассчитать монтаж»; </w:t>
      </w:r>
      <w:r>
        <w:rPr>
          <w:rFonts w:ascii="Consolas" w:hAnsi="Consolas"/>
          <w:sz w:val="18"/>
        </w:rPr>
        <w:t>/montazh/</w:t>
      </w:r>
      <w:r>
        <w:t>. Тест склада не подменяет рассказ о всём объёме монтажа.</w:t>
      </w:r>
    </w:p>
    <w:p>
      <w:pPr>
        <w:pStyle w:val="Heading2"/>
      </w:pPr>
      <w:r>
        <w:t>R05 Срочная сработка / ремонт</w:t>
      </w:r>
    </w:p>
    <w:p>
      <w:r>
        <w:t xml:space="preserve">Сюжет: симптом → диагностика инженером → найденная причина → работы и итоговая проверка. Опора: V07 и V09 после проверки контекста. CTA: «Вызвать инженера»; </w:t>
      </w:r>
      <w:r>
        <w:rPr>
          <w:rFonts w:ascii="Consolas" w:hAnsi="Consolas"/>
          <w:sz w:val="18"/>
        </w:rPr>
        <w:t>/srabotka/</w:t>
      </w:r>
      <w:r>
        <w:t>. Не включать универсальные указания самостоятельно отключать или сбрасывать систему; в ролике показать действия специалиста на конкретном объекте.</w:t>
      </w:r>
    </w:p>
    <w:p>
      <w:pPr>
        <w:pStyle w:val="Heading2"/>
      </w:pPr>
      <w:r>
        <w:t>R06 Модернизация</w:t>
      </w:r>
    </w:p>
    <w:p>
      <w:r>
        <w:t xml:space="preserve">Сюжет: исходное состояние → обоснование изменений → согласованный объём → результат проверки. Опора: V07/V08 и подходящий отзыв, если подтверждена именно модернизация. CTA: «Рассчитать модернизацию»; </w:t>
      </w:r>
      <w:r>
        <w:rPr>
          <w:rFonts w:ascii="Consolas" w:hAnsi="Consolas"/>
          <w:sz w:val="18"/>
        </w:rPr>
        <w:t>/modernizaciya/</w:t>
      </w:r>
      <w:r>
        <w:t>. Обычный новый монтаж не представлять как модернизацию старой системы.</w:t>
      </w:r>
    </w:p>
    <w:p>
      <w:pPr>
        <w:pStyle w:val="Heading2"/>
      </w:pPr>
      <w:r>
        <w:t>R07 Аудит</w:t>
      </w:r>
    </w:p>
    <w:p>
      <w:r>
        <w:t xml:space="preserve">Сюжет: запрос ЛПР → проверка системы и документов → подтверждённые находки → план следующих действий. Нужен обезличенный пример результата аудита, а не один тест датчика. CTA: «Записаться на аудит»; </w:t>
      </w:r>
      <w:r>
        <w:rPr>
          <w:rFonts w:ascii="Consolas" w:hAnsi="Consolas"/>
          <w:sz w:val="18"/>
        </w:rPr>
        <w:t>/audit/</w:t>
      </w:r>
      <w:r>
        <w:t>.</w:t>
      </w:r>
    </w:p>
    <w:p>
      <w:pPr>
        <w:pStyle w:val="Heading2"/>
      </w:pPr>
      <w:r>
        <w:t>R08 Документы для ЛПР — этап 5</w:t>
      </w:r>
    </w:p>
    <w:p>
      <w:r>
        <w:t>Сюжет: что проверить в конкретном документе → пример использования → приглашение открыть материал → дальнейший расчёт, аудит или обследование по ситуации. CTA: «Открыть чек-лист» на принятую страницу документа. Получение материала не считается договором или коммерческой заявкой. Юридические формулировки берутся из утверждённого содержания документа.</w:t>
      </w:r>
    </w:p>
    <w:p>
      <w:r>
        <w:t>Общие требования к сдаче каждого материала:</w:t>
      </w:r>
    </w:p>
    <w:p>
      <w:pPr>
        <w:pStyle w:val="ListBullet"/>
      </w:pPr>
      <w:r>
        <w:t>Один ролик — одна понятная задача и один следующий шаг. Первые кадры объясняют услугу; доказательство относится к реальному объекту.</w:t>
      </w:r>
    </w:p>
    <w:p>
      <w:pPr>
        <w:pStyle w:val="ListBullet"/>
      </w:pPr>
      <w:r>
        <w:t>Роль спикера установлена; согласовано рекламное использование записи, объекта, отзыва и звука. Сотрудник обозначается как сотрудник.</w:t>
      </w:r>
    </w:p>
    <w:p>
      <w:pPr>
        <w:pStyle w:val="ListBullet"/>
      </w:pPr>
      <w:r>
        <w:t>Цена, бесплатность, срок выезда, лицензия и другие обещания совпадают с принятой страницей и действующими условиями.</w:t>
      </w:r>
    </w:p>
    <w:p>
      <w:pPr>
        <w:pStyle w:val="ListBullet"/>
      </w:pPr>
      <w:r>
        <w:t>Короткая вертикальная версия и при необходимости подробная версия готовятся из подходящих исходников. Рекомендуемые монтажные ориентиры: 15–30 секунд для одного короткого сообщения, 45–90 секунд для кейса; это творческие ориентиры, не пределы платформ.</w:t>
      </w:r>
    </w:p>
    <w:p>
      <w:pPr>
        <w:pStyle w:val="ListBullet"/>
      </w:pPr>
      <w:r>
        <w:t>Для Reels/Stories подготовить вертикальный вариант, для полноразмерного YouTube — пригодный исходный кадр. Субтитры читаемы на телефоне, CTA и контакты не перекрываются интерфейсом. Проверить актуальные требования выбранных размещений перед экспортом.</w:t>
      </w:r>
    </w:p>
    <w:p>
      <w:pPr>
        <w:pStyle w:val="ListBullet"/>
      </w:pPr>
      <w:r>
        <w:t>Сдать исходник, финальные версии, субтитры, обложку, точную ссылку публикации и запись в реестре: материал → услуга → CTA → посадочная → объявления.</w:t>
      </w:r>
    </w:p>
    <w:p>
      <w:pPr>
        <w:pStyle w:val="Heading1"/>
      </w:pPr>
      <w:r>
        <w:t>10. География, бюджет и управление показами</w:t>
      </w:r>
    </w:p>
    <w:p>
      <w:r>
        <w:t>География — Алматы и реально обслуживаемая часть Алматинской области. В Google проверить режим физического присутствия, где он доступен; интерес к региону не заменяет присутствие. В Meta проверить актуальный доступный режим, город/регион и радиус. Если интерфейс не позволяет подтвердить требуемое ограничение, вопрос остаётся открытым до запуска. Выбранная география объявления и заявленный регион объекта учитываются раздельно.</w:t>
      </w:r>
    </w:p>
    <w:p>
      <w:r>
        <w:t>Согласованы два отдельных небольших теста: YouTube — общий бюджет $10 на 10 дней; Instagram — общий бюджет $10 на 10 дней. Это лимит на всю кампанию платформы, а не на каждую услугу, группу или ролик. Новая сегментация не умножает сумму. Конвертация в тенге приблизительна и уточняется перед запуском; отдельно проверить валюту кабинета, налоги и суммы списаний.</w:t>
      </w:r>
    </w:p>
    <w:p>
      <w:r>
        <w:t>В рамках каждого теста использовать поддерживаемый платформой общий/lifetime бюджет и реальные даты будущего ручного запуска. Если такой лимит недоступен для выбранного подтипа, не заменять его повышенным дневным бюджетом автоматически: согласовать способ ограничения. Самостоятельно переносить бюджет между Google и Meta нельзя.</w:t>
      </w:r>
    </w:p>
    <w:p>
      <w:r>
        <w:t>Медиаплан поисковых направлений предусматривает 230–355 тыс. ₸ в месяц; это плановая рамка, а не разрешение нового расхода. Кузет находится внутри бюджета обслуживания. КМС, CRM-аудитории и новые кампании требуют отдельного лимита.</w:t>
      </w:r>
    </w:p>
    <w:p>
      <w:r>
        <w:t>Малый тест проверяет доступность доставки и релевантность материалов; не гарантирует договоры или завершение семи шагов за десять дней. Невыбранный бюджет не обязательно будет потрачен. При малой базе не увеличивать частоту и бюджет ради полного расходования. Проверять частоту, охват, усталость материала и стоимость результата; использовать ограничение частоты только там, где оно реально поддерживается. Межплатформенную общую частоту не заявлять управляемой.</w:t>
      </w:r>
    </w:p>
    <w:p>
      <w:pPr>
        <w:pStyle w:val="Heading1"/>
        <w:pageBreakBefore/>
      </w:pPr>
      <w:r>
        <w:t>11. Приёмка и условия ручного запуска</w:t>
      </w:r>
    </w:p>
    <w:p>
      <w:r>
        <w:t>Исполнитель ведёт протокол: дата, версия сайта/GTM, маршрут, проверка, ожидаемое и фактическое поведение, обезличенное доказательство, результат «пройдено / ошибка / ожидает». В публичный журнал не включать контакты, полный payload, платёжные данные и ссылки с параметрами авторизации. В этой работе тестовые заявки повторно не отправляются; ниже заданы требования для согласованного внедрения.</w:t>
      </w:r>
    </w:p>
    <w:tbl>
      <w:tblPr>
        <w:tblW w:type="auto" w:w="0"/>
        <w:jc w:val="center"/>
        <w:tblLayout w:type="fixed"/>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CellMar>
          <w:top w:w="65" w:type="dxa"/>
          <w:bottom w:w="65" w:type="dxa"/>
          <w:left w:w="90" w:type="dxa"/>
          <w:right w:w="90" w:type="dxa"/>
        </w:tblCellMar>
      </w:tblPr>
      <w:tblGrid>
        <w:gridCol w:w="3231"/>
        <w:gridCol w:w="6406"/>
      </w:tblGrid>
      <w:tr>
        <w:trPr>
          <w:cantSplit/>
          <w:tblHeader/>
        </w:trPr>
        <w:tc>
          <w:tcPr>
            <w:tcW w:type="dxa" w:w="3231"/>
            <w:vAlign w:val="top"/>
            <w:shd w:fill="F1F1F1"/>
          </w:tcPr>
          <w:p>
            <w:pPr>
              <w:spacing w:after="0" w:line="252" w:lineRule="auto"/>
            </w:pPr>
            <w:r>
              <w:rPr>
                <w:b/>
                <w:sz w:val="19"/>
              </w:rPr>
              <w:t>Проверка</w:t>
            </w:r>
          </w:p>
        </w:tc>
        <w:tc>
          <w:tcPr>
            <w:tcW w:type="dxa" w:w="6406"/>
            <w:vAlign w:val="top"/>
            <w:shd w:fill="F1F1F1"/>
          </w:tcPr>
          <w:p>
            <w:pPr>
              <w:spacing w:after="0" w:line="252" w:lineRule="auto"/>
            </w:pPr>
            <w:r>
              <w:rPr>
                <w:b/>
                <w:sz w:val="19"/>
              </w:rPr>
              <w:t>Ожидаемый результат</w:t>
            </w:r>
          </w:p>
        </w:tc>
      </w:tr>
      <w:tr>
        <w:trPr>
          <w:cantSplit/>
        </w:trPr>
        <w:tc>
          <w:tcPr>
            <w:tcW w:type="dxa" w:w="3231"/>
            <w:vAlign w:val="top"/>
          </w:tcPr>
          <w:p>
            <w:pPr>
              <w:spacing w:after="0" w:line="252" w:lineRule="auto"/>
            </w:pPr>
            <w:r>
              <w:rPr>
                <w:sz w:val="19"/>
              </w:rPr>
              <w:t>Новая страница</w:t>
            </w:r>
          </w:p>
        </w:tc>
        <w:tc>
          <w:tcPr>
            <w:tcW w:type="dxa" w:w="6406"/>
            <w:vAlign w:val="top"/>
          </w:tcPr>
          <w:p>
            <w:pPr>
              <w:spacing w:after="0" w:line="252" w:lineRule="auto"/>
            </w:pPr>
            <w:r>
              <w:rPr>
                <w:sz w:val="19"/>
              </w:rPr>
              <w:t>Один GTM, зарегистрированный маршрут, верные параметры и CTA; нет локальных дублирующих тегов</w:t>
            </w:r>
          </w:p>
        </w:tc>
      </w:tr>
      <w:tr>
        <w:trPr>
          <w:cantSplit/>
        </w:trPr>
        <w:tc>
          <w:tcPr>
            <w:tcW w:type="dxa" w:w="3231"/>
            <w:vAlign w:val="top"/>
          </w:tcPr>
          <w:p>
            <w:pPr>
              <w:spacing w:after="0" w:line="252" w:lineRule="auto"/>
            </w:pPr>
            <w:r>
              <w:rPr>
                <w:sz w:val="19"/>
              </w:rPr>
              <w:t>До выбора / только необходимые</w:t>
            </w:r>
          </w:p>
        </w:tc>
        <w:tc>
          <w:tcPr>
            <w:tcW w:type="dxa" w:w="6406"/>
            <w:vAlign w:val="top"/>
          </w:tcPr>
          <w:p>
            <w:pPr>
              <w:spacing w:after="0" w:line="252" w:lineRule="auto"/>
            </w:pPr>
            <w:r>
              <w:rPr>
                <w:sz w:val="19"/>
              </w:rPr>
              <w:t>Необязательные системы работают по общему стандарту; Meta не загружается; форма и файл доступны</w:t>
            </w:r>
          </w:p>
        </w:tc>
      </w:tr>
      <w:tr>
        <w:trPr>
          <w:cantSplit/>
        </w:trPr>
        <w:tc>
          <w:tcPr>
            <w:tcW w:type="dxa" w:w="3231"/>
            <w:vAlign w:val="top"/>
          </w:tcPr>
          <w:p>
            <w:pPr>
              <w:spacing w:after="0" w:line="252" w:lineRule="auto"/>
            </w:pPr>
            <w:r>
              <w:rPr>
                <w:sz w:val="19"/>
              </w:rPr>
              <w:t>Только одна рекламная категория</w:t>
            </w:r>
          </w:p>
        </w:tc>
        <w:tc>
          <w:tcPr>
            <w:tcW w:type="dxa" w:w="6406"/>
            <w:vAlign w:val="top"/>
          </w:tcPr>
          <w:p>
            <w:pPr>
              <w:spacing w:after="0" w:line="252" w:lineRule="auto"/>
            </w:pPr>
            <w:r>
              <w:rPr>
                <w:sz w:val="19"/>
              </w:rPr>
              <w:t>Meta заблокирована; отсутствующее marketing не восстанавливает разрешение</w:t>
            </w:r>
          </w:p>
        </w:tc>
      </w:tr>
      <w:tr>
        <w:trPr>
          <w:cantSplit/>
        </w:trPr>
        <w:tc>
          <w:tcPr>
            <w:tcW w:type="dxa" w:w="3231"/>
            <w:vAlign w:val="top"/>
          </w:tcPr>
          <w:p>
            <w:pPr>
              <w:spacing w:after="0" w:line="252" w:lineRule="auto"/>
            </w:pPr>
            <w:r>
              <w:rPr>
                <w:sz w:val="19"/>
              </w:rPr>
              <w:t>Принять всё, переход, перезагрузка</w:t>
            </w:r>
          </w:p>
        </w:tc>
        <w:tc>
          <w:tcPr>
            <w:tcW w:type="dxa" w:w="6406"/>
            <w:vAlign w:val="top"/>
          </w:tcPr>
          <w:p>
            <w:pPr>
              <w:spacing w:after="0" w:line="252" w:lineRule="auto"/>
            </w:pPr>
            <w:r>
              <w:rPr>
                <w:sz w:val="19"/>
              </w:rPr>
              <w:t>Выбор сохраняется; Meta PageView один раз на каждый документ</w:t>
            </w:r>
          </w:p>
        </w:tc>
      </w:tr>
      <w:tr>
        <w:trPr>
          <w:cantSplit/>
        </w:trPr>
        <w:tc>
          <w:tcPr>
            <w:tcW w:type="dxa" w:w="3231"/>
            <w:vAlign w:val="top"/>
          </w:tcPr>
          <w:p>
            <w:pPr>
              <w:spacing w:after="0" w:line="252" w:lineRule="auto"/>
            </w:pPr>
            <w:r>
              <w:rPr>
                <w:sz w:val="19"/>
              </w:rPr>
              <w:t>Отзыв из подвала</w:t>
            </w:r>
          </w:p>
        </w:tc>
        <w:tc>
          <w:tcPr>
            <w:tcW w:type="dxa" w:w="6406"/>
            <w:vAlign w:val="top"/>
          </w:tcPr>
          <w:p>
            <w:pPr>
              <w:spacing w:after="0" w:line="252" w:lineRule="auto"/>
            </w:pPr>
            <w:r>
              <w:rPr>
                <w:sz w:val="19"/>
              </w:rPr>
              <w:t>Новые рекламные события заблокированы; решение сохраняется после перехода</w:t>
            </w:r>
          </w:p>
        </w:tc>
      </w:tr>
      <w:tr>
        <w:trPr>
          <w:cantSplit/>
        </w:trPr>
        <w:tc>
          <w:tcPr>
            <w:tcW w:type="dxa" w:w="3231"/>
            <w:vAlign w:val="top"/>
          </w:tcPr>
          <w:p>
            <w:pPr>
              <w:spacing w:after="0" w:line="252" w:lineRule="auto"/>
            </w:pPr>
            <w:r>
              <w:rPr>
                <w:sz w:val="19"/>
              </w:rPr>
              <w:t>Ошибка формы / отказ приёмщика</w:t>
            </w:r>
          </w:p>
        </w:tc>
        <w:tc>
          <w:tcPr>
            <w:tcW w:type="dxa" w:w="6406"/>
            <w:vAlign w:val="top"/>
          </w:tcPr>
          <w:p>
            <w:pPr>
              <w:spacing w:after="0" w:line="252" w:lineRule="auto"/>
            </w:pPr>
            <w:r>
              <w:rPr>
                <w:sz w:val="19"/>
              </w:rPr>
              <w:t xml:space="preserve">Нет </w:t>
            </w:r>
            <w:r>
              <w:rPr>
                <w:rFonts w:ascii="Consolas" w:hAnsi="Consolas"/>
                <w:sz w:val="19"/>
              </w:rPr>
              <w:t>pz_form_success</w:t>
            </w:r>
            <w:r>
              <w:rPr>
                <w:sz w:val="19"/>
              </w:rPr>
              <w:t>, Lead и исключения заявителя</w:t>
            </w:r>
          </w:p>
        </w:tc>
      </w:tr>
      <w:tr>
        <w:trPr>
          <w:cantSplit/>
        </w:trPr>
        <w:tc>
          <w:tcPr>
            <w:tcW w:type="dxa" w:w="3231"/>
            <w:vAlign w:val="top"/>
          </w:tcPr>
          <w:p>
            <w:pPr>
              <w:spacing w:after="0" w:line="252" w:lineRule="auto"/>
            </w:pPr>
            <w:r>
              <w:rPr>
                <w:sz w:val="19"/>
              </w:rPr>
              <w:t>Подтверждённая коммерческая форма</w:t>
            </w:r>
          </w:p>
        </w:tc>
        <w:tc>
          <w:tcPr>
            <w:tcW w:type="dxa" w:w="6406"/>
            <w:vAlign w:val="top"/>
          </w:tcPr>
          <w:p>
            <w:pPr>
              <w:spacing w:after="0" w:line="252" w:lineRule="auto"/>
            </w:pPr>
            <w:r>
              <w:rPr>
                <w:sz w:val="19"/>
              </w:rPr>
              <w:t>Один UUID по всей цепочке; одна запись приёмщика; корректная услуга и действие</w:t>
            </w:r>
          </w:p>
        </w:tc>
      </w:tr>
      <w:tr>
        <w:trPr>
          <w:cantSplit/>
        </w:trPr>
        <w:tc>
          <w:tcPr>
            <w:tcW w:type="dxa" w:w="3231"/>
            <w:vAlign w:val="top"/>
          </w:tcPr>
          <w:p>
            <w:pPr>
              <w:spacing w:after="0" w:line="252" w:lineRule="auto"/>
            </w:pPr>
            <w:r>
              <w:rPr>
                <w:sz w:val="19"/>
              </w:rPr>
              <w:t>Повтор того же успеха</w:t>
            </w:r>
          </w:p>
        </w:tc>
        <w:tc>
          <w:tcPr>
            <w:tcW w:type="dxa" w:w="6406"/>
            <w:vAlign w:val="top"/>
          </w:tcPr>
          <w:p>
            <w:pPr>
              <w:spacing w:after="0" w:line="252" w:lineRule="auto"/>
            </w:pPr>
            <w:r>
              <w:rPr>
                <w:sz w:val="19"/>
              </w:rPr>
              <w:t>Нет дубля события, Meta Lead, CRM-результата; Ads-тег не запускается повторно в документе</w:t>
            </w:r>
          </w:p>
        </w:tc>
      </w:tr>
      <w:tr>
        <w:trPr>
          <w:cantSplit/>
        </w:trPr>
        <w:tc>
          <w:tcPr>
            <w:tcW w:type="dxa" w:w="3231"/>
            <w:vAlign w:val="top"/>
          </w:tcPr>
          <w:p>
            <w:pPr>
              <w:spacing w:after="0" w:line="252" w:lineRule="auto"/>
            </w:pPr>
            <w:r>
              <w:rPr>
                <w:sz w:val="19"/>
              </w:rPr>
              <w:t>Вторая самостоятельная заявка</w:t>
            </w:r>
          </w:p>
        </w:tc>
        <w:tc>
          <w:tcPr>
            <w:tcW w:type="dxa" w:w="6406"/>
            <w:vAlign w:val="top"/>
          </w:tcPr>
          <w:p>
            <w:pPr>
              <w:spacing w:after="0" w:line="252" w:lineRule="auto"/>
            </w:pPr>
            <w:r>
              <w:rPr>
                <w:sz w:val="19"/>
              </w:rPr>
              <w:t>Новый UUID; ограничение Ads «Один раз на страницу» явно учтено</w:t>
            </w:r>
          </w:p>
        </w:tc>
      </w:tr>
      <w:tr>
        <w:trPr>
          <w:cantSplit/>
        </w:trPr>
        <w:tc>
          <w:tcPr>
            <w:tcW w:type="dxa" w:w="3231"/>
            <w:vAlign w:val="top"/>
          </w:tcPr>
          <w:p>
            <w:pPr>
              <w:spacing w:after="0" w:line="252" w:lineRule="auto"/>
            </w:pPr>
            <w:r>
              <w:rPr>
                <w:sz w:val="19"/>
              </w:rPr>
              <w:t>Выдача документа</w:t>
            </w:r>
          </w:p>
        </w:tc>
        <w:tc>
          <w:tcPr>
            <w:tcW w:type="dxa" w:w="6406"/>
            <w:vAlign w:val="top"/>
          </w:tcPr>
          <w:p>
            <w:pPr>
              <w:spacing w:after="0" w:line="252" w:lineRule="auto"/>
            </w:pPr>
            <w:r>
              <w:rPr>
                <w:rFonts w:ascii="Consolas" w:hAnsi="Consolas"/>
                <w:sz w:val="19"/>
              </w:rPr>
              <w:t>document_download</w:t>
            </w:r>
            <w:r>
              <w:rPr>
                <w:sz w:val="19"/>
              </w:rPr>
              <w:t xml:space="preserve">, </w:t>
            </w:r>
            <w:r>
              <w:rPr>
                <w:rFonts w:ascii="Consolas" w:hAnsi="Consolas"/>
                <w:sz w:val="19"/>
              </w:rPr>
              <w:t>pz_download_document</w:t>
            </w:r>
            <w:r>
              <w:rPr>
                <w:sz w:val="19"/>
              </w:rPr>
              <w:t xml:space="preserve">, </w:t>
            </w:r>
            <w:r>
              <w:rPr>
                <w:rFonts w:ascii="Consolas" w:hAnsi="Consolas"/>
                <w:sz w:val="19"/>
              </w:rPr>
              <w:t>file_name</w:t>
            </w:r>
            <w:r>
              <w:rPr>
                <w:sz w:val="19"/>
              </w:rPr>
              <w:t>; не подменяет коммерческую заявку</w:t>
            </w:r>
          </w:p>
        </w:tc>
      </w:tr>
      <w:tr>
        <w:trPr>
          <w:cantSplit/>
        </w:trPr>
        <w:tc>
          <w:tcPr>
            <w:tcW w:type="dxa" w:w="3231"/>
            <w:vAlign w:val="top"/>
          </w:tcPr>
          <w:p>
            <w:pPr>
              <w:spacing w:after="0" w:line="252" w:lineRule="auto"/>
            </w:pPr>
            <w:r>
              <w:rPr>
                <w:sz w:val="19"/>
              </w:rPr>
              <w:t>Другой регион объекта</w:t>
            </w:r>
          </w:p>
        </w:tc>
        <w:tc>
          <w:tcPr>
            <w:tcW w:type="dxa" w:w="6406"/>
            <w:vAlign w:val="top"/>
          </w:tcPr>
          <w:p>
            <w:pPr>
              <w:spacing w:after="0" w:line="252" w:lineRule="auto"/>
            </w:pPr>
            <w:r>
              <w:rPr>
                <w:sz w:val="19"/>
              </w:rPr>
              <w:t>Документ выдан; отдельный учёт без продажных задач; серверная проверка геосегмента</w:t>
            </w:r>
          </w:p>
        </w:tc>
      </w:tr>
      <w:tr>
        <w:trPr>
          <w:cantSplit/>
        </w:trPr>
        <w:tc>
          <w:tcPr>
            <w:tcW w:type="dxa" w:w="3231"/>
            <w:vAlign w:val="top"/>
          </w:tcPr>
          <w:p>
            <w:pPr>
              <w:spacing w:after="0" w:line="252" w:lineRule="auto"/>
            </w:pPr>
            <w:r>
              <w:rPr>
                <w:sz w:val="19"/>
              </w:rPr>
              <w:t>Аудитории</w:t>
            </w:r>
          </w:p>
        </w:tc>
        <w:tc>
          <w:tcPr>
            <w:tcW w:type="dxa" w:w="6406"/>
            <w:vAlign w:val="top"/>
          </w:tcPr>
          <w:p>
            <w:pPr>
              <w:spacing w:after="0" w:line="252" w:lineRule="auto"/>
            </w:pPr>
            <w:r>
              <w:rPr>
                <w:sz w:val="19"/>
              </w:rPr>
              <w:t>Правильный источник, URL/фильтры и окна; включение и исключение проверены после сохранения</w:t>
            </w:r>
          </w:p>
        </w:tc>
      </w:tr>
      <w:tr>
        <w:trPr>
          <w:cantSplit/>
        </w:trPr>
        <w:tc>
          <w:tcPr>
            <w:tcW w:type="dxa" w:w="3231"/>
            <w:vAlign w:val="top"/>
          </w:tcPr>
          <w:p>
            <w:pPr>
              <w:spacing w:after="0" w:line="252" w:lineRule="auto"/>
            </w:pPr>
            <w:r>
              <w:rPr>
                <w:sz w:val="19"/>
              </w:rPr>
              <w:t>Площадка получила событие</w:t>
            </w:r>
          </w:p>
        </w:tc>
        <w:tc>
          <w:tcPr>
            <w:tcW w:type="dxa" w:w="6406"/>
            <w:vAlign w:val="top"/>
          </w:tcPr>
          <w:p>
            <w:pPr>
              <w:spacing w:after="0" w:line="252" w:lineRule="auto"/>
            </w:pPr>
            <w:r>
              <w:rPr>
                <w:sz w:val="19"/>
              </w:rPr>
              <w:t>Подтверждено её диагностикой; браузерная трасса отдельно, задержка помечена «ожидает»</w:t>
            </w:r>
          </w:p>
        </w:tc>
      </w:tr>
      <w:tr>
        <w:trPr>
          <w:cantSplit/>
        </w:trPr>
        <w:tc>
          <w:tcPr>
            <w:tcW w:type="dxa" w:w="3231"/>
            <w:vAlign w:val="top"/>
          </w:tcPr>
          <w:p>
            <w:pPr>
              <w:spacing w:after="0" w:line="252" w:lineRule="auto"/>
            </w:pPr>
            <w:r>
              <w:rPr>
                <w:sz w:val="19"/>
              </w:rPr>
              <w:t>Креатив и посадочная</w:t>
            </w:r>
          </w:p>
        </w:tc>
        <w:tc>
          <w:tcPr>
            <w:tcW w:type="dxa" w:w="6406"/>
            <w:vAlign w:val="top"/>
          </w:tcPr>
          <w:p>
            <w:pPr>
              <w:spacing w:after="0" w:line="252" w:lineRule="auto"/>
            </w:pPr>
            <w:r>
              <w:rPr>
                <w:sz w:val="19"/>
              </w:rPr>
              <w:t>Полный аудит видео, корректная роль, актуальный CTA, мобильная страница и рекламное превью</w:t>
            </w:r>
          </w:p>
        </w:tc>
      </w:tr>
      <w:tr>
        <w:trPr>
          <w:cantSplit/>
        </w:trPr>
        <w:tc>
          <w:tcPr>
            <w:tcW w:type="dxa" w:w="3231"/>
            <w:vAlign w:val="top"/>
          </w:tcPr>
          <w:p>
            <w:pPr>
              <w:spacing w:after="0" w:line="252" w:lineRule="auto"/>
            </w:pPr>
            <w:r>
              <w:rPr>
                <w:sz w:val="19"/>
              </w:rPr>
              <w:t>Договор и повтор импорта</w:t>
            </w:r>
          </w:p>
        </w:tc>
        <w:tc>
          <w:tcPr>
            <w:tcW w:type="dxa" w:w="6406"/>
            <w:vAlign w:val="top"/>
          </w:tcPr>
          <w:p>
            <w:pPr>
              <w:spacing w:after="0" w:line="252" w:lineRule="auto"/>
            </w:pPr>
            <w:r>
              <w:rPr>
                <w:rFonts w:ascii="Consolas" w:hAnsi="Consolas"/>
                <w:sz w:val="19"/>
              </w:rPr>
              <w:t>contract_won</w:t>
            </w:r>
            <w:r>
              <w:rPr>
                <w:sz w:val="19"/>
              </w:rPr>
              <w:t xml:space="preserve"> Primary по реальному договору, один результат при повторе; прочие цели Secondary</w:t>
            </w:r>
          </w:p>
        </w:tc>
      </w:tr>
      <w:tr>
        <w:trPr>
          <w:cantSplit/>
        </w:trPr>
        <w:tc>
          <w:tcPr>
            <w:tcW w:type="dxa" w:w="3231"/>
            <w:vAlign w:val="top"/>
          </w:tcPr>
          <w:p>
            <w:pPr>
              <w:spacing w:after="0" w:line="252" w:lineRule="auto"/>
            </w:pPr>
            <w:r>
              <w:rPr>
                <w:sz w:val="19"/>
              </w:rPr>
              <w:t>Подготовленные кампании</w:t>
            </w:r>
          </w:p>
        </w:tc>
        <w:tc>
          <w:tcPr>
            <w:tcW w:type="dxa" w:w="6406"/>
            <w:vAlign w:val="top"/>
          </w:tcPr>
          <w:p>
            <w:pPr>
              <w:spacing w:after="0" w:line="252" w:lineRule="auto"/>
            </w:pPr>
            <w:r>
              <w:rPr>
                <w:sz w:val="19"/>
              </w:rPr>
              <w:t>Все уровни выключены/на паузе; отсутствует самопроизвольный запуск по техническим датам</w:t>
            </w:r>
          </w:p>
        </w:tc>
      </w:tr>
    </w:tbl>
    <w:p>
      <w:pPr>
        <w:spacing w:after="40" w:before="0" w:line="240" w:lineRule="auto"/>
      </w:pPr>
      <w:r>
        <w:rPr>
          <w:sz w:val="4"/>
        </w:rPr>
      </w:r>
    </w:p>
    <w:p>
      <w:r>
        <w:t>До ручного включения специалист повторно подтверждает пригодность аудитории именно для выбранной сети, модерацию каждого объявления, строгие ограничения и исключения, географию, посадочную, реальные даты, общий лимит, согласие и цель кампании. Единый числовой минимум аудитории не фиксируется: доступность проверяется в актуальном кабинете. Созданный список и статус черновика не означают готовность показов.</w:t>
      </w:r>
    </w:p>
    <w:p>
      <w:r>
        <w:t>Мониторинг готовности работает только на чтение: сообщает о возможности запуска или необходимом действии, сохраняет тишину при неизменном состоянии. Он не включает кампании, не публикует теги и не отправляет заявки. Финальное решение о запуске принимает владелец отдельно по принятому протоколу.</w:t>
      </w:r>
    </w:p>
    <w:p>
      <w:pPr>
        <w:pStyle w:val="Heading1"/>
      </w:pPr>
      <w:r>
        <w:t>12. Состав сдачи, ответственность и контроль результата</w:t>
      </w:r>
    </w:p>
    <w:tbl>
      <w:tblPr>
        <w:tblW w:type="auto" w:w="0"/>
        <w:jc w:val="center"/>
        <w:tblLayout w:type="fixed"/>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CellMar>
          <w:top w:w="65" w:type="dxa"/>
          <w:bottom w:w="65" w:type="dxa"/>
          <w:left w:w="90" w:type="dxa"/>
          <w:right w:w="90" w:type="dxa"/>
        </w:tblCellMar>
      </w:tblPr>
      <w:tblGrid>
        <w:gridCol w:w="2608"/>
        <w:gridCol w:w="7030"/>
      </w:tblGrid>
      <w:tr>
        <w:trPr>
          <w:cantSplit/>
          <w:tblHeader/>
        </w:trPr>
        <w:tc>
          <w:tcPr>
            <w:tcW w:type="dxa" w:w="2608"/>
            <w:vAlign w:val="top"/>
            <w:shd w:fill="F1F1F1"/>
          </w:tcPr>
          <w:p>
            <w:pPr>
              <w:spacing w:after="0" w:line="252" w:lineRule="auto"/>
            </w:pPr>
            <w:r>
              <w:rPr>
                <w:b/>
                <w:sz w:val="19"/>
              </w:rPr>
              <w:t>Ответственный</w:t>
            </w:r>
          </w:p>
        </w:tc>
        <w:tc>
          <w:tcPr>
            <w:tcW w:type="dxa" w:w="7030"/>
            <w:vAlign w:val="top"/>
            <w:shd w:fill="F1F1F1"/>
          </w:tcPr>
          <w:p>
            <w:pPr>
              <w:spacing w:after="0" w:line="252" w:lineRule="auto"/>
            </w:pPr>
            <w:r>
              <w:rPr>
                <w:b/>
                <w:sz w:val="19"/>
              </w:rPr>
              <w:t>Результат работ</w:t>
            </w:r>
          </w:p>
        </w:tc>
      </w:tr>
      <w:tr>
        <w:trPr>
          <w:cantSplit/>
        </w:trPr>
        <w:tc>
          <w:tcPr>
            <w:tcW w:type="dxa" w:w="2608"/>
            <w:vAlign w:val="top"/>
          </w:tcPr>
          <w:p>
            <w:pPr>
              <w:spacing w:after="0" w:line="252" w:lineRule="auto"/>
            </w:pPr>
            <w:r>
              <w:rPr>
                <w:sz w:val="19"/>
              </w:rPr>
              <w:t>Разработчик сайта</w:t>
            </w:r>
          </w:p>
        </w:tc>
        <w:tc>
          <w:tcPr>
            <w:tcW w:type="dxa" w:w="7030"/>
            <w:vAlign w:val="top"/>
          </w:tcPr>
          <w:p>
            <w:pPr>
              <w:spacing w:after="0" w:line="252" w:lineRule="auto"/>
            </w:pPr>
            <w:r>
              <w:rPr>
                <w:sz w:val="19"/>
              </w:rPr>
              <w:t>Реестр маршрутов, формы и подтверждённый путь успеха; страницы и документы без дублей общего кода</w:t>
            </w:r>
          </w:p>
        </w:tc>
      </w:tr>
      <w:tr>
        <w:trPr>
          <w:cantSplit/>
        </w:trPr>
        <w:tc>
          <w:tcPr>
            <w:tcW w:type="dxa" w:w="2608"/>
            <w:vAlign w:val="top"/>
          </w:tcPr>
          <w:p>
            <w:pPr>
              <w:spacing w:after="0" w:line="252" w:lineRule="auto"/>
            </w:pPr>
            <w:r>
              <w:rPr>
                <w:sz w:val="19"/>
              </w:rPr>
              <w:t>Специалист по аналитике</w:t>
            </w:r>
          </w:p>
        </w:tc>
        <w:tc>
          <w:tcPr>
            <w:tcW w:type="dxa" w:w="7030"/>
            <w:vAlign w:val="top"/>
          </w:tcPr>
          <w:p>
            <w:pPr>
              <w:spacing w:after="0" w:line="252" w:lineRule="auto"/>
            </w:pPr>
            <w:r>
              <w:rPr>
                <w:sz w:val="19"/>
              </w:rPr>
              <w:t>Схема событий и полей, согласие, классификация документов/заявок, дедупликация, приёмка источников</w:t>
            </w:r>
          </w:p>
        </w:tc>
      </w:tr>
      <w:tr>
        <w:trPr>
          <w:cantSplit/>
        </w:trPr>
        <w:tc>
          <w:tcPr>
            <w:tcW w:type="dxa" w:w="2608"/>
            <w:vAlign w:val="top"/>
          </w:tcPr>
          <w:p>
            <w:pPr>
              <w:spacing w:after="0" w:line="252" w:lineRule="auto"/>
            </w:pPr>
            <w:r>
              <w:rPr>
                <w:sz w:val="19"/>
              </w:rPr>
              <w:t>Рекламный специалист</w:t>
            </w:r>
          </w:p>
        </w:tc>
        <w:tc>
          <w:tcPr>
            <w:tcW w:type="dxa" w:w="7030"/>
            <w:vAlign w:val="top"/>
          </w:tcPr>
          <w:p>
            <w:pPr>
              <w:spacing w:after="0" w:line="252" w:lineRule="auto"/>
            </w:pPr>
            <w:r>
              <w:rPr>
                <w:sz w:val="19"/>
              </w:rPr>
              <w:t>Матрица списков и исключений, выключенные кампании, география, размещения, бюджеты и проверка доступности</w:t>
            </w:r>
          </w:p>
        </w:tc>
      </w:tr>
      <w:tr>
        <w:trPr>
          <w:cantSplit/>
        </w:trPr>
        <w:tc>
          <w:tcPr>
            <w:tcW w:type="dxa" w:w="2608"/>
            <w:vAlign w:val="top"/>
          </w:tcPr>
          <w:p>
            <w:pPr>
              <w:spacing w:after="0" w:line="252" w:lineRule="auto"/>
            </w:pPr>
            <w:r>
              <w:rPr>
                <w:sz w:val="19"/>
              </w:rPr>
              <w:t>Ответственный за материалы</w:t>
            </w:r>
          </w:p>
        </w:tc>
        <w:tc>
          <w:tcPr>
            <w:tcW w:type="dxa" w:w="7030"/>
            <w:vAlign w:val="top"/>
          </w:tcPr>
          <w:p>
            <w:pPr>
              <w:spacing w:after="0" w:line="252" w:lineRule="auto"/>
            </w:pPr>
            <w:r>
              <w:rPr>
                <w:sz w:val="19"/>
              </w:rPr>
              <w:t>Полный аудит кандидатов; подходящие версии; задания R01–R08 только для выявленных пробелов</w:t>
            </w:r>
          </w:p>
        </w:tc>
      </w:tr>
      <w:tr>
        <w:trPr>
          <w:cantSplit/>
        </w:trPr>
        <w:tc>
          <w:tcPr>
            <w:tcW w:type="dxa" w:w="2608"/>
            <w:vAlign w:val="top"/>
          </w:tcPr>
          <w:p>
            <w:pPr>
              <w:spacing w:after="0" w:line="252" w:lineRule="auto"/>
            </w:pPr>
            <w:r>
              <w:rPr>
                <w:sz w:val="19"/>
              </w:rPr>
              <w:t>CRM / продажи</w:t>
            </w:r>
          </w:p>
        </w:tc>
        <w:tc>
          <w:tcPr>
            <w:tcW w:type="dxa" w:w="7030"/>
            <w:vAlign w:val="top"/>
          </w:tcPr>
          <w:p>
            <w:pPr>
              <w:spacing w:after="0" w:line="252" w:lineRule="auto"/>
            </w:pPr>
            <w:r>
              <w:rPr>
                <w:sz w:val="19"/>
              </w:rPr>
              <w:t>Сохранение источника и услуги, корректный маршрут обращения, подтверждённый договор без дублей</w:t>
            </w:r>
          </w:p>
        </w:tc>
      </w:tr>
      <w:tr>
        <w:trPr>
          <w:cantSplit/>
        </w:trPr>
        <w:tc>
          <w:tcPr>
            <w:tcW w:type="dxa" w:w="2608"/>
            <w:vAlign w:val="top"/>
          </w:tcPr>
          <w:p>
            <w:pPr>
              <w:spacing w:after="0" w:line="252" w:lineRule="auto"/>
            </w:pPr>
            <w:r>
              <w:rPr>
                <w:sz w:val="19"/>
              </w:rPr>
              <w:t>Владелец</w:t>
            </w:r>
          </w:p>
        </w:tc>
        <w:tc>
          <w:tcPr>
            <w:tcW w:type="dxa" w:w="7030"/>
            <w:vAlign w:val="top"/>
          </w:tcPr>
          <w:p>
            <w:pPr>
              <w:spacing w:after="0" w:line="252" w:lineRule="auto"/>
            </w:pPr>
            <w:r>
              <w:rPr>
                <w:sz w:val="19"/>
              </w:rPr>
              <w:t>Утверждение новых материалов, существенных изменений бюджета и отдельного ручного запуска</w:t>
            </w:r>
          </w:p>
        </w:tc>
      </w:tr>
    </w:tbl>
    <w:p>
      <w:pPr>
        <w:spacing w:after="40" w:before="0" w:line="240" w:lineRule="auto"/>
      </w:pPr>
      <w:r>
        <w:rPr>
          <w:sz w:val="4"/>
        </w:rPr>
      </w:r>
    </w:p>
    <w:p>
      <w:r>
        <w:t>Обязательный комплект сдачи: реестр страница → форма → услуга → действие; реестр аудиторий с правилами, окнами и исключениями; каталог проверенных роликов и пробелов; матрица объявление → материал → CTA → посадочная; экспорт принятой версии GTM; протокол положительных и отрицательных проверок; снимок выключенных настроек и перечень нерешённых условий запуска. Закрытые идентификаторы и доказательства хранятся в рабочем защищённом протоколе, общие правила — в ТЗ GitHub.</w:t>
      </w:r>
    </w:p>
    <w:p>
      <w:r>
        <w:t>Отчёт после будущего запуска включает расходы, уникальный охват внутри каждой платформы, частоту, просмотры, переходы, коммерческие заявки отдельно от документов, квалификацию, договоры и стоимость договора по услуге. Охват Meta и Google не складывается как число уникальных людей. Результаты соотносятся с первоначальным источником и рекламным возвратом; тестовые события отдельно исключаются из бизнес-выводов.</w:t>
      </w:r>
    </w:p>
    <w:p>
      <w:r>
        <w:t>Экономика анализируется по направлениям медиаплана: Кузет, регулярное обслуживание, документарный аутсорсинг и монтаж; новые MRR и валовая прибыль учитываются там, где применимы. При небольшой выборке выводы отмечаются как предварительные. Изменения бюджета более 20% за неделю фиксируются с причиной, датой и метрикой по ТЗ Google Ads.</w:t>
      </w:r>
    </w:p>
    <w:p>
      <w:r>
        <w:t>После каждого крупного внедрения обновляются соответствующие ТЗ и журнал GitHub в рамках той же работы; сохранённые файлы повторно читаются и сверяются. Word и Markdown этой спецификации имеют одну версию и одинаковые требования. Новая версия фиксирует фактическое внедрение отдельно от планируемого.</w:t>
      </w:r>
    </w:p>
    <w:p>
      <w:pPr>
        <w:pStyle w:val="Heading1"/>
        <w:pageBreakBefore/>
      </w:pPr>
      <w:r>
        <w:t>Источники и связанные требования</w:t>
      </w:r>
    </w:p>
    <w:p>
      <w:r>
        <w:t>Проверены актуальные файлы GitHub на 9 октября 2026 года. Старые локальные копии и архивные редакции не заменяют этот комплект.</w:t>
      </w:r>
    </w:p>
    <w:p>
      <w:pPr>
        <w:pStyle w:val="ListBullet"/>
      </w:pPr>
      <w:hyperlink r:id="rId21">
        <w:r>
          <w:rPr>
            <w:color w:val="0563C1"/>
            <w:u w:val="single"/>
          </w:rPr>
          <w:t>Медиаплан Pozharnik 4.5</w:t>
        </w:r>
      </w:hyperlink>
      <w:r>
        <w:t xml:space="preserve"> — приоритеты, этапы, материалы и экономика.</w:t>
      </w:r>
    </w:p>
    <w:p>
      <w:pPr>
        <w:pStyle w:val="ListBullet"/>
      </w:pPr>
      <w:hyperlink r:id="rId22">
        <w:r>
          <w:rPr>
            <w:color w:val="0563C1"/>
            <w:u w:val="single"/>
          </w:rPr>
          <w:t>ТЗ Google Ads 1.5</w:t>
        </w:r>
      </w:hyperlink>
      <w:r>
        <w:t xml:space="preserve"> — направления, география, Primary/Secondary и обучение.</w:t>
      </w:r>
    </w:p>
    <w:p>
      <w:pPr>
        <w:pStyle w:val="ListBullet"/>
      </w:pPr>
      <w:hyperlink r:id="rId23">
        <w:r>
          <w:rPr>
            <w:color w:val="0563C1"/>
            <w:u w:val="single"/>
          </w:rPr>
          <w:t>Приложение «Монтаж» 1.1</w:t>
        </w:r>
      </w:hyperlink>
      <w:r>
        <w:t xml:space="preserve"> и </w:t>
      </w:r>
      <w:hyperlink r:id="rId24">
        <w:r>
          <w:rPr>
            <w:color w:val="0563C1"/>
            <w:u w:val="single"/>
          </w:rPr>
          <w:t>«Обслуживание» 1.1</w:t>
        </w:r>
      </w:hyperlink>
      <w:r>
        <w:t>.</w:t>
      </w:r>
    </w:p>
    <w:p>
      <w:pPr>
        <w:pStyle w:val="ListBullet"/>
      </w:pPr>
      <w:hyperlink r:id="rId25">
        <w:r>
          <w:rPr>
            <w:color w:val="0563C1"/>
            <w:u w:val="single"/>
          </w:rPr>
          <w:t>Единый контракт данных 1.7</w:t>
        </w:r>
      </w:hyperlink>
      <w:r>
        <w:t xml:space="preserve"> — канонические поля, </w:t>
      </w:r>
      <w:r>
        <w:rPr>
          <w:rFonts w:ascii="Consolas" w:hAnsi="Consolas"/>
          <w:sz w:val="18"/>
        </w:rPr>
        <w:t>document_download</w:t>
      </w:r>
      <w:r>
        <w:t>, маршрутизация и дедупликация.</w:t>
      </w:r>
    </w:p>
    <w:p>
      <w:pPr>
        <w:pStyle w:val="ListBullet"/>
      </w:pPr>
      <w:hyperlink r:id="rId26">
        <w:r>
          <w:rPr>
            <w:color w:val="0563C1"/>
            <w:u w:val="single"/>
          </w:rPr>
          <w:t>ТЗ аналитики страниц 1.7</w:t>
        </w:r>
      </w:hyperlink>
      <w:r>
        <w:t xml:space="preserve"> — события, включая </w:t>
      </w:r>
      <w:r>
        <w:rPr>
          <w:rFonts w:ascii="Consolas" w:hAnsi="Consolas"/>
          <w:sz w:val="18"/>
        </w:rPr>
        <w:t>pz_download_document</w:t>
      </w:r>
      <w:r>
        <w:t>.</w:t>
      </w:r>
    </w:p>
    <w:p>
      <w:pPr>
        <w:pStyle w:val="ListBullet"/>
      </w:pPr>
      <w:hyperlink r:id="rId27">
        <w:r>
          <w:rPr>
            <w:color w:val="0563C1"/>
            <w:u w:val="single"/>
          </w:rPr>
          <w:t>Общий баннер согласия</w:t>
        </w:r>
      </w:hyperlink>
      <w:r>
        <w:t xml:space="preserve">, </w:t>
      </w:r>
      <w:hyperlink r:id="rId28">
        <w:r>
          <w:rPr>
            <w:color w:val="0563C1"/>
            <w:u w:val="single"/>
          </w:rPr>
          <w:t>Meta Pixel</w:t>
        </w:r>
      </w:hyperlink>
      <w:r>
        <w:t xml:space="preserve">, </w:t>
      </w:r>
      <w:hyperlink r:id="rId29">
        <w:r>
          <w:rPr>
            <w:color w:val="0563C1"/>
            <w:u w:val="single"/>
          </w:rPr>
          <w:t>Instagram</w:t>
        </w:r>
      </w:hyperlink>
      <w:r>
        <w:t xml:space="preserve">, </w:t>
      </w:r>
      <w:hyperlink r:id="rId30">
        <w:r>
          <w:rPr>
            <w:color w:val="0563C1"/>
            <w:u w:val="single"/>
          </w:rPr>
          <w:t>YouTube</w:t>
        </w:r>
      </w:hyperlink>
      <w:r>
        <w:t>.</w:t>
      </w:r>
    </w:p>
    <w:p>
      <w:pPr>
        <w:pStyle w:val="ListBullet"/>
      </w:pPr>
      <w:hyperlink r:id="rId31">
        <w:r>
          <w:rPr>
            <w:color w:val="0563C1"/>
            <w:u w:val="single"/>
          </w:rPr>
          <w:t>Google: таргетинг и наблюдение</w:t>
        </w:r>
      </w:hyperlink>
      <w:r>
        <w:t xml:space="preserve"> — различие строгого ограничения и Observation.</w:t>
      </w:r>
    </w:p>
    <w:p>
      <w:pPr>
        <w:pStyle w:val="ListBullet"/>
      </w:pPr>
      <w:hyperlink r:id="rId32">
        <w:r>
          <w:rPr>
            <w:color w:val="0563C1"/>
            <w:u w:val="single"/>
          </w:rPr>
          <w:t>Google: последовательности видео</w:t>
        </w:r>
      </w:hyperlink>
      <w:r>
        <w:t xml:space="preserve"> — порядок и доступные условия перехода и частоты.</w:t>
      </w:r>
    </w:p>
    <w:p>
      <w:pPr>
        <w:pStyle w:val="ListBullet"/>
      </w:pPr>
      <w:hyperlink r:id="rId33">
        <w:r>
          <w:rPr>
            <w:color w:val="0563C1"/>
            <w:u w:val="single"/>
          </w:rPr>
          <w:t>Google: оптимизированный таргетинг</w:t>
        </w:r>
      </w:hyperlink>
      <w:r>
        <w:t xml:space="preserve"> — возможность выхода за выбранную аудиторию; для строгого ремаркетинга отключается.</w:t>
      </w:r>
    </w:p>
    <w:p>
      <w:r>
        <w:t>История: версия 1.0 — подготовлено единое ТЗ, матрицы услуг и аудиторий, требования к разделению документов и коммерческих заявок, реестр кандидатов и задания на недостающие материалы. Изменение рекламных кабинетов этой версией не выполнялось.</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5A5A"/>
        <w:sz w:val="16"/>
      </w:rPr>
      <w:t>Pozharnik  |  Интеграция ремаркетинга  |  ТЗ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64"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ind w:left="283" w:hanging="142"/>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shorts/3kLwB-o6A4A" TargetMode="External"/><Relationship Id="rId12" Type="http://schemas.openxmlformats.org/officeDocument/2006/relationships/hyperlink" Target="https://www.youtube.com/shorts/VFUc6CeLQj8" TargetMode="External"/><Relationship Id="rId13" Type="http://schemas.openxmlformats.org/officeDocument/2006/relationships/hyperlink" Target="https://www.youtube.com/shorts/lg_XVo-a_QY" TargetMode="External"/><Relationship Id="rId14" Type="http://schemas.openxmlformats.org/officeDocument/2006/relationships/hyperlink" Target="https://www.youtube.com/shorts/CGYsLzOOzZM" TargetMode="External"/><Relationship Id="rId15" Type="http://schemas.openxmlformats.org/officeDocument/2006/relationships/hyperlink" Target="https://www.youtube.com/shorts/ki-rRGWUwMU" TargetMode="External"/><Relationship Id="rId16" Type="http://schemas.openxmlformats.org/officeDocument/2006/relationships/hyperlink" Target="https://www.youtube.com/shorts/3s3-nlH4JB8" TargetMode="External"/><Relationship Id="rId17" Type="http://schemas.openxmlformats.org/officeDocument/2006/relationships/hyperlink" Target="https://www.youtube.com/watch?v=s2MdLtlbAgw" TargetMode="External"/><Relationship Id="rId18" Type="http://schemas.openxmlformats.org/officeDocument/2006/relationships/hyperlink" Target="https://www.youtube.com/watch?v=P5AhaRlyvoY" TargetMode="External"/><Relationship Id="rId19" Type="http://schemas.openxmlformats.org/officeDocument/2006/relationships/hyperlink" Target="https://www.youtube.com/watch?v=qLUu0WEn2Rs" TargetMode="External"/><Relationship Id="rId20" Type="http://schemas.openxmlformats.org/officeDocument/2006/relationships/hyperlink" Target="https://www.instagram.com/reel/DJmzOqgBQWy/" TargetMode="External"/><Relationship Id="rId21" Type="http://schemas.openxmlformats.org/officeDocument/2006/relationships/hyperlink" Target="https://github.com/pozharsignal-jpg/netlify-github-starter/blob/main/docs/technical-specifications/%D0%A2%D0%97%20%D1%81%D1%82%D1%80%D0%B0%D0%BD%D0%B8%D1%86/00%20%D0%9F%D1%80%D0%BE%D0%B2%D0%B5%D1%80%D0%BA%D0%B0%20%D0%BF%D0%BE%20%D0%BC%D0%B5%D0%B4%D0%B8%D0%B0%D0%BF%D0%BB%D0%B0%D0%BD%D1%83%204.5/01_%D0%9C%D0%B5%D0%B4%D0%B8%D0%B0%D0%BF%D0%BB%D0%B0%D0%BD_Pozharnik_v4_5_%D0%A1%D1%82%D0%B0%D0%BD%D0%B4%D0%B0%D1%80%D1%82%D0%BD%D1%8B%D0%B9.docx" TargetMode="External"/><Relationship Id="rId22" Type="http://schemas.openxmlformats.org/officeDocument/2006/relationships/hyperlink" Target="https://github.com/pozharsignal-jpg/netlify-github-starter/blob/main/docs/technical-specifications/%D0%A2%D0%97%20%D1%81%D1%82%D1%80%D0%B0%D0%BD%D0%B8%D1%86/00%20%D0%9E%D0%B1%D1%89%D0%B8%D0%B5%20%D0%A2%D0%97%20%D0%B8%20%D0%B8%D0%BD%D1%82%D0%B5%D0%B3%D1%80%D0%B0%D1%86%D0%B8%D0%B8/06_%D0%A2%D0%97_%D0%BD%D0%B0%D1%81%D1%82%D1%80%D0%BE%D0%B9%D0%BA%D0%B0_Google_Ads_Pozharnik_v1_5_%D0%A1%D1%82%D0%B0%D0%BD%D0%B4%D0%B0%D1%80%D1%82%D0%BD%D1%8B%D0%B9.docx" TargetMode="External"/><Relationship Id="rId23" Type="http://schemas.openxmlformats.org/officeDocument/2006/relationships/hyperlink" Target="https://github.com/pozharsignal-jpg/netlify-github-starter/blob/main/docs/technical-specifications/%D0%A2%D0%97%20%D1%81%D1%82%D1%80%D0%B0%D0%BD%D0%B8%D1%86/00%20%D0%9E%D0%B1%D1%89%D0%B8%D0%B5%20%D0%A2%D0%97%20%D0%B8%20%D0%B8%D0%BD%D1%82%D0%B5%D0%B3%D1%80%D0%B0%D1%86%D0%B8%D0%B8/07_%D0%9F%D1%80%D0%B8%D0%BB%D0%BE%D0%B6%D0%B5%D0%BD%D0%B8%D0%B5_1_Google_Ads_%D0%9C%D0%BE%D0%BD%D1%82%D0%B0%D0%B6_%D0%90%D0%9F%D0%A1_Pozharnik_v1_1.docx" TargetMode="External"/><Relationship Id="rId24" Type="http://schemas.openxmlformats.org/officeDocument/2006/relationships/hyperlink" Target="https://github.com/pozharsignal-jpg/netlify-github-starter/blob/main/docs/technical-specifications/%D0%A2%D0%97%20%D1%81%D1%82%D1%80%D0%B0%D0%BD%D0%B8%D1%86/00%20%D0%9E%D0%B1%D1%89%D0%B8%D0%B5%20%D0%A2%D0%97%20%D0%B8%20%D0%B8%D0%BD%D1%82%D0%B5%D0%B3%D1%80%D0%B0%D1%86%D0%B8%D0%B8/08_%D0%9F%D1%80%D0%B8%D0%BB%D0%BE%D0%B6%D0%B5%D0%BD%D0%B8%D0%B5_2_Google_Ads_%D0%9E%D0%B1%D1%81%D0%BB%D1%83%D0%B6%D0%B8%D0%B2%D0%B0%D0%BD%D0%B8%D0%B5_%D0%90%D0%9F%D0%A1_Pozharnik_v1_1.docx" TargetMode="External"/><Relationship Id="rId25" Type="http://schemas.openxmlformats.org/officeDocument/2006/relationships/hyperlink" Target="https://github.com/pozharsignal-jpg/netlify-github-starter/blob/main/docs/technical-specifications/%D0%A2%D0%97%20%D1%81%D1%82%D1%80%D0%B0%D0%BD%D0%B8%D1%86/00%20%D0%9E%D0%B1%D1%89%D0%B8%D0%B5%20%D0%A2%D0%97%20%D0%B8%20%D0%B8%D0%BD%D1%82%D0%B5%D0%B3%D1%80%D0%B0%D1%86%D0%B8%D0%B8/03_%D0%95%D0%B4%D0%B8%D0%BD%D1%8B%D0%B9_%D0%BA%D0%BE%D0%BD%D1%82%D1%80%D0%B0%D0%BA%D1%82_%D0%B4%D0%B0%D0%BD%D0%BD%D1%8B%D1%85_Pozharnik_v1_7_%D0%A1%D1%82%D0%B0%D0%BD%D0%B4%D0%B0%D1%80%D1%82%D0%BD%D1%8B%D0%B9.docx" TargetMode="External"/><Relationship Id="rId26" Type="http://schemas.openxmlformats.org/officeDocument/2006/relationships/hyperlink" Target="https://github.com/pozharsignal-jpg/netlify-github-starter/blob/main/docs/technical-specifications/%D0%A2%D0%97%20%D1%81%D1%82%D1%80%D0%B0%D0%BD%D0%B8%D1%86/00%20%D0%9E%D0%B1%D1%89%D0%B8%D0%B5%20%D0%A2%D0%97%20%D0%B8%20%D0%B8%D0%BD%D1%82%D0%B5%D0%B3%D1%80%D0%B0%D1%86%D0%B8%D0%B8/04_%D0%A2%D0%97_%D0%B0%D0%BD%D0%B0%D0%BB%D0%B8%D1%82%D0%B8%D0%BA%D0%B0_%D1%81%D1%82%D1%80%D0%B0%D0%BD%D0%B8%D1%86_Pozharnik_v1_7_%D0%A1%D1%82%D0%B0%D0%BD%D0%B4%D0%B0%D1%80%D1%82%D0%BD%D1%8B%D0%B9.docx" TargetMode="External"/><Relationship Id="rId27" Type="http://schemas.openxmlformats.org/officeDocument/2006/relationships/hyperlink" Target="https://github.com/pozharsignal-jpg/netlify-github-starter/blob/main/docs/technical-specifications/%D0%A2%D0%97%20%D1%81%D1%82%D1%80%D0%B0%D0%BD%D0%B8%D1%86/00%20%D0%9E%D0%B1%D1%89%D0%B8%D0%B5%20%D0%A2%D0%97%20%D0%B8%20%D0%B8%D0%BD%D1%82%D0%B5%D0%B3%D1%80%D0%B0%D1%86%D0%B8%D0%B8/CONSENT_BANNER_STANDARD_2026-10-09.md" TargetMode="External"/><Relationship Id="rId28" Type="http://schemas.openxmlformats.org/officeDocument/2006/relationships/hyperlink" Target="https://github.com/pozharsignal-jpg/netlify-github-starter/blob/main/docs/technical-specifications/%D0%A2%D0%97%20%D1%81%D1%82%D1%80%D0%B0%D0%BD%D0%B8%D1%86/00%20%D0%9E%D0%B1%D1%89%D0%B8%D0%B5%20%D0%A2%D0%97%20%D0%B8%20%D0%B8%D0%BD%D1%82%D0%B5%D0%B3%D1%80%D0%B0%D1%86%D0%B8%D0%B8/META_PIXEL_STANDARD_2026-10-09.md" TargetMode="External"/><Relationship Id="rId29" Type="http://schemas.openxmlformats.org/officeDocument/2006/relationships/hyperlink" Target="https://github.com/pozharsignal-jpg/netlify-github-starter/blob/main/docs/technical-specifications/%D0%A2%D0%97%20%D1%81%D1%82%D1%80%D0%B0%D0%BD%D0%B8%D1%86/00%20%D0%9E%D0%B1%D1%89%D0%B8%D0%B5%20%D0%A2%D0%97%20%D0%B8%20%D0%B8%D0%BD%D1%82%D0%B5%D0%B3%D1%80%D0%B0%D1%86%D0%B8%D0%B8/GENERIC_INSTAGRAM_REMARKETING_STANDARD.md" TargetMode="External"/><Relationship Id="rId30" Type="http://schemas.openxmlformats.org/officeDocument/2006/relationships/hyperlink" Target="https://github.com/pozharsignal-jpg/netlify-github-starter/blob/main/docs/technical-specifications/%D0%A2%D0%97%20%D1%81%D1%82%D1%80%D0%B0%D0%BD%D0%B8%D1%86/00%20%D0%9E%D0%B1%D1%89%D0%B8%D0%B5%20%D0%A2%D0%97%20%D0%B8%20%D0%B8%D0%BD%D1%82%D0%B5%D0%B3%D1%80%D0%B0%D1%86%D0%B8%D0%B8/YOUTUBE_RETARGETING_NEW_PAGES_STANDARD_2026-10-09.md" TargetMode="External"/><Relationship Id="rId31" Type="http://schemas.openxmlformats.org/officeDocument/2006/relationships/hyperlink" Target="https://support.google.com/google-ads/answer/7365594?hl=ru" TargetMode="External"/><Relationship Id="rId32" Type="http://schemas.openxmlformats.org/officeDocument/2006/relationships/hyperlink" Target="https://support.google.com/google-ads/answer/9161595?hl=ru" TargetMode="External"/><Relationship Id="rId33" Type="http://schemas.openxmlformats.org/officeDocument/2006/relationships/hyperlink" Target="https://support.google.com/google-ads/answer/10537509?hl=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ТЗ интеграция ремаркетинга Pozharnik</dc:title>
  <dc:subject>Аудитории, материалы, аналитика и условия ручного запуска</dc:subject>
  <dc:creator>Pozharnik</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