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Тестовая инструкция</w:t>
      </w:r>
    </w:p>
    <w:p>
      <w:pPr/>
      <w:r>
        <w:rPr/>
        <w:t xml:space="preserve">Вводная </w:t>
      </w:r>
      <w:r>
        <w:rPr>
          <w:b/>
        </w:rPr>
        <w:t xml:space="preserve">часть</w:t>
      </w:r>
      <w:r>
        <w:rPr/>
        <w:t xml:space="preserve">.</w:t>
      </w:r>
    </w:p>
    <w:p>
      <w:pPr>
        <w:ind w:left="510" w:hanging="340"/>
      </w:pPr>
      <w:r>
        <w:rPr/>
        <w:t xml:space="preserve">•  </w:t>
      </w:r>
      <w:r>
        <w:rPr/>
        <w:t xml:space="preserve">пункт один</w:t>
      </w:r>
    </w:p>
    <w:p>
      <w:pPr>
        <w:ind w:left="510" w:hanging="340"/>
      </w:pPr>
      <w:r>
        <w:rPr/>
        <w:t xml:space="preserve">•  </w:t>
      </w:r>
      <w:r>
        <w:rPr/>
        <w:t xml:space="preserve">пункт два</w:t>
      </w:r>
    </w:p>
    <w:p>
      <w:pPr>
        <w:pStyle w:val="Heading2"/>
      </w:pPr>
      <w:r>
        <w:rPr/>
        <w:t xml:space="preserve">1. Красный экран</w:t>
      </w:r>
      <w:r>
        <w:rPr>
          <w:color w:val="6B7280"/>
          <w:sz w:val="20"/>
        </w:rPr>
        <w:t xml:space="preserve">  ·  0:01</w:t>
      </w:r>
    </w:p>
    <w:p>
      <w:pPr>
        <w:jc w:val="center"/>
      </w:pPr>
      <w:r>
        <w:drawing>
          <wp:inline distT="0" distB="0" distL="0" distR="0">
            <wp:extent cx="5760000" cy="324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jp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10" w:hanging="340"/>
      </w:pPr>
      <w:r>
        <w:rPr/>
        <w:t xml:space="preserve">1. </w:t>
      </w:r>
      <w:r>
        <w:rPr/>
        <w:t xml:space="preserve">Открыть меню</w:t>
      </w:r>
    </w:p>
    <w:p>
      <w:pPr>
        <w:ind w:left="510" w:hanging="340"/>
      </w:pPr>
      <w:r>
        <w:rPr/>
        <w:t xml:space="preserve">2. </w:t>
      </w:r>
      <w:r>
        <w:rPr/>
        <w:t xml:space="preserve">Нажать </w:t>
      </w:r>
      <w:r>
        <w:rPr>
          <w:rFonts w:ascii="Consolas" w:hAnsi="Consolas" w:cs="Consolas"/>
        </w:rPr>
        <w:t xml:space="preserve">OK</w:t>
      </w:r>
    </w:p>
    <w:p>
      <w:pPr>
        <w:ind w:left="1080" w:hanging="340"/>
      </w:pPr>
      <w:r>
        <w:rPr/>
        <w:t xml:space="preserve">◦ </w:t>
      </w:r>
      <w:r>
        <w:rPr/>
        <w:t xml:space="preserve">вложенный пункт</w:t>
      </w:r>
    </w:p>
    <w:p>
      <w:pPr>
        <w:ind w:left="510" w:hanging="340"/>
      </w:pPr>
      <w:r>
        <w:rPr/>
        <w:t xml:space="preserve">☐ проверить</w:t>
      </w:r>
    </w:p>
    <w:p>
      <w:pPr>
        <w:pStyle w:val="Heading2"/>
      </w:pPr>
      <w:r>
        <w:rPr/>
        <w:t xml:space="preserve">2. Синий экран</w:t>
      </w:r>
      <w:r>
        <w:rPr>
          <w:color w:val="6B7280"/>
          <w:sz w:val="20"/>
        </w:rPr>
        <w:t xml:space="preserve">  ·  0:06</w:t>
      </w:r>
    </w:p>
    <w:p>
      <w:pPr>
        <w:jc w:val="center"/>
      </w:pPr>
      <w:r>
        <w:drawing>
          <wp:inline distT="0" distB="0" distL="0" distR="0">
            <wp:extent cx="5760000" cy="324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jp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760000" cy="324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jp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BFC5CC"/>
          <w:left w:val="single" w:sz="4" w:space="0" w:color="BFC5CC"/>
          <w:bottom w:val="single" w:sz="4" w:space="0" w:color="BFC5CC"/>
          <w:right w:val="single" w:sz="4" w:space="0" w:color="BFC5CC"/>
          <w:insideH w:val="single" w:sz="4" w:space="0" w:color="BFC5CC"/>
          <w:insideV w:val="single" w:sz="4" w:space="0" w:color="BFC5CC"/>
        </w:tblBorders>
      </w:tblPr>
      <w:tblGrid>
        <w:gridCol/>
        <w:gridCol/>
      </w:tblGrid>
      <w:tr>
        <w:tc>
          <w:p>
            <w:r>
              <w:rPr>
                <w:b/>
              </w:rPr>
              <w:t xml:space="preserve">Ошибка</w:t>
            </w:r>
          </w:p>
        </w:tc>
        <w:tc>
          <w:p>
            <w:r>
              <w:rPr>
                <w:b/>
              </w:rPr>
              <w:t xml:space="preserve">Решение</w:t>
            </w:r>
          </w:p>
        </w:tc>
      </w:tr>
      <w:tr>
        <w:tc>
          <w:p>
            <w:r>
              <w:rPr/>
              <w:t xml:space="preserve">A</w:t>
            </w:r>
          </w:p>
        </w:tc>
        <w:tc>
          <w:p>
            <w:r>
              <w:rPr/>
              <w:t xml:space="preserve">B</w:t>
            </w:r>
          </w:p>
        </w:tc>
      </w:tr>
    </w:tbl>
    <w:p>
      <w:pPr/>
    </w:p>
    <w:p>
      <w:pPr>
        <w:pStyle w:val="Heading2"/>
      </w:pPr>
      <w:r>
        <w:rPr/>
        <w:t xml:space="preserve">Открытые вопросы</w:t>
      </w:r>
    </w:p>
    <w:p>
      <w:pPr>
        <w:ind w:left="510" w:hanging="340"/>
      </w:pPr>
      <w:r>
        <w:rPr/>
        <w:t xml:space="preserve">•  </w:t>
      </w:r>
      <w:r>
        <w:rPr/>
        <w:t xml:space="preserve">вопрос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240"/>
    </w:pPr>
    <w:rPr>
      <w:b/>
      <w:color w:val="17365D"/>
      <w:sz w:val="48"/>
    </w:rPr>
  </w:style>
  <w:style w:type="paragraph" w:styleId="Heading1">
    <w:name w:val="heading 1"/>
    <w:basedOn w:val="Normal"/>
    <w:next w:val="Normal"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pPr>
      <w:keepNext/>
      <w:spacing w:before="300" w:after="120"/>
      <w:outlineLvl w:val="1"/>
    </w:pPr>
    <w:rPr>
      <w:b/>
      <w:color w:val="2F5496"/>
      <w:sz w:val="28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2F5496"/>
      <w:sz w:val="24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g1.jpg"/><Relationship Id="rIdImg2" Type="http://schemas.openxmlformats.org/officeDocument/2006/relationships/image" Target="media/img2.jpg"/><Relationship Id="rIdImg3" Type="http://schemas.openxmlformats.org/officeDocument/2006/relationships/image" Target="media/img3.jpg"/></Relationships>
</file>