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4F6FB3" w14:textId="20922D4A" w:rsidR="00985C61" w:rsidRDefault="00985C61" w:rsidP="008D1C5D">
      <w:pPr>
        <w:rPr>
          <w:rFonts w:eastAsiaTheme="minorEastAsia"/>
          <w:u w:val="single"/>
        </w:rPr>
      </w:pPr>
      <w:r>
        <w:rPr>
          <w:rFonts w:eastAsiaTheme="minorEastAsia"/>
          <w:u w:val="single"/>
        </w:rPr>
        <w:t xml:space="preserve">SANS Modeling </w:t>
      </w:r>
    </w:p>
    <w:p w14:paraId="1B53D02D" w14:textId="1688D052" w:rsidR="00985C61" w:rsidRPr="00985C61" w:rsidRDefault="00985C61" w:rsidP="00985C61">
      <w:pPr>
        <w:rPr>
          <w:rFonts w:eastAsiaTheme="minorEastAsia"/>
        </w:rPr>
      </w:pPr>
      <w:r w:rsidRPr="00985C61">
        <w:rPr>
          <w:rFonts w:eastAsiaTheme="minorEastAsia"/>
        </w:rPr>
        <w:t>Atomic coordinates of the ferritin cage were extracted from its Protein Data Bank (PDB) file and used directly for scattering calculations. A uniform scattering length density (SLD) of 3.28 × 10</w:t>
      </w:r>
      <w:r w:rsidRPr="00985C61">
        <w:rPr>
          <w:rFonts w:ascii="Cambria Math" w:eastAsiaTheme="minorEastAsia" w:hAnsi="Cambria Math" w:cs="Cambria Math"/>
        </w:rPr>
        <w:t>⁻</w:t>
      </w:r>
      <w:r w:rsidRPr="00985C61">
        <w:rPr>
          <w:rFonts w:ascii="Aptos" w:eastAsiaTheme="minorEastAsia" w:hAnsi="Aptos" w:cs="Aptos"/>
        </w:rPr>
        <w:t>⁶</w:t>
      </w:r>
      <w:r w:rsidRPr="00985C61">
        <w:rPr>
          <w:rFonts w:eastAsiaTheme="minorEastAsia"/>
        </w:rPr>
        <w:t xml:space="preserve"> </w:t>
      </w:r>
      <w:r w:rsidRPr="00985C61">
        <w:rPr>
          <w:rFonts w:ascii="Aptos" w:eastAsiaTheme="minorEastAsia" w:hAnsi="Aptos" w:cs="Aptos"/>
        </w:rPr>
        <w:t>Å</w:t>
      </w:r>
      <w:r w:rsidRPr="00985C61">
        <w:rPr>
          <w:rFonts w:ascii="Cambria Math" w:eastAsiaTheme="minorEastAsia" w:hAnsi="Cambria Math" w:cs="Cambria Math"/>
        </w:rPr>
        <w:t>⁻</w:t>
      </w:r>
      <w:r w:rsidRPr="00985C61">
        <w:rPr>
          <w:rFonts w:ascii="Aptos" w:eastAsiaTheme="minorEastAsia" w:hAnsi="Aptos" w:cs="Aptos"/>
        </w:rPr>
        <w:t>²</w:t>
      </w:r>
      <w:r w:rsidRPr="00985C61">
        <w:rPr>
          <w:rFonts w:eastAsiaTheme="minorEastAsia"/>
        </w:rPr>
        <w:t xml:space="preserve"> was assigned to all atoms in the protein</w:t>
      </w:r>
      <w:r w:rsidR="005C4F2D">
        <w:rPr>
          <w:rFonts w:eastAsiaTheme="minorEastAsia"/>
        </w:rPr>
        <w:t xml:space="preserve">, as determined by </w:t>
      </w:r>
      <w:proofErr w:type="spellStart"/>
      <w:r w:rsidR="005C4F2D">
        <w:rPr>
          <w:rFonts w:eastAsiaTheme="minorEastAsia"/>
        </w:rPr>
        <w:t>MULCh</w:t>
      </w:r>
      <w:proofErr w:type="spellEnd"/>
      <w:r w:rsidR="005C4F2D">
        <w:rPr>
          <w:rFonts w:eastAsiaTheme="minorEastAsia"/>
        </w:rPr>
        <w:t xml:space="preserve"> [1]</w:t>
      </w:r>
      <w:r w:rsidRPr="00985C61">
        <w:rPr>
          <w:rFonts w:eastAsiaTheme="minorEastAsia"/>
        </w:rPr>
        <w:t>, while the D</w:t>
      </w:r>
      <w:r w:rsidRPr="00985C61">
        <w:rPr>
          <w:rFonts w:ascii="Aptos" w:eastAsiaTheme="minorEastAsia" w:hAnsi="Aptos" w:cs="Aptos"/>
        </w:rPr>
        <w:t>₂</w:t>
      </w:r>
      <w:r w:rsidRPr="00985C61">
        <w:rPr>
          <w:rFonts w:eastAsiaTheme="minorEastAsia"/>
        </w:rPr>
        <w:t xml:space="preserve">O solvent was assigned an SLD of 6.35 </w:t>
      </w:r>
      <w:r w:rsidRPr="00985C61">
        <w:rPr>
          <w:rFonts w:ascii="Aptos" w:eastAsiaTheme="minorEastAsia" w:hAnsi="Aptos" w:cs="Aptos"/>
        </w:rPr>
        <w:t>×</w:t>
      </w:r>
      <w:r w:rsidRPr="00985C61">
        <w:rPr>
          <w:rFonts w:eastAsiaTheme="minorEastAsia"/>
        </w:rPr>
        <w:t xml:space="preserve"> 10</w:t>
      </w:r>
      <w:r w:rsidRPr="00985C61">
        <w:rPr>
          <w:rFonts w:ascii="Cambria Math" w:eastAsiaTheme="minorEastAsia" w:hAnsi="Cambria Math" w:cs="Cambria Math"/>
        </w:rPr>
        <w:t>⁻</w:t>
      </w:r>
      <w:r w:rsidRPr="00985C61">
        <w:rPr>
          <w:rFonts w:ascii="Aptos" w:eastAsiaTheme="minorEastAsia" w:hAnsi="Aptos" w:cs="Aptos"/>
        </w:rPr>
        <w:t>⁶</w:t>
      </w:r>
      <w:r w:rsidRPr="00985C61">
        <w:rPr>
          <w:rFonts w:eastAsiaTheme="minorEastAsia"/>
        </w:rPr>
        <w:t xml:space="preserve"> </w:t>
      </w:r>
      <w:r w:rsidRPr="00985C61">
        <w:rPr>
          <w:rFonts w:ascii="Aptos" w:eastAsiaTheme="minorEastAsia" w:hAnsi="Aptos" w:cs="Aptos"/>
        </w:rPr>
        <w:t>Å</w:t>
      </w:r>
      <w:r w:rsidRPr="00985C61">
        <w:rPr>
          <w:rFonts w:ascii="Cambria Math" w:eastAsiaTheme="minorEastAsia" w:hAnsi="Cambria Math" w:cs="Cambria Math"/>
        </w:rPr>
        <w:t>⁻</w:t>
      </w:r>
      <w:r w:rsidRPr="00985C61">
        <w:rPr>
          <w:rFonts w:ascii="Aptos" w:eastAsiaTheme="minorEastAsia" w:hAnsi="Aptos" w:cs="Aptos"/>
        </w:rPr>
        <w:t>²</w:t>
      </w:r>
      <w:r w:rsidRPr="00985C61">
        <w:rPr>
          <w:rFonts w:eastAsiaTheme="minorEastAsia"/>
        </w:rPr>
        <w:t>. The theoretical scattering intensity was computed using a Monte Carlo approximation of the Debye scattering equation, enabling efficient evaluation of pairwise atomic contributions</w:t>
      </w:r>
      <w:r>
        <w:rPr>
          <w:rFonts w:eastAsiaTheme="minorEastAsia"/>
        </w:rPr>
        <w:t xml:space="preserve"> [</w:t>
      </w:r>
      <w:r w:rsidR="005C4F2D">
        <w:rPr>
          <w:rFonts w:eastAsiaTheme="minorEastAsia"/>
        </w:rPr>
        <w:t>2</w:t>
      </w:r>
      <w:r>
        <w:rPr>
          <w:rFonts w:eastAsiaTheme="minorEastAsia"/>
        </w:rPr>
        <w:t>]</w:t>
      </w:r>
      <w:r w:rsidR="00AC7E02">
        <w:rPr>
          <w:rFonts w:eastAsiaTheme="minorEastAsia"/>
        </w:rPr>
        <w:t>[3][4]</w:t>
      </w:r>
      <w:r w:rsidRPr="00985C61">
        <w:rPr>
          <w:rFonts w:eastAsiaTheme="minorEastAsia"/>
        </w:rPr>
        <w:t xml:space="preserve">. For the dissolved crystal </w:t>
      </w:r>
      <w:r w:rsidR="008E2406">
        <w:rPr>
          <w:rFonts w:eastAsiaTheme="minorEastAsia"/>
        </w:rPr>
        <w:t>sample (ferritin cage monomers)</w:t>
      </w:r>
      <w:r w:rsidRPr="00985C61">
        <w:rPr>
          <w:rFonts w:eastAsiaTheme="minorEastAsia"/>
        </w:rPr>
        <w:t>, the calculated scattering curve was multiplied by a scale factor of 2.2 × 10</w:t>
      </w:r>
      <w:r w:rsidRPr="00985C61">
        <w:rPr>
          <w:rFonts w:ascii="Cambria Math" w:eastAsiaTheme="minorEastAsia" w:hAnsi="Cambria Math" w:cs="Cambria Math"/>
        </w:rPr>
        <w:t>⁻</w:t>
      </w:r>
      <w:r w:rsidRPr="00985C61">
        <w:rPr>
          <w:rFonts w:ascii="Aptos" w:eastAsiaTheme="minorEastAsia" w:hAnsi="Aptos" w:cs="Aptos"/>
        </w:rPr>
        <w:t>⁶</w:t>
      </w:r>
      <w:r w:rsidRPr="00985C61">
        <w:rPr>
          <w:rFonts w:eastAsiaTheme="minorEastAsia"/>
        </w:rPr>
        <w:t xml:space="preserve"> and a constant background term of 1.2 </w:t>
      </w:r>
      <w:r w:rsidRPr="00985C61">
        <w:rPr>
          <w:rFonts w:ascii="Aptos" w:eastAsiaTheme="minorEastAsia" w:hAnsi="Aptos" w:cs="Aptos"/>
        </w:rPr>
        <w:t>×</w:t>
      </w:r>
      <w:r w:rsidRPr="00985C61">
        <w:rPr>
          <w:rFonts w:eastAsiaTheme="minorEastAsia"/>
        </w:rPr>
        <w:t xml:space="preserve"> 10</w:t>
      </w:r>
      <w:r w:rsidRPr="00985C61">
        <w:rPr>
          <w:rFonts w:ascii="Cambria Math" w:eastAsiaTheme="minorEastAsia" w:hAnsi="Cambria Math" w:cs="Cambria Math"/>
        </w:rPr>
        <w:t>⁻</w:t>
      </w:r>
      <w:r w:rsidRPr="00985C61">
        <w:rPr>
          <w:rFonts w:ascii="Aptos" w:eastAsiaTheme="minorEastAsia" w:hAnsi="Aptos" w:cs="Aptos"/>
        </w:rPr>
        <w:t>¹</w:t>
      </w:r>
      <w:r w:rsidRPr="00985C61">
        <w:rPr>
          <w:rFonts w:eastAsiaTheme="minorEastAsia"/>
        </w:rPr>
        <w:t xml:space="preserve"> was added to account for incoherent scattering, primarily from hydrogen atoms in the protein. The resulting simulated curve was plotted alongside the experimental data and showed good overall agreement, with minor deviations at high q attributed to increased experimental uncertainty and sensitivity to buffer subtraction in that region.</w:t>
      </w:r>
    </w:p>
    <w:p w14:paraId="79660AA9" w14:textId="2F1F9AC3" w:rsidR="00985C61" w:rsidRDefault="00985C61" w:rsidP="00985C61">
      <w:pPr>
        <w:rPr>
          <w:rFonts w:eastAsiaTheme="minorEastAsia"/>
        </w:rPr>
      </w:pPr>
      <w:r w:rsidRPr="00985C61">
        <w:rPr>
          <w:rFonts w:eastAsiaTheme="minorEastAsia"/>
        </w:rPr>
        <w:t xml:space="preserve">To model </w:t>
      </w:r>
      <w:proofErr w:type="spellStart"/>
      <w:r w:rsidRPr="00985C61">
        <w:rPr>
          <w:rFonts w:eastAsiaTheme="minorEastAsia"/>
        </w:rPr>
        <w:t>HuHF</w:t>
      </w:r>
      <w:proofErr w:type="spellEnd"/>
      <w:r w:rsidRPr="00985C61">
        <w:rPr>
          <w:rFonts w:eastAsiaTheme="minorEastAsia"/>
        </w:rPr>
        <w:t xml:space="preserve">-PIX dissolved in D₂O, a two-species model consisting of ferritin cage monomers and dimers was employed. The dimer structure was generated by duplicating the monomer coordinates and translating the copy by a center-to-center separation distance, treated as a fitting parameter. Additional fitting parameters included the fraction of dimers in solution, a scale parameter, and a constant incoherent background term. Initial parameter estimates were used to generate monomer and dimer scattering curves via the same Monte Carlo approximation of the Debye equation. The dimer scattering intensity was normalized such that its invariant was twice that of the monomer, ensuring physical consistency, and a weighted sum of monomer and dimer intensities was calculated according to the fitted dimer fraction. The combined curve was scaled and offset by the background term before comparison with the experimental data. Model agreement was quantified using the logarithmic mean-squared error between experimental and simulated intensities, and the resulting similarity metric was supplied to an iterative optimization algorithm to update the fitting parameters. After convergence, the best-fit parameters were determined to be a ferritin </w:t>
      </w:r>
      <w:r w:rsidR="008E2406">
        <w:rPr>
          <w:rFonts w:eastAsiaTheme="minorEastAsia"/>
        </w:rPr>
        <w:t xml:space="preserve">center-to-center </w:t>
      </w:r>
      <w:r w:rsidRPr="00985C61">
        <w:rPr>
          <w:rFonts w:eastAsiaTheme="minorEastAsia"/>
        </w:rPr>
        <w:t>separation distance of 17.0 nm, a dimer fraction of 22%, a background of 0.040, and a scale parameter of 7.3 × 10</w:t>
      </w:r>
      <w:r w:rsidRPr="00985C61">
        <w:rPr>
          <w:rFonts w:ascii="Cambria Math" w:eastAsiaTheme="minorEastAsia" w:hAnsi="Cambria Math" w:cs="Cambria Math"/>
        </w:rPr>
        <w:t>⁻</w:t>
      </w:r>
      <w:r w:rsidRPr="00985C61">
        <w:rPr>
          <w:rFonts w:ascii="Aptos" w:eastAsiaTheme="minorEastAsia" w:hAnsi="Aptos" w:cs="Aptos"/>
        </w:rPr>
        <w:t>⁴</w:t>
      </w:r>
      <w:r w:rsidRPr="00985C61">
        <w:rPr>
          <w:rFonts w:eastAsiaTheme="minorEastAsia"/>
        </w:rPr>
        <w:t>. The final fitted scattering curve exhibited good agreement with the experimental data across the measured q-range.</w:t>
      </w:r>
    </w:p>
    <w:p w14:paraId="44C1B9BF" w14:textId="6FDAE985" w:rsidR="00D719AB" w:rsidRPr="00FB190D" w:rsidRDefault="00D719AB" w:rsidP="00D719AB">
      <w:pPr>
        <w:rPr>
          <w:rFonts w:eastAsiaTheme="minorEastAsia"/>
        </w:rPr>
      </w:pPr>
      <m:oMathPara>
        <m:oMath>
          <m:r>
            <w:rPr>
              <w:rFonts w:ascii="Cambria Math" w:hAnsi="Cambria Math"/>
            </w:rPr>
            <m:t>I</m:t>
          </m:r>
          <m:sSub>
            <m:sSubPr>
              <m:ctrlPr>
                <w:rPr>
                  <w:rFonts w:ascii="Cambria Math" w:hAnsi="Cambria Math"/>
                  <w:i/>
                </w:rPr>
              </m:ctrlPr>
            </m:sSubPr>
            <m:e>
              <m:d>
                <m:dPr>
                  <m:ctrlPr>
                    <w:rPr>
                      <w:rFonts w:ascii="Cambria Math" w:hAnsi="Cambria Math"/>
                      <w:i/>
                    </w:rPr>
                  </m:ctrlPr>
                </m:dPr>
                <m:e>
                  <m:r>
                    <w:rPr>
                      <w:rFonts w:ascii="Cambria Math" w:hAnsi="Cambria Math"/>
                    </w:rPr>
                    <m:t>q</m:t>
                  </m:r>
                </m:e>
              </m:d>
            </m:e>
            <m:sub>
              <m:r>
                <w:rPr>
                  <w:rFonts w:ascii="Cambria Math" w:hAnsi="Cambria Math"/>
                </w:rPr>
                <m:t>total</m:t>
              </m:r>
            </m:sub>
          </m:sSub>
          <m:r>
            <w:rPr>
              <w:rFonts w:ascii="Cambria Math" w:hAnsi="Cambria Math"/>
            </w:rPr>
            <m:t>=scale(</m:t>
          </m:r>
          <m:sSub>
            <m:sSubPr>
              <m:ctrlPr>
                <w:rPr>
                  <w:rFonts w:ascii="Cambria Math" w:hAnsi="Cambria Math"/>
                  <w:i/>
                </w:rPr>
              </m:ctrlPr>
            </m:sSubPr>
            <m:e>
              <m:r>
                <w:rPr>
                  <w:rFonts w:ascii="Cambria Math" w:hAnsi="Cambria Math"/>
                </w:rPr>
                <m:t>ρ</m:t>
              </m:r>
            </m:e>
            <m:sub>
              <m:r>
                <w:rPr>
                  <w:rFonts w:ascii="Cambria Math" w:hAnsi="Cambria Math"/>
                </w:rPr>
                <m:t>c</m:t>
              </m:r>
            </m:sub>
          </m:sSub>
          <m:r>
            <w:rPr>
              <w:rFonts w:ascii="Cambria Math" w:hAnsi="Cambria Math"/>
            </w:rPr>
            <m:t xml:space="preserve">- </m:t>
          </m:r>
          <m:sSub>
            <m:sSubPr>
              <m:ctrlPr>
                <w:rPr>
                  <w:rFonts w:ascii="Cambria Math" w:hAnsi="Cambria Math"/>
                  <w:i/>
                </w:rPr>
              </m:ctrlPr>
            </m:sSubPr>
            <m:e>
              <m:r>
                <w:rPr>
                  <w:rFonts w:ascii="Cambria Math" w:hAnsi="Cambria Math"/>
                </w:rPr>
                <m:t>ρ</m:t>
              </m:r>
            </m:e>
            <m:sub>
              <m:r>
                <w:rPr>
                  <w:rFonts w:ascii="Cambria Math" w:hAnsi="Cambria Math"/>
                </w:rPr>
                <m:t>S</m:t>
              </m:r>
            </m:sub>
          </m:sSub>
          <m:r>
            <w:rPr>
              <w:rFonts w:ascii="Cambria Math" w:hAnsi="Cambria Math"/>
            </w:rPr>
            <m:t>)</m:t>
          </m:r>
          <m:d>
            <m:dPr>
              <m:ctrlPr>
                <w:rPr>
                  <w:rFonts w:ascii="Cambria Math" w:hAnsi="Cambria Math"/>
                  <w:i/>
                </w:rPr>
              </m:ctrlPr>
            </m:dPr>
            <m:e>
              <m:f>
                <m:fPr>
                  <m:ctrlPr>
                    <w:rPr>
                      <w:rFonts w:ascii="Cambria Math" w:hAnsi="Cambria Math"/>
                      <w:i/>
                    </w:rPr>
                  </m:ctrlPr>
                </m:fPr>
                <m:num>
                  <m:r>
                    <w:rPr>
                      <w:rFonts w:ascii="Cambria Math" w:hAnsi="Cambria Math"/>
                    </w:rPr>
                    <m:t>I</m:t>
                  </m:r>
                  <m:sSub>
                    <m:sSubPr>
                      <m:ctrlPr>
                        <w:rPr>
                          <w:rFonts w:ascii="Cambria Math" w:hAnsi="Cambria Math"/>
                          <w:i/>
                        </w:rPr>
                      </m:ctrlPr>
                    </m:sSubPr>
                    <m:e>
                      <m:d>
                        <m:dPr>
                          <m:ctrlPr>
                            <w:rPr>
                              <w:rFonts w:ascii="Cambria Math" w:hAnsi="Cambria Math"/>
                              <w:i/>
                            </w:rPr>
                          </m:ctrlPr>
                        </m:dPr>
                        <m:e>
                          <m:r>
                            <w:rPr>
                              <w:rFonts w:ascii="Cambria Math" w:hAnsi="Cambria Math"/>
                            </w:rPr>
                            <m:t>q</m:t>
                          </m:r>
                        </m:e>
                      </m:d>
                    </m:e>
                    <m:sub>
                      <m:r>
                        <w:rPr>
                          <w:rFonts w:ascii="Cambria Math" w:hAnsi="Cambria Math"/>
                        </w:rPr>
                        <m:t>monomer</m:t>
                      </m:r>
                    </m:sub>
                  </m:sSub>
                  <m:d>
                    <m:dPr>
                      <m:ctrlPr>
                        <w:rPr>
                          <w:rFonts w:ascii="Cambria Math" w:hAnsi="Cambria Math"/>
                          <w:i/>
                        </w:rPr>
                      </m:ctrlPr>
                    </m:dPr>
                    <m:e>
                      <m:r>
                        <w:rPr>
                          <w:rFonts w:ascii="Cambria Math" w:hAnsi="Cambria Math"/>
                        </w:rPr>
                        <m:t xml:space="preserve">1- </m:t>
                      </m:r>
                      <m:sSub>
                        <m:sSubPr>
                          <m:ctrlPr>
                            <w:rPr>
                              <w:rFonts w:ascii="Cambria Math" w:hAnsi="Cambria Math"/>
                              <w:i/>
                            </w:rPr>
                          </m:ctrlPr>
                        </m:sSubPr>
                        <m:e>
                          <m:r>
                            <w:rPr>
                              <w:rFonts w:ascii="Cambria Math" w:hAnsi="Cambria Math"/>
                            </w:rPr>
                            <m:t>P</m:t>
                          </m:r>
                        </m:e>
                        <m:sub>
                          <m:r>
                            <w:rPr>
                              <w:rFonts w:ascii="Cambria Math" w:hAnsi="Cambria Math"/>
                            </w:rPr>
                            <m:t>dimer</m:t>
                          </m:r>
                        </m:sub>
                      </m:sSub>
                    </m:e>
                  </m:d>
                </m:num>
                <m:den>
                  <m:r>
                    <w:rPr>
                      <w:rFonts w:ascii="Cambria Math" w:hAnsi="Cambria Math"/>
                    </w:rPr>
                    <m:t>Invarian</m:t>
                  </m:r>
                  <m:sSub>
                    <m:sSubPr>
                      <m:ctrlPr>
                        <w:rPr>
                          <w:rFonts w:ascii="Cambria Math" w:hAnsi="Cambria Math"/>
                          <w:i/>
                        </w:rPr>
                      </m:ctrlPr>
                    </m:sSubPr>
                    <m:e>
                      <m:r>
                        <w:rPr>
                          <w:rFonts w:ascii="Cambria Math" w:hAnsi="Cambria Math"/>
                        </w:rPr>
                        <m:t>t</m:t>
                      </m:r>
                    </m:e>
                    <m:sub>
                      <m:r>
                        <w:rPr>
                          <w:rFonts w:ascii="Cambria Math" w:hAnsi="Cambria Math"/>
                        </w:rPr>
                        <m:t>monomer</m:t>
                      </m:r>
                    </m:sub>
                  </m:sSub>
                </m:den>
              </m:f>
              <m:r>
                <w:rPr>
                  <w:rFonts w:ascii="Cambria Math" w:hAnsi="Cambria Math"/>
                </w:rPr>
                <m:t>+2</m:t>
              </m:r>
              <m:f>
                <m:fPr>
                  <m:ctrlPr>
                    <w:rPr>
                      <w:rFonts w:ascii="Cambria Math" w:hAnsi="Cambria Math"/>
                      <w:i/>
                    </w:rPr>
                  </m:ctrlPr>
                </m:fPr>
                <m:num>
                  <m:r>
                    <w:rPr>
                      <w:rFonts w:ascii="Cambria Math" w:hAnsi="Cambria Math"/>
                    </w:rPr>
                    <m:t>I</m:t>
                  </m:r>
                  <m:sSub>
                    <m:sSubPr>
                      <m:ctrlPr>
                        <w:rPr>
                          <w:rFonts w:ascii="Cambria Math" w:hAnsi="Cambria Math"/>
                          <w:i/>
                        </w:rPr>
                      </m:ctrlPr>
                    </m:sSubPr>
                    <m:e>
                      <m:d>
                        <m:dPr>
                          <m:ctrlPr>
                            <w:rPr>
                              <w:rFonts w:ascii="Cambria Math" w:hAnsi="Cambria Math"/>
                              <w:i/>
                            </w:rPr>
                          </m:ctrlPr>
                        </m:dPr>
                        <m:e>
                          <m:r>
                            <w:rPr>
                              <w:rFonts w:ascii="Cambria Math" w:hAnsi="Cambria Math"/>
                            </w:rPr>
                            <m:t>q</m:t>
                          </m:r>
                        </m:e>
                      </m:d>
                    </m:e>
                    <m:sub>
                      <m:r>
                        <w:rPr>
                          <w:rFonts w:ascii="Cambria Math" w:hAnsi="Cambria Math"/>
                        </w:rPr>
                        <m:t>dimer</m:t>
                      </m:r>
                    </m:sub>
                  </m:sSub>
                  <m:d>
                    <m:dPr>
                      <m:ctrlPr>
                        <w:rPr>
                          <w:rFonts w:ascii="Cambria Math" w:hAnsi="Cambria Math"/>
                          <w:i/>
                        </w:rPr>
                      </m:ctrlPr>
                    </m:dPr>
                    <m:e>
                      <m:sSub>
                        <m:sSubPr>
                          <m:ctrlPr>
                            <w:rPr>
                              <w:rFonts w:ascii="Cambria Math" w:hAnsi="Cambria Math"/>
                              <w:i/>
                            </w:rPr>
                          </m:ctrlPr>
                        </m:sSubPr>
                        <m:e>
                          <m:r>
                            <w:rPr>
                              <w:rFonts w:ascii="Cambria Math" w:hAnsi="Cambria Math"/>
                            </w:rPr>
                            <m:t>P</m:t>
                          </m:r>
                        </m:e>
                        <m:sub>
                          <m:r>
                            <w:rPr>
                              <w:rFonts w:ascii="Cambria Math" w:hAnsi="Cambria Math"/>
                            </w:rPr>
                            <m:t>dimer</m:t>
                          </m:r>
                        </m:sub>
                      </m:sSub>
                    </m:e>
                  </m:d>
                </m:num>
                <m:den>
                  <m:r>
                    <w:rPr>
                      <w:rFonts w:ascii="Cambria Math" w:hAnsi="Cambria Math"/>
                    </w:rPr>
                    <m:t>Invarian</m:t>
                  </m:r>
                  <m:sSub>
                    <m:sSubPr>
                      <m:ctrlPr>
                        <w:rPr>
                          <w:rFonts w:ascii="Cambria Math" w:hAnsi="Cambria Math"/>
                          <w:i/>
                        </w:rPr>
                      </m:ctrlPr>
                    </m:sSubPr>
                    <m:e>
                      <m:r>
                        <w:rPr>
                          <w:rFonts w:ascii="Cambria Math" w:hAnsi="Cambria Math"/>
                        </w:rPr>
                        <m:t>t</m:t>
                      </m:r>
                    </m:e>
                    <m:sub>
                      <m:r>
                        <w:rPr>
                          <w:rFonts w:ascii="Cambria Math" w:hAnsi="Cambria Math"/>
                        </w:rPr>
                        <m:t>dimer</m:t>
                      </m:r>
                    </m:sub>
                  </m:sSub>
                </m:den>
              </m:f>
            </m:e>
          </m:d>
          <m:r>
            <w:rPr>
              <w:rFonts w:ascii="Cambria Math" w:hAnsi="Cambria Math"/>
            </w:rPr>
            <m:t>+background</m:t>
          </m:r>
        </m:oMath>
      </m:oMathPara>
    </w:p>
    <w:p w14:paraId="21E6A057" w14:textId="77777777" w:rsidR="00D719AB" w:rsidRDefault="00D719AB" w:rsidP="008D1C5D">
      <w:pPr>
        <w:rPr>
          <w:rFonts w:eastAsiaTheme="minorEastAsia"/>
        </w:rPr>
      </w:pPr>
    </w:p>
    <w:p w14:paraId="54A70508" w14:textId="3C3D976A" w:rsidR="00B91156" w:rsidRPr="00985C61" w:rsidRDefault="00207072" w:rsidP="008D1C5D">
      <w:pPr>
        <w:rPr>
          <w:rFonts w:eastAsiaTheme="minorEastAsia"/>
          <w:u w:val="single"/>
        </w:rPr>
      </w:pPr>
      <w:r>
        <w:rPr>
          <w:rFonts w:eastAsiaTheme="minorEastAsia"/>
          <w:u w:val="single"/>
        </w:rPr>
        <w:lastRenderedPageBreak/>
        <w:t>Data and Code Availability</w:t>
      </w:r>
    </w:p>
    <w:p w14:paraId="19707D5C" w14:textId="7CFEB47C" w:rsidR="00207072" w:rsidRDefault="00207072" w:rsidP="008D1C5D">
      <w:pPr>
        <w:rPr>
          <w:rFonts w:eastAsiaTheme="minorEastAsia"/>
        </w:rPr>
      </w:pPr>
      <w:r>
        <w:rPr>
          <w:rFonts w:eastAsiaTheme="minorEastAsia"/>
        </w:rPr>
        <w:t>All the code used to simulate the scattering curves and to fit the data can be found at:</w:t>
      </w:r>
      <w:r w:rsidRPr="00207072">
        <w:t xml:space="preserve"> </w:t>
      </w:r>
      <w:hyperlink r:id="rId4" w:history="1">
        <w:r w:rsidRPr="00225661">
          <w:rPr>
            <w:rStyle w:val="Hyperlink"/>
            <w:rFonts w:eastAsiaTheme="minorEastAsia"/>
          </w:rPr>
          <w:t>https://github.com/pozzo-research-group/MC-DFM/tree/main/Notebooks</w:t>
        </w:r>
      </w:hyperlink>
    </w:p>
    <w:p w14:paraId="2C079684" w14:textId="77777777" w:rsidR="00207072" w:rsidRDefault="00207072" w:rsidP="008D1C5D">
      <w:pPr>
        <w:rPr>
          <w:rFonts w:eastAsiaTheme="minorEastAsia"/>
        </w:rPr>
      </w:pPr>
    </w:p>
    <w:p w14:paraId="091B94D1" w14:textId="11CACC2D" w:rsidR="00B91156" w:rsidRDefault="00B91156" w:rsidP="008D1C5D">
      <w:pPr>
        <w:rPr>
          <w:rFonts w:eastAsiaTheme="minorEastAsia"/>
          <w:u w:val="single"/>
        </w:rPr>
      </w:pPr>
      <w:r w:rsidRPr="00B91156">
        <w:rPr>
          <w:rFonts w:eastAsiaTheme="minorEastAsia"/>
          <w:u w:val="single"/>
        </w:rPr>
        <w:t>References</w:t>
      </w:r>
    </w:p>
    <w:p w14:paraId="13A82ACF" w14:textId="777D2117" w:rsidR="005C4F2D" w:rsidRDefault="005C4F2D" w:rsidP="008D1C5D">
      <w:pPr>
        <w:rPr>
          <w:rFonts w:eastAsiaTheme="minorEastAsia"/>
        </w:rPr>
      </w:pPr>
      <w:r>
        <w:rPr>
          <w:rFonts w:eastAsiaTheme="minorEastAsia"/>
        </w:rPr>
        <w:t>[1</w:t>
      </w:r>
      <w:proofErr w:type="gramStart"/>
      <w:r>
        <w:rPr>
          <w:rFonts w:eastAsiaTheme="minorEastAsia"/>
        </w:rPr>
        <w:t xml:space="preserve">]  </w:t>
      </w:r>
      <w:r w:rsidRPr="005C4F2D">
        <w:rPr>
          <w:rFonts w:eastAsiaTheme="minorEastAsia"/>
        </w:rPr>
        <w:t>Whitten</w:t>
      </w:r>
      <w:proofErr w:type="gramEnd"/>
      <w:r w:rsidRPr="005C4F2D">
        <w:rPr>
          <w:rFonts w:eastAsiaTheme="minorEastAsia"/>
        </w:rPr>
        <w:t xml:space="preserve">, A. E., Whitten, A. E., Cai, S., &amp; Trewhella, J. (2008). </w:t>
      </w:r>
      <w:proofErr w:type="spellStart"/>
      <w:r w:rsidRPr="005C4F2D">
        <w:rPr>
          <w:rFonts w:eastAsiaTheme="minorEastAsia"/>
        </w:rPr>
        <w:t>MULCh</w:t>
      </w:r>
      <w:proofErr w:type="spellEnd"/>
      <w:r w:rsidRPr="005C4F2D">
        <w:rPr>
          <w:rFonts w:eastAsiaTheme="minorEastAsia"/>
        </w:rPr>
        <w:t xml:space="preserve">: modules for the analysis of small-angle neutron contrast variation data from biomolecular assemblies. </w:t>
      </w:r>
      <w:r w:rsidRPr="005C4F2D">
        <w:rPr>
          <w:rFonts w:eastAsiaTheme="minorEastAsia"/>
          <w:i/>
          <w:iCs/>
        </w:rPr>
        <w:t>Journal of Applied Crystallography</w:t>
      </w:r>
      <w:r w:rsidRPr="005C4F2D">
        <w:rPr>
          <w:rFonts w:eastAsiaTheme="minorEastAsia"/>
        </w:rPr>
        <w:t xml:space="preserve">, </w:t>
      </w:r>
      <w:r w:rsidRPr="005C4F2D">
        <w:rPr>
          <w:rFonts w:eastAsiaTheme="minorEastAsia"/>
          <w:i/>
          <w:iCs/>
        </w:rPr>
        <w:t>41</w:t>
      </w:r>
      <w:r w:rsidRPr="005C4F2D">
        <w:rPr>
          <w:rFonts w:eastAsiaTheme="minorEastAsia"/>
        </w:rPr>
        <w:t>(1), 222–226.</w:t>
      </w:r>
      <w:r>
        <w:rPr>
          <w:rFonts w:eastAsiaTheme="minorEastAsia"/>
        </w:rPr>
        <w:t xml:space="preserve"> </w:t>
      </w:r>
      <w:r w:rsidRPr="005C4F2D">
        <w:rPr>
          <w:rFonts w:eastAsiaTheme="minorEastAsia"/>
        </w:rPr>
        <w:t>https://doi.org/10.1107/S0021889807055136</w:t>
      </w:r>
    </w:p>
    <w:p w14:paraId="215868D9" w14:textId="50E03D0E" w:rsidR="00AC7E02" w:rsidRDefault="00B91156" w:rsidP="008D1C5D">
      <w:pPr>
        <w:rPr>
          <w:rFonts w:eastAsiaTheme="minorEastAsia"/>
        </w:rPr>
      </w:pPr>
      <w:r>
        <w:rPr>
          <w:rFonts w:eastAsiaTheme="minorEastAsia"/>
        </w:rPr>
        <w:t>[</w:t>
      </w:r>
      <w:r w:rsidR="005C4F2D">
        <w:rPr>
          <w:rFonts w:eastAsiaTheme="minorEastAsia"/>
        </w:rPr>
        <w:t>2</w:t>
      </w:r>
      <w:r>
        <w:rPr>
          <w:rFonts w:eastAsiaTheme="minorEastAsia"/>
        </w:rPr>
        <w:t xml:space="preserve">] </w:t>
      </w:r>
      <w:r w:rsidRPr="00B91156">
        <w:rPr>
          <w:rFonts w:eastAsiaTheme="minorEastAsia"/>
        </w:rPr>
        <w:t xml:space="preserve">Huat Thart Chiang, </w:t>
      </w:r>
      <w:proofErr w:type="spellStart"/>
      <w:r w:rsidRPr="00B91156">
        <w:rPr>
          <w:rFonts w:eastAsiaTheme="minorEastAsia"/>
        </w:rPr>
        <w:t>Zhiyin</w:t>
      </w:r>
      <w:proofErr w:type="spellEnd"/>
      <w:r w:rsidRPr="00B91156">
        <w:rPr>
          <w:rFonts w:eastAsiaTheme="minorEastAsia"/>
        </w:rPr>
        <w:t xml:space="preserve"> Zhang, Kiran Vaddi, Akif Tezcan, Lilo Pozzo</w:t>
      </w:r>
      <w:r w:rsidR="00AB6580">
        <w:rPr>
          <w:rFonts w:eastAsiaTheme="minorEastAsia"/>
        </w:rPr>
        <w:t>. “</w:t>
      </w:r>
      <w:r w:rsidR="00AB6580" w:rsidRPr="00AB6580">
        <w:rPr>
          <w:rFonts w:eastAsiaTheme="minorEastAsia"/>
        </w:rPr>
        <w:t>Efficient analysis of small-angle scattering curves for large biomolecular assemblies using Monte Carlo methods</w:t>
      </w:r>
      <w:r w:rsidR="00AB6580">
        <w:rPr>
          <w:rFonts w:eastAsiaTheme="minorEastAsia"/>
        </w:rPr>
        <w:t xml:space="preserve">”.  </w:t>
      </w:r>
      <w:r w:rsidR="00AB6580" w:rsidRPr="00AB6580">
        <w:rPr>
          <w:rFonts w:eastAsiaTheme="minorEastAsia"/>
          <w:i/>
          <w:iCs/>
        </w:rPr>
        <w:t>Journal of Applied Crystallography</w:t>
      </w:r>
      <w:r w:rsidR="00AB6580">
        <w:rPr>
          <w:rFonts w:eastAsiaTheme="minorEastAsia"/>
          <w:i/>
          <w:iCs/>
        </w:rPr>
        <w:t xml:space="preserve">. </w:t>
      </w:r>
      <w:r w:rsidR="00AB6580">
        <w:rPr>
          <w:rFonts w:eastAsiaTheme="minorEastAsia"/>
        </w:rPr>
        <w:t>(2025). 58, 963-975</w:t>
      </w:r>
    </w:p>
    <w:p w14:paraId="41460BFA" w14:textId="0577837E" w:rsidR="00AC7E02" w:rsidRDefault="00AC7E02" w:rsidP="008D1C5D">
      <w:pPr>
        <w:rPr>
          <w:rFonts w:eastAsiaTheme="minorEastAsia"/>
        </w:rPr>
      </w:pPr>
      <w:r>
        <w:rPr>
          <w:rFonts w:eastAsiaTheme="minorEastAsia"/>
        </w:rPr>
        <w:t xml:space="preserve">[3] </w:t>
      </w:r>
      <w:r w:rsidRPr="00AC7E02">
        <w:rPr>
          <w:rFonts w:eastAsiaTheme="minorEastAsia"/>
        </w:rPr>
        <w:t xml:space="preserve">Olds, D. P. &amp; Duxbury, P. M. (2014). Efficient algorithms for calculating small-angle scattering from large model structures. J. Appl. </w:t>
      </w:r>
      <w:proofErr w:type="spellStart"/>
      <w:r w:rsidRPr="00AC7E02">
        <w:rPr>
          <w:rFonts w:eastAsiaTheme="minorEastAsia"/>
        </w:rPr>
        <w:t>Cryst</w:t>
      </w:r>
      <w:proofErr w:type="spellEnd"/>
      <w:r w:rsidRPr="00AC7E02">
        <w:rPr>
          <w:rFonts w:eastAsiaTheme="minorEastAsia"/>
        </w:rPr>
        <w:t>. 47, 1077</w:t>
      </w:r>
      <w:r>
        <w:rPr>
          <w:rFonts w:eastAsiaTheme="minorEastAsia"/>
        </w:rPr>
        <w:t>-</w:t>
      </w:r>
      <w:r w:rsidRPr="00AC7E02">
        <w:rPr>
          <w:rFonts w:eastAsiaTheme="minorEastAsia"/>
        </w:rPr>
        <w:t>1086.</w:t>
      </w:r>
    </w:p>
    <w:p w14:paraId="3723264E" w14:textId="383E9C2C" w:rsidR="00AC7E02" w:rsidRPr="00AB6580" w:rsidRDefault="00AC7E02" w:rsidP="008D1C5D">
      <w:r>
        <w:rPr>
          <w:rFonts w:eastAsiaTheme="minorEastAsia"/>
        </w:rPr>
        <w:t xml:space="preserve">[4] </w:t>
      </w:r>
      <w:r w:rsidRPr="00AC7E02">
        <w:rPr>
          <w:rFonts w:eastAsiaTheme="minorEastAsia"/>
        </w:rPr>
        <w:t>Hansen, S. (1990). Calculation of small-angle scattering profiles using Monte Carlo simulation. </w:t>
      </w:r>
      <w:r w:rsidRPr="00AC7E02">
        <w:rPr>
          <w:rFonts w:eastAsiaTheme="minorEastAsia"/>
          <w:i/>
          <w:iCs/>
        </w:rPr>
        <w:t>Applied Crystallography</w:t>
      </w:r>
      <w:r w:rsidRPr="00AC7E02">
        <w:rPr>
          <w:rFonts w:eastAsiaTheme="minorEastAsia"/>
        </w:rPr>
        <w:t>, </w:t>
      </w:r>
      <w:r w:rsidRPr="00AC7E02">
        <w:rPr>
          <w:rFonts w:eastAsiaTheme="minorEastAsia"/>
          <w:i/>
          <w:iCs/>
        </w:rPr>
        <w:t>23</w:t>
      </w:r>
      <w:r w:rsidRPr="00AC7E02">
        <w:rPr>
          <w:rFonts w:eastAsiaTheme="minorEastAsia"/>
        </w:rPr>
        <w:t>(4), 344-346.</w:t>
      </w:r>
    </w:p>
    <w:sectPr w:rsidR="00AC7E02" w:rsidRPr="00AB658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C71D8"/>
    <w:rsid w:val="00061717"/>
    <w:rsid w:val="000C3C01"/>
    <w:rsid w:val="00136A6A"/>
    <w:rsid w:val="001D0C44"/>
    <w:rsid w:val="00207072"/>
    <w:rsid w:val="003955C6"/>
    <w:rsid w:val="00396D21"/>
    <w:rsid w:val="003C71D8"/>
    <w:rsid w:val="00406315"/>
    <w:rsid w:val="00430489"/>
    <w:rsid w:val="005C4F2D"/>
    <w:rsid w:val="005C5310"/>
    <w:rsid w:val="00626831"/>
    <w:rsid w:val="00630F24"/>
    <w:rsid w:val="00634B54"/>
    <w:rsid w:val="00766874"/>
    <w:rsid w:val="007808F7"/>
    <w:rsid w:val="008D1C5D"/>
    <w:rsid w:val="008E2406"/>
    <w:rsid w:val="00985C61"/>
    <w:rsid w:val="009947C1"/>
    <w:rsid w:val="009E673F"/>
    <w:rsid w:val="00AB6580"/>
    <w:rsid w:val="00AC7E02"/>
    <w:rsid w:val="00AF7A9E"/>
    <w:rsid w:val="00B91156"/>
    <w:rsid w:val="00D2328F"/>
    <w:rsid w:val="00D52DB8"/>
    <w:rsid w:val="00D719AB"/>
    <w:rsid w:val="00E50186"/>
    <w:rsid w:val="00EC7196"/>
    <w:rsid w:val="00ED63EA"/>
    <w:rsid w:val="00F13CD4"/>
    <w:rsid w:val="00FB190D"/>
    <w:rsid w:val="00FB589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B42F00"/>
  <w15:chartTrackingRefBased/>
  <w15:docId w15:val="{32D0D5AB-F6D8-4F5B-B7D1-7B002072D6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50186"/>
  </w:style>
  <w:style w:type="paragraph" w:styleId="Heading1">
    <w:name w:val="heading 1"/>
    <w:basedOn w:val="Normal"/>
    <w:next w:val="Normal"/>
    <w:link w:val="Heading1Char"/>
    <w:uiPriority w:val="9"/>
    <w:qFormat/>
    <w:rsid w:val="003C71D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C71D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C71D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C71D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C71D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C71D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C71D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C71D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C71D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C71D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C71D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C71D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C71D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C71D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C71D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C71D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C71D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C71D8"/>
    <w:rPr>
      <w:rFonts w:eastAsiaTheme="majorEastAsia" w:cstheme="majorBidi"/>
      <w:color w:val="272727" w:themeColor="text1" w:themeTint="D8"/>
    </w:rPr>
  </w:style>
  <w:style w:type="paragraph" w:styleId="Title">
    <w:name w:val="Title"/>
    <w:basedOn w:val="Normal"/>
    <w:next w:val="Normal"/>
    <w:link w:val="TitleChar"/>
    <w:uiPriority w:val="10"/>
    <w:qFormat/>
    <w:rsid w:val="003C71D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C71D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C71D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C71D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C71D8"/>
    <w:pPr>
      <w:spacing w:before="160"/>
      <w:jc w:val="center"/>
    </w:pPr>
    <w:rPr>
      <w:i/>
      <w:iCs/>
      <w:color w:val="404040" w:themeColor="text1" w:themeTint="BF"/>
    </w:rPr>
  </w:style>
  <w:style w:type="character" w:customStyle="1" w:styleId="QuoteChar">
    <w:name w:val="Quote Char"/>
    <w:basedOn w:val="DefaultParagraphFont"/>
    <w:link w:val="Quote"/>
    <w:uiPriority w:val="29"/>
    <w:rsid w:val="003C71D8"/>
    <w:rPr>
      <w:i/>
      <w:iCs/>
      <w:color w:val="404040" w:themeColor="text1" w:themeTint="BF"/>
    </w:rPr>
  </w:style>
  <w:style w:type="paragraph" w:styleId="ListParagraph">
    <w:name w:val="List Paragraph"/>
    <w:basedOn w:val="Normal"/>
    <w:uiPriority w:val="34"/>
    <w:qFormat/>
    <w:rsid w:val="003C71D8"/>
    <w:pPr>
      <w:ind w:left="720"/>
      <w:contextualSpacing/>
    </w:pPr>
  </w:style>
  <w:style w:type="character" w:styleId="IntenseEmphasis">
    <w:name w:val="Intense Emphasis"/>
    <w:basedOn w:val="DefaultParagraphFont"/>
    <w:uiPriority w:val="21"/>
    <w:qFormat/>
    <w:rsid w:val="003C71D8"/>
    <w:rPr>
      <w:i/>
      <w:iCs/>
      <w:color w:val="0F4761" w:themeColor="accent1" w:themeShade="BF"/>
    </w:rPr>
  </w:style>
  <w:style w:type="paragraph" w:styleId="IntenseQuote">
    <w:name w:val="Intense Quote"/>
    <w:basedOn w:val="Normal"/>
    <w:next w:val="Normal"/>
    <w:link w:val="IntenseQuoteChar"/>
    <w:uiPriority w:val="30"/>
    <w:qFormat/>
    <w:rsid w:val="003C71D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C71D8"/>
    <w:rPr>
      <w:i/>
      <w:iCs/>
      <w:color w:val="0F4761" w:themeColor="accent1" w:themeShade="BF"/>
    </w:rPr>
  </w:style>
  <w:style w:type="character" w:styleId="IntenseReference">
    <w:name w:val="Intense Reference"/>
    <w:basedOn w:val="DefaultParagraphFont"/>
    <w:uiPriority w:val="32"/>
    <w:qFormat/>
    <w:rsid w:val="003C71D8"/>
    <w:rPr>
      <w:b/>
      <w:bCs/>
      <w:smallCaps/>
      <w:color w:val="0F4761" w:themeColor="accent1" w:themeShade="BF"/>
      <w:spacing w:val="5"/>
    </w:rPr>
  </w:style>
  <w:style w:type="character" w:styleId="PlaceholderText">
    <w:name w:val="Placeholder Text"/>
    <w:basedOn w:val="DefaultParagraphFont"/>
    <w:uiPriority w:val="99"/>
    <w:semiHidden/>
    <w:rsid w:val="00406315"/>
    <w:rPr>
      <w:color w:val="666666"/>
    </w:rPr>
  </w:style>
  <w:style w:type="character" w:styleId="Hyperlink">
    <w:name w:val="Hyperlink"/>
    <w:basedOn w:val="DefaultParagraphFont"/>
    <w:uiPriority w:val="99"/>
    <w:unhideWhenUsed/>
    <w:rsid w:val="00AB6580"/>
    <w:rPr>
      <w:color w:val="467886" w:themeColor="hyperlink"/>
      <w:u w:val="single"/>
    </w:rPr>
  </w:style>
  <w:style w:type="character" w:styleId="UnresolvedMention">
    <w:name w:val="Unresolved Mention"/>
    <w:basedOn w:val="DefaultParagraphFont"/>
    <w:uiPriority w:val="99"/>
    <w:semiHidden/>
    <w:unhideWhenUsed/>
    <w:rsid w:val="00AB6580"/>
    <w:rPr>
      <w:color w:val="605E5C"/>
      <w:shd w:val="clear" w:color="auto" w:fill="E1DFDD"/>
    </w:rPr>
  </w:style>
  <w:style w:type="character" w:styleId="FollowedHyperlink">
    <w:name w:val="FollowedHyperlink"/>
    <w:basedOn w:val="DefaultParagraphFont"/>
    <w:uiPriority w:val="99"/>
    <w:semiHidden/>
    <w:unhideWhenUsed/>
    <w:rsid w:val="00ED63EA"/>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github.com/pozzo-research-group/MC-DFM/tree/main/Notebook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274</TotalTime>
  <Pages>2</Pages>
  <Words>578</Words>
  <Characters>3300</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Huat Thart Chiang</dc:creator>
  <cp:keywords/>
  <dc:description/>
  <cp:lastModifiedBy>Huat Thart Chiang</cp:lastModifiedBy>
  <cp:revision>13</cp:revision>
  <dcterms:created xsi:type="dcterms:W3CDTF">2026-02-22T04:35:00Z</dcterms:created>
  <dcterms:modified xsi:type="dcterms:W3CDTF">2026-02-27T16:49:00Z</dcterms:modified>
</cp:coreProperties>
</file>