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5 - Bubble and Quick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Bubble Sort x 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Bubble Sort: </w:t>
      </w:r>
      <w:r w:rsidDel="00000000" w:rsidR="00000000" w:rsidRPr="00000000">
        <w:rPr>
          <w:rFonts w:ascii="Arial" w:cs="Arial" w:eastAsia="Arial" w:hAnsi="Arial"/>
          <w:rtl w:val="0"/>
        </w:rPr>
        <w:t xml:space="preserve">Seu funcionamento é simples, consiste em comparar, a cada iteração, um elemento do vetor com seu sucessor e trocá-los se necessário. Sua complexidade média é </w:t>
      </w:r>
      <w:hyperlink r:id="rId6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368300" cy="165100"/>
              <wp:effectExtent b="0" l="0" r="0" t="0"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Quick Sort: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em uma “melhoria do BubbleSort” que faz comparações e trocas pelo vetor em volta do valor de uma posição pré-determinada chamada pivô, é um algoritmo do tipo “dividir para conquistar”, pois divide o vetor e ordena suas partes de forma independente para produzir o resultado final. Sua complexidade média é </w:t>
      </w:r>
      <w:hyperlink r:id="rId8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596900" cy="152400"/>
              <wp:effectExtent b="0" l="0" r="0" t="0"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com pivô central.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comparar os dois sorts, foram utilizados casos de pratos de comida em um restaurante que devem ser ordenados a partir de seus valores de prioridade, caso dois pratos tenham prioridades iguais, o tempo de preparo deverá ser considerado como critério para ordenação.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Código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414197</wp:posOffset>
            </wp:positionV>
            <wp:extent cx="3739198" cy="1138378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198" cy="1138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294580" cy="412599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4580" cy="412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292023" cy="179452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2023" cy="1794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por nós comparando o desempenho de ambos algoritmos.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1° Caso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0.000003 segundos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0.000002 segundos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0.000003 segundos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0.000002 segundos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0.000002 segundos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0.000002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3° Caso</w:t>
      </w:r>
    </w:p>
    <w:p w:rsidR="00000000" w:rsidDel="00000000" w:rsidP="00000000" w:rsidRDefault="00000000" w:rsidRPr="00000000" w14:paraId="0000003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0.002434 segundos</w:t>
      </w:r>
    </w:p>
    <w:p w:rsidR="00000000" w:rsidDel="00000000" w:rsidP="00000000" w:rsidRDefault="00000000" w:rsidRPr="00000000" w14:paraId="0000003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0.000040 segundos</w:t>
      </w:r>
    </w:p>
    <w:p w:rsidR="00000000" w:rsidDel="00000000" w:rsidP="00000000" w:rsidRDefault="00000000" w:rsidRPr="00000000" w14:paraId="0000003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0.001080 segundos</w:t>
      </w:r>
    </w:p>
    <w:p w:rsidR="00000000" w:rsidDel="00000000" w:rsidP="00000000" w:rsidRDefault="00000000" w:rsidRPr="00000000" w14:paraId="0000004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0.000039 segundos</w:t>
      </w:r>
    </w:p>
    <w:p w:rsidR="00000000" w:rsidDel="00000000" w:rsidP="00000000" w:rsidRDefault="00000000" w:rsidRPr="00000000" w14:paraId="0000004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0.001069 segundos</w:t>
      </w:r>
    </w:p>
    <w:p w:rsidR="00000000" w:rsidDel="00000000" w:rsidP="00000000" w:rsidRDefault="00000000" w:rsidRPr="00000000" w14:paraId="0000004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0.000039 segundos</w:t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9° Caso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0.001056 segundos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0.008021 segundos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0.001128 segundos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0.008488 segundos</w:t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0.001403 segundos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0.015640 segundos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10° Caso</w:t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307.033382 segundos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0.008341 segundos</w:t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304.393536 segundos</w:t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0.008396 segundos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BubbleSort: 295.862082 segundos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QuickSort: 0.008358 segundos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algoritmo de Quick Sort mostrou-se muito eficaz em comparação ao Bubble Sort, com exceção para o caso de listas já ordenadas. A escolha do pivô central pode não ser a mais eficaz, porém reduz a chance de ocorrer uma complexidade de </w:t>
      </w:r>
      <w:hyperlink r:id="rId13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368300" cy="165100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no pior caso, principalmente em relação a aplicações do Quick Sort em que o pivô escolhido está nas extremidades.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58223" cy="265930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223" cy="265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76003" cy="267473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003" cy="2674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(Gráfico Bubble e Quick, Eixo X representa o número de entradas e o Eixo Y milissegundos, feito a partir de casos teste a parte do Runcodes)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www.codecogs.com/eqnedit.php?latex=O(n%5E%7B2%7D)#0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O(n%5E%7B2%7D)#0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www.codecogs.com/eqnedit.php?latex=O(n%20log%20n)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