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FDE20">
      <w:bookmarkStart w:id="0" w:name="_GoBack"/>
      <w:bookmarkEnd w:id="0"/>
      <w:r>
        <w:rPr>
          <w:rFonts w:hint="eastAsia"/>
        </w:rPr>
        <w:t> Nature Communications 文章中 (Zhao, Y., Mei, Y., Liu, Z. et al. Molecularly engineered supramolecular fluorescent chemodosimeter for measuring epinephrine dynamics. Nat Commun 16, 1848 (2025). https://doi.org/10.1038/s41467-025-57100-5) 的 Fig.5C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679A11C2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219</Characters>
  <Lines>0</Lines>
  <Paragraphs>0</Paragraphs>
  <TotalTime>1</TotalTime>
  <ScaleCrop>false</ScaleCrop>
  <LinksUpToDate>false</LinksUpToDate>
  <CharactersWithSpaces>247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