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AAAC7">
      <w:r>
        <w:rPr>
          <w:rFonts w:hint="eastAsia"/>
        </w:rPr>
        <w:t>Nature 文章中 (Marchand, A., Buckley, S., Schneuing, A. et al. Targeting protein–ligand neosurfaces with a generalizable deep learning tool. Nature (2025). https://doi.org/10.1038/s41586-024-08435-4) 的 Fig.4b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6F4326BF"/>
    <w:rsid w:val="7AA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