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eastAsia="Times New Roman"/>
          <w:b/>
          <w:i w:val="0"/>
          <w:sz w:val="32"/>
        </w:rPr>
        <w:t>Cost and Time Comparison of a BIM-to-FDM Printing Workflow and Manual Fabrication of a 1:60 Architectural Model of a Two-Storey House</w:t>
      </w:r>
    </w:p>
    <w:p>
      <w:pPr>
        <w:spacing w:after="120"/>
        <w:jc w:val="center"/>
      </w:pPr>
      <w:r>
        <w:rPr>
          <w:rFonts w:ascii="Times New Roman" w:hAnsi="Times New Roman" w:eastAsia="Times New Roman"/>
          <w:b/>
          <w:i w:val="0"/>
          <w:sz w:val="24"/>
        </w:rPr>
        <w:t>Piyarat Paoleng</w:t>
      </w:r>
      <w:r>
        <w:rPr>
          <w:rFonts w:ascii="Times New Roman" w:hAnsi="Times New Roman" w:eastAsia="Times New Roman"/>
          <w:b w:val="0"/>
          <w:i w:val="0"/>
          <w:sz w:val="24"/>
          <w:vertAlign w:val="superscript"/>
        </w:rPr>
        <w:t>1</w:t>
      </w:r>
      <w:r>
        <w:rPr>
          <w:rFonts w:ascii="Times New Roman" w:hAnsi="Times New Roman" w:eastAsia="Times New Roman"/>
          <w:b w:val="0"/>
          <w:i w:val="0"/>
          <w:sz w:val="24"/>
        </w:rPr>
        <w:t xml:space="preserve">, </w:t>
      </w:r>
      <w:r>
        <w:rPr>
          <w:rFonts w:ascii="Times New Roman" w:hAnsi="Times New Roman" w:eastAsia="Times New Roman"/>
          <w:b/>
          <w:i w:val="0"/>
          <w:sz w:val="24"/>
        </w:rPr>
        <w:t>Siriphat Maneekeaw</w:t>
      </w:r>
      <w:r>
        <w:rPr>
          <w:rFonts w:ascii="Times New Roman" w:hAnsi="Times New Roman" w:eastAsia="Times New Roman"/>
          <w:b w:val="0"/>
          <w:i w:val="0"/>
          <w:sz w:val="24"/>
          <w:vertAlign w:val="superscript"/>
        </w:rPr>
        <w:t>1</w:t>
      </w:r>
      <w:r>
        <w:rPr>
          <w:rFonts w:ascii="Times New Roman" w:hAnsi="Times New Roman" w:eastAsia="Times New Roman"/>
          <w:b w:val="0"/>
          <w:i w:val="0"/>
          <w:sz w:val="24"/>
        </w:rPr>
        <w:t xml:space="preserve">, </w:t>
      </w:r>
      <w:r>
        <w:rPr>
          <w:rFonts w:ascii="Times New Roman" w:hAnsi="Times New Roman" w:eastAsia="Times New Roman"/>
          <w:b/>
          <w:i w:val="0"/>
          <w:sz w:val="24"/>
        </w:rPr>
        <w:t>Sirisak Kongsomsaksakul</w:t>
      </w:r>
      <w:r>
        <w:rPr>
          <w:rFonts w:ascii="Times New Roman" w:hAnsi="Times New Roman" w:eastAsia="Times New Roman"/>
          <w:b w:val="0"/>
          <w:i w:val="0"/>
          <w:sz w:val="24"/>
          <w:vertAlign w:val="superscript"/>
        </w:rPr>
        <w:t>1</w:t>
      </w:r>
      <w:r>
        <w:rPr>
          <w:rFonts w:ascii="Times New Roman" w:hAnsi="Times New Roman" w:eastAsia="Times New Roman"/>
          <w:b w:val="0"/>
          <w:i w:val="0"/>
          <w:sz w:val="24"/>
        </w:rPr>
        <w:t xml:space="preserve">, </w:t>
      </w:r>
      <w:r>
        <w:rPr>
          <w:rFonts w:ascii="Times New Roman" w:hAnsi="Times New Roman" w:eastAsia="Times New Roman"/>
          <w:b/>
          <w:i w:val="0"/>
          <w:sz w:val="24"/>
        </w:rPr>
        <w:t>Krairoj Mahannopkul</w:t>
      </w:r>
      <w:r>
        <w:rPr>
          <w:rFonts w:ascii="Times New Roman" w:hAnsi="Times New Roman" w:eastAsia="Times New Roman"/>
          <w:b w:val="0"/>
          <w:i w:val="0"/>
          <w:sz w:val="24"/>
          <w:vertAlign w:val="superscript"/>
        </w:rPr>
        <w:t>1</w:t>
      </w:r>
      <w:r>
        <w:rPr>
          <w:rFonts w:ascii="Times New Roman" w:hAnsi="Times New Roman" w:eastAsia="Times New Roman"/>
          <w:b w:val="0"/>
          <w:i w:val="0"/>
          <w:sz w:val="24"/>
        </w:rPr>
        <w:t xml:space="preserve">, </w:t>
      </w:r>
      <w:r>
        <w:rPr>
          <w:rFonts w:ascii="Times New Roman" w:hAnsi="Times New Roman" w:eastAsia="Times New Roman"/>
          <w:b/>
          <w:i w:val="0"/>
          <w:sz w:val="24"/>
        </w:rPr>
        <w:t>Ittipon Meepon</w:t>
      </w:r>
      <w:r>
        <w:rPr>
          <w:rFonts w:ascii="Times New Roman" w:hAnsi="Times New Roman" w:eastAsia="Times New Roman"/>
          <w:b w:val="0"/>
          <w:i w:val="0"/>
          <w:sz w:val="24"/>
          <w:vertAlign w:val="superscript"/>
        </w:rPr>
        <w:t>1,*</w:t>
      </w:r>
    </w:p>
    <w:p>
      <w:pPr>
        <w:spacing w:after="120"/>
        <w:jc w:val="center"/>
      </w:pPr>
      <w:r>
        <w:rPr>
          <w:rFonts w:ascii="Times New Roman" w:hAnsi="Times New Roman" w:eastAsia="Times New Roman"/>
          <w:b w:val="0"/>
          <w:i w:val="0"/>
          <w:sz w:val="22"/>
          <w:vertAlign w:val="superscript"/>
        </w:rPr>
        <w:t>1</w:t>
      </w:r>
      <w:r>
        <w:rPr>
          <w:rFonts w:ascii="Times New Roman" w:hAnsi="Times New Roman" w:eastAsia="Times New Roman"/>
          <w:b w:val="0"/>
          <w:i w:val="0"/>
          <w:sz w:val="22"/>
        </w:rPr>
        <w:t xml:space="preserve"> Department of Teacher Training in Civil Engineering, Faculty of Technical Education, King Mongkut's University of Technology North Bangkok, Bangkok, Thailand</w:t>
      </w:r>
    </w:p>
    <w:p>
      <w:pPr>
        <w:spacing w:after="120"/>
        <w:jc w:val="center"/>
      </w:pPr>
      <w:r>
        <w:rPr>
          <w:rFonts w:ascii="Times New Roman" w:hAnsi="Times New Roman" w:eastAsia="Times New Roman"/>
          <w:b w:val="0"/>
          <w:i w:val="0"/>
          <w:sz w:val="22"/>
          <w:vertAlign w:val="superscript"/>
        </w:rPr>
        <w:t>*</w:t>
      </w:r>
      <w:r>
        <w:rPr>
          <w:rFonts w:ascii="Times New Roman" w:hAnsi="Times New Roman" w:eastAsia="Times New Roman"/>
          <w:b w:val="0"/>
          <w:i w:val="0"/>
          <w:sz w:val="22"/>
        </w:rPr>
        <w:t xml:space="preserve"> Corresponding author: Ittipon Meepon, ittipon.m@fte.kmutnb.ac.th</w:t>
      </w:r>
    </w:p>
    <w:p>
      <w:pPr>
        <w:spacing w:after="120"/>
        <w:jc w:val="center"/>
      </w:pPr>
      <w:r>
        <w:rPr>
          <w:rFonts w:ascii="Times New Roman" w:hAnsi="Times New Roman" w:eastAsia="Times New Roman"/>
          <w:b w:val="0"/>
          <w:i w:val="0"/>
          <w:sz w:val="20"/>
        </w:rPr>
        <w:t>ORCID: P. Paoleng 0009-0008-5332-1007; S. Maneekeaw 0009-0002-0435-2866; S. Kongsomsaksakul 0009-0001-2352-5550; K. Mahannopkul 0000-0002-6207-0958; I. Meepon 0000-0001-5353-3511</w:t>
      </w:r>
    </w:p>
    <w:p>
      <w:pPr>
        <w:spacing w:after="120"/>
        <w:jc w:val="center"/>
      </w:pPr>
      <w:r>
        <w:rPr>
          <w:rFonts w:ascii="Times New Roman" w:hAnsi="Times New Roman" w:eastAsia="Times New Roman"/>
          <w:b w:val="0"/>
          <w:i w:val="0"/>
          <w:sz w:val="20"/>
          <w:highlight w:val="yellow"/>
        </w:rPr>
        <w:t>[Author list, order and corresponding author are taken from the authors' default list and must be confirmed before submission.]</w:t>
      </w:r>
    </w:p>
    <w:p>
      <w:pPr>
        <w:keepNext/>
        <w:spacing w:before="240" w:after="80"/>
      </w:pPr>
      <w:r>
        <w:rPr>
          <w:rFonts w:ascii="Times New Roman" w:hAnsi="Times New Roman" w:eastAsia="Times New Roman"/>
          <w:b/>
          <w:i w:val="0"/>
          <w:sz w:val="25"/>
        </w:rPr>
        <w:t>Abstract</w:t>
      </w:r>
    </w:p>
    <w:p>
      <w:pPr>
        <w:spacing w:after="120"/>
        <w:jc w:val="both"/>
      </w:pPr>
      <w:r>
        <w:rPr>
          <w:rFonts w:ascii="Times New Roman" w:hAnsi="Times New Roman" w:eastAsia="Times New Roman"/>
          <w:b w:val="0"/>
          <w:i w:val="0"/>
        </w:rPr>
        <w:t>Physical architectural models remain a common medium for communicating building designs, yet few studies compare building information modelling (BIM) combined with desktop fused deposition modelling (FDM) against manual model-making using itemised cost and time records. This study documents a BIM-to-FDM workflow and compares it with manual fabrication of a 1:60 model of a two-storey reinforced-concrete house with approximately 315 m² of usable area. The BIM model was developed in Autodesk Revit, exported as a binary STL file, sliced in Ultimaker Cura, printed in separate parts on a desktop FDM printer and assembled with adhesive. The manual model was cut from Plaswood sheets and clear PVC using printed 1:60 plans. Costs were recorded as materials, labour (manual route) and printer service charge (printing route), together with fabrication duration. The manual route cost 7,220 THB and took 6 days, whereas the BIM-to-FDM route cost 10,000 THB and took 3 days. Printing therefore halved the fabrication time but increased the cost by 38.5%, largely because the printer service charge (8,800 THB) represented 88% of the printing-route cost. A sensitivity analysis based on the recorded values indicated that cost parity would occur at a service charge of 6,020 THB or at a daily wage of about 504 THB per person (at the 2026 Bangkok minimum wage of 400 THB per day the cost premium would be 23.2%), and that including the reported 1–2 days of Revit modelling would reduce the time saving to 17–33%. Door and window frames could not be printed with the printer used. Because the study covers one building, one printer and one team, the results are exploratory. They suggest that the economic case for BIM-to-FDM models depends mainly on how printer use is charged and on whether the BIM model is reused for other purposes.</w:t>
      </w:r>
    </w:p>
    <w:p>
      <w:pPr>
        <w:spacing w:after="120"/>
        <w:jc w:val="both"/>
      </w:pPr>
      <w:r>
        <w:rPr>
          <w:rFonts w:ascii="Times New Roman" w:hAnsi="Times New Roman" w:eastAsia="Times New Roman"/>
          <w:b/>
          <w:i w:val="0"/>
        </w:rPr>
        <w:t xml:space="preserve">Keywords: </w:t>
      </w:r>
      <w:r>
        <w:rPr>
          <w:rFonts w:ascii="Times New Roman" w:hAnsi="Times New Roman" w:eastAsia="Times New Roman"/>
          <w:b w:val="0"/>
          <w:i w:val="0"/>
        </w:rPr>
        <w:t>building information modelling; fused deposition modelling; architectural scale model; cost–time comparison; Autodesk Revit</w:t>
      </w:r>
    </w:p>
    <w:p>
      <w:pPr>
        <w:keepNext/>
        <w:spacing w:before="240" w:after="80"/>
      </w:pPr>
      <w:r>
        <w:rPr>
          <w:rFonts w:ascii="Times New Roman" w:hAnsi="Times New Roman" w:eastAsia="Times New Roman"/>
          <w:b/>
          <w:i w:val="0"/>
          <w:sz w:val="25"/>
        </w:rPr>
        <w:t>1. Introduction</w:t>
      </w:r>
    </w:p>
    <w:p>
      <w:pPr>
        <w:spacing w:after="120"/>
        <w:ind w:firstLine="425"/>
        <w:jc w:val="both"/>
      </w:pPr>
      <w:r>
        <w:rPr>
          <w:rFonts w:ascii="Times New Roman" w:hAnsi="Times New Roman" w:eastAsia="Times New Roman"/>
          <w:b w:val="0"/>
          <w:i w:val="0"/>
        </w:rPr>
        <w:t>Building information modelling (BIM) represents a facility as a data-rich three-dimensional model from which drawings, quantities and other outputs can be generated (Eastman et al., 2011). Because a BIM model is already digital and geometric, it is a natural source for fabricating physical models, and several studies have examined links between BIM and additive manufacturing (Teizer et al., 2018; Wang &amp; Skibniewski, 2019). Most of this literature concerns full-scale construction printing, which has been reviewed repeatedly (Paolini et al., 2019; Tay et al., 2017; Ning et al., 2021; Schuldt et al., 2021; Tuvayanond &amp; Prasittisopin, 2023) and for which BIM-based workflows have been proposed (García-Alvarado et al., 2024). Cost comparisons have also been made at that scale, for example for material cost in Jordan using a Revit model (Allouzi et al., 2020).</w:t>
      </w:r>
    </w:p>
    <w:p>
      <w:pPr>
        <w:spacing w:after="120"/>
        <w:ind w:firstLine="425"/>
        <w:jc w:val="both"/>
      </w:pPr>
      <w:r>
        <w:rPr>
          <w:rFonts w:ascii="Times New Roman" w:hAnsi="Times New Roman" w:eastAsia="Times New Roman"/>
          <w:b w:val="0"/>
          <w:i w:val="0"/>
        </w:rPr>
        <w:t>Desktop fused deposition modelling (FDM) printers serve a different and smaller-scale need, namely producing architectural scale models for design review and teaching. A systematic review separates this use from concrete printing (Žujović et al., 2022). Earlier comparative work on physical modelling in architecture evaluated laser cutting, CNC milling and 3D printing (Globa et al., 2012), and a recent survey examined architecture students' acceptance of traditional, laser-cutting and 3D-printing techniques against criteria that included completion speed and cost (Mourad et al., 2025). Educational studies have also reported the use of 3D printers in architectural design studios and for teaching structural concepts (Boumaraf &amp; İnceoğlu, 2020; Özeren et al., 2023; Dart &amp; Lim, 2023).</w:t>
      </w:r>
    </w:p>
    <w:p>
      <w:pPr>
        <w:spacing w:after="120"/>
        <w:ind w:firstLine="425"/>
        <w:jc w:val="both"/>
      </w:pPr>
      <w:r>
        <w:rPr>
          <w:rFonts w:ascii="Times New Roman" w:hAnsi="Times New Roman" w:eastAsia="Times New Roman"/>
          <w:b w:val="0"/>
          <w:i w:val="0"/>
        </w:rPr>
        <w:t>The cost of a printed part depends on how machine, material, energy and labour are allocated. Classification reviews and cost frameworks for additive manufacturing and FDM are available (Kadir et al., 2020; Griffin et al., 2022; Hernandez Korner et al., 2024; Seregi &amp; Ficzere, 2025), the energy requirements of additive processes have been quantified (Liu et al., 2018), and sustainability trade-offs have been discussed (Ford &amp; Despeisse, 2016). Studies of low-cost open-source printers report payback periods from a few months to about two years, which shows that printer economics depend strongly on how the machine is used (Wittbrodt et al., 2013; Petersen &amp; Pearce, 2017). Dimensional accuracy and geometric deviation of FDM parts have likewise been reviewed and measured (Equbal et al., 2024; Li et al., 2025; Petruse et al., 2024), which is relevant to small details on a 1:60 model.</w:t>
      </w:r>
    </w:p>
    <w:p>
      <w:pPr>
        <w:spacing w:after="120"/>
        <w:ind w:firstLine="425"/>
        <w:jc w:val="both"/>
      </w:pPr>
      <w:r>
        <w:rPr>
          <w:rFonts w:ascii="Times New Roman" w:hAnsi="Times New Roman" w:eastAsia="Times New Roman"/>
          <w:b w:val="0"/>
          <w:i w:val="0"/>
        </w:rPr>
        <w:t>In Thailand, BIM adoption has been examined in terms of drivers and barriers (Ngowtanasawan, 2017; Sierra &amp; Rodboonpha, 2023), and a national conference study considered the cost-effectiveness of combining BIM and 3D printing in design and construction (Tapan et al., 2020). Within the literature screened for this study, we did not find an itemised per-model comparison of cost and time between a BIM-to-FDM route and manual fabrication of an architectural scale model that also tests how the conclusion changes with the accounting assumptions. The screening was not a systematic review, so this statement is limited to the sources consulted.</w:t>
      </w:r>
    </w:p>
    <w:p>
      <w:pPr>
        <w:spacing w:after="120"/>
        <w:ind w:firstLine="425"/>
        <w:jc w:val="both"/>
      </w:pPr>
      <w:r>
        <w:rPr>
          <w:rFonts w:ascii="Times New Roman" w:hAnsi="Times New Roman" w:eastAsia="Times New Roman"/>
          <w:b w:val="0"/>
          <w:i w:val="0"/>
        </w:rPr>
        <w:t>This study therefore (1) documents a BIM-to-FDM workflow for a two-storey house, (2) compares its cost and duration with manual fabrication of a model at the same scale, (3) tests how sensitive the comparison is to wage, printer service charge and BIM modelling time, and (4) records the practical limitations of the printed model. It is a single-case exploratory evaluation based on records from an undergraduate special project, and it is presented as such.</w:t>
      </w:r>
    </w:p>
    <w:p>
      <w:pPr>
        <w:keepNext/>
        <w:spacing w:before="240" w:after="80"/>
      </w:pPr>
      <w:r>
        <w:rPr>
          <w:rFonts w:ascii="Times New Roman" w:hAnsi="Times New Roman" w:eastAsia="Times New Roman"/>
          <w:b/>
          <w:i w:val="0"/>
          <w:sz w:val="25"/>
        </w:rPr>
        <w:t>2. Methodology</w:t>
      </w:r>
    </w:p>
    <w:p>
      <w:pPr>
        <w:keepNext/>
        <w:spacing w:before="160" w:after="80"/>
      </w:pPr>
      <w:r>
        <w:rPr>
          <w:rFonts w:ascii="Times New Roman" w:hAnsi="Times New Roman" w:eastAsia="Times New Roman"/>
          <w:b/>
          <w:i/>
          <w:sz w:val="24"/>
        </w:rPr>
        <w:t>2.1 Case and scope</w:t>
      </w:r>
    </w:p>
    <w:p>
      <w:pPr>
        <w:spacing w:after="120"/>
        <w:ind w:firstLine="425"/>
        <w:jc w:val="both"/>
      </w:pPr>
      <w:r>
        <w:rPr>
          <w:rFonts w:ascii="Times New Roman" w:hAnsi="Times New Roman" w:eastAsia="Times New Roman"/>
          <w:b w:val="0"/>
          <w:i w:val="0"/>
        </w:rPr>
        <w:t>The case was a two-storey reinforced-concrete house with three bedrooms, three bathrooms and approximately 315 m² of usable area, taken from an existing design of a Thai public-housing programme for which complete design information was available. Both routes produced a physical model at a scale of 1:60. The overall procedure is shown in Fig. 1.</w:t>
      </w:r>
    </w:p>
    <w:p>
      <w:pPr>
        <w:keepNext/>
        <w:spacing w:before="120" w:after="40"/>
        <w:jc w:val="center"/>
      </w:pPr>
      <w:r>
        <w:drawing>
          <wp:inline xmlns:a="http://schemas.openxmlformats.org/drawingml/2006/main" xmlns:pic="http://schemas.openxmlformats.org/drawingml/2006/picture">
            <wp:extent cx="5040000" cy="3917355"/>
            <wp:docPr id="1" name="Picture 1"/>
            <wp:cNvGraphicFramePr>
              <a:graphicFrameLocks noChangeAspect="1"/>
            </wp:cNvGraphicFramePr>
            <a:graphic>
              <a:graphicData uri="http://schemas.openxmlformats.org/drawingml/2006/picture">
                <pic:pic>
                  <pic:nvPicPr>
                    <pic:cNvPr id="0" name="fig1_methodology.jpg"/>
                    <pic:cNvPicPr/>
                  </pic:nvPicPr>
                  <pic:blipFill>
                    <a:blip r:embed="rId10"/>
                    <a:stretch>
                      <a:fillRect/>
                    </a:stretch>
                  </pic:blipFill>
                  <pic:spPr>
                    <a:xfrm>
                      <a:off x="0" y="0"/>
                      <a:ext cx="5040000" cy="3917355"/>
                    </a:xfrm>
                    <a:prstGeom prst="rect"/>
                  </pic:spPr>
                </pic:pic>
              </a:graphicData>
            </a:graphic>
          </wp:inline>
        </w:drawing>
      </w:r>
    </w:p>
    <w:p>
      <w:pPr>
        <w:spacing w:after="200"/>
        <w:jc w:val="both"/>
      </w:pPr>
      <w:r>
        <w:rPr>
          <w:rFonts w:ascii="Times New Roman" w:hAnsi="Times New Roman" w:eastAsia="Times New Roman"/>
          <w:b/>
          <w:i w:val="0"/>
          <w:sz w:val="21"/>
        </w:rPr>
        <w:t xml:space="preserve">Fig. 1. </w:t>
      </w:r>
      <w:r>
        <w:rPr>
          <w:rFonts w:ascii="Times New Roman" w:hAnsi="Times New Roman" w:eastAsia="Times New Roman"/>
          <w:b w:val="0"/>
          <w:i w:val="0"/>
          <w:sz w:val="21"/>
        </w:rPr>
        <w:t>Research procedure comparing the BIM-to-FDM route (A) with manual fabrication (B) for the same house at 1:60. The slicer settings in step A3 were read from the archived slicer screenshot (Fig. 3b).</w:t>
      </w:r>
    </w:p>
    <w:p>
      <w:pPr>
        <w:keepNext/>
        <w:spacing w:before="160" w:after="80"/>
      </w:pPr>
      <w:r>
        <w:rPr>
          <w:rFonts w:ascii="Times New Roman" w:hAnsi="Times New Roman" w:eastAsia="Times New Roman"/>
          <w:b/>
          <w:i/>
          <w:sz w:val="24"/>
        </w:rPr>
        <w:t>2.2 BIM-to-FDM route</w:t>
      </w:r>
    </w:p>
    <w:p>
      <w:pPr>
        <w:spacing w:after="120"/>
        <w:ind w:firstLine="425"/>
        <w:jc w:val="both"/>
      </w:pPr>
      <w:r>
        <w:rPr>
          <w:rFonts w:ascii="Times New Roman" w:hAnsi="Times New Roman" w:eastAsia="Times New Roman"/>
          <w:b w:val="0"/>
          <w:i w:val="0"/>
        </w:rPr>
        <w:t>The building was modelled in Autodesk Revit starting from grids and levels, followed by columns, floors, walls, doors, windows and the roof, using the existing plans of the project. The team reported that modelling took one to two days, depending on the operator's proficiency; this time is shown in Fig. 1 but is not included in the baseline cost and duration, and its effect is examined in Section 3.3. Representative modelling steps are shown in Fig. 2. After checking the model, it was exported through File &gt; Export &gt; CAD Formats &gt; STL using the binary option and a resolution chosen by the operator (Fig. 3a).</w:t>
      </w:r>
    </w:p>
    <w:p>
      <w:pPr>
        <w:keepNext/>
        <w:spacing w:before="120" w:after="40"/>
        <w:jc w:val="center"/>
      </w:pPr>
      <w:r>
        <w:drawing>
          <wp:inline xmlns:a="http://schemas.openxmlformats.org/drawingml/2006/main" xmlns:pic="http://schemas.openxmlformats.org/drawingml/2006/picture">
            <wp:extent cx="4937760" cy="2684417"/>
            <wp:docPr id="2" name="Picture 2"/>
            <wp:cNvGraphicFramePr>
              <a:graphicFrameLocks noChangeAspect="1"/>
            </wp:cNvGraphicFramePr>
            <a:graphic>
              <a:graphicData uri="http://schemas.openxmlformats.org/drawingml/2006/picture">
                <pic:pic>
                  <pic:nvPicPr>
                    <pic:cNvPr id="0" name="fig2_revit_modelling.jpg"/>
                    <pic:cNvPicPr/>
                  </pic:nvPicPr>
                  <pic:blipFill>
                    <a:blip r:embed="rId11"/>
                    <a:stretch>
                      <a:fillRect/>
                    </a:stretch>
                  </pic:blipFill>
                  <pic:spPr>
                    <a:xfrm>
                      <a:off x="0" y="0"/>
                      <a:ext cx="4937760" cy="2684417"/>
                    </a:xfrm>
                    <a:prstGeom prst="rect"/>
                  </pic:spPr>
                </pic:pic>
              </a:graphicData>
            </a:graphic>
          </wp:inline>
        </w:drawing>
      </w:r>
    </w:p>
    <w:p>
      <w:pPr>
        <w:spacing w:after="200"/>
        <w:jc w:val="both"/>
      </w:pPr>
      <w:r>
        <w:rPr>
          <w:rFonts w:ascii="Times New Roman" w:hAnsi="Times New Roman" w:eastAsia="Times New Roman"/>
          <w:b/>
          <w:i w:val="0"/>
          <w:sz w:val="21"/>
        </w:rPr>
        <w:t xml:space="preserve">Fig. 2. </w:t>
      </w:r>
      <w:r>
        <w:rPr>
          <w:rFonts w:ascii="Times New Roman" w:hAnsi="Times New Roman" w:eastAsia="Times New Roman"/>
          <w:b w:val="0"/>
          <w:i w:val="0"/>
          <w:sz w:val="21"/>
        </w:rPr>
        <w:t>BIM modelling in Autodesk Revit: (a) grids and levels; (b) floor and wall modelling over the imported plan; (c) roof; (d) completed three-dimensional model.</w:t>
      </w:r>
    </w:p>
    <w:p>
      <w:pPr>
        <w:spacing w:after="120"/>
        <w:ind w:firstLine="425"/>
        <w:jc w:val="both"/>
      </w:pPr>
      <w:r>
        <w:rPr>
          <w:rFonts w:ascii="Times New Roman" w:hAnsi="Times New Roman" w:eastAsia="Times New Roman"/>
          <w:b w:val="0"/>
          <w:i w:val="0"/>
        </w:rPr>
        <w:t>The STL file was opened in Ultimaker Cura (version 4.0.0 according to the project report), which slices the model into layers and generates printer instructions (Fig. 3b). Because the printer could not produce the whole building in one job, the model was divided into the first-floor slab, the second-floor slab, walls, doors and windows, stairs and roof. The slabs were printed first to serve as the base, followed by the walls, stairs and roof (Fig. 4). Printing used the FDM principle with a 0.4 mm nozzle. The archived slicer screenshot (Fig. 3b) displays a Creality Ender-3 machine profile, generic PLA, the “Draft 0.2 mm” quality profile and 20% infill, and the printer visible in Fig. 4a carries Ender branding. These parameters were read from a low-resolution screenshot and photograph. No other print parameters, such as print speed, part orientation, individual print times or filament mass, were recorded. The printed parts were joined with plastic adhesive onto the base.</w:t>
      </w:r>
    </w:p>
    <w:p>
      <w:pPr>
        <w:keepNext/>
        <w:spacing w:before="120" w:after="40"/>
        <w:jc w:val="center"/>
      </w:pPr>
      <w:r>
        <w:drawing>
          <wp:inline xmlns:a="http://schemas.openxmlformats.org/drawingml/2006/main" xmlns:pic="http://schemas.openxmlformats.org/drawingml/2006/picture">
            <wp:extent cx="5760720" cy="1605801"/>
            <wp:docPr id="3" name="Picture 3"/>
            <wp:cNvGraphicFramePr>
              <a:graphicFrameLocks noChangeAspect="1"/>
            </wp:cNvGraphicFramePr>
            <a:graphic>
              <a:graphicData uri="http://schemas.openxmlformats.org/drawingml/2006/picture">
                <pic:pic>
                  <pic:nvPicPr>
                    <pic:cNvPr id="0" name="fig3_stl_cura.jpg"/>
                    <pic:cNvPicPr/>
                  </pic:nvPicPr>
                  <pic:blipFill>
                    <a:blip r:embed="rId12"/>
                    <a:stretch>
                      <a:fillRect/>
                    </a:stretch>
                  </pic:blipFill>
                  <pic:spPr>
                    <a:xfrm>
                      <a:off x="0" y="0"/>
                      <a:ext cx="5760720" cy="1605801"/>
                    </a:xfrm>
                    <a:prstGeom prst="rect"/>
                  </pic:spPr>
                </pic:pic>
              </a:graphicData>
            </a:graphic>
          </wp:inline>
        </w:drawing>
      </w:r>
    </w:p>
    <w:p>
      <w:pPr>
        <w:spacing w:after="200"/>
        <w:jc w:val="both"/>
      </w:pPr>
      <w:r>
        <w:rPr>
          <w:rFonts w:ascii="Times New Roman" w:hAnsi="Times New Roman" w:eastAsia="Times New Roman"/>
          <w:b/>
          <w:i w:val="0"/>
          <w:sz w:val="21"/>
        </w:rPr>
        <w:t xml:space="preserve">Fig. 3. </w:t>
      </w:r>
      <w:r>
        <w:rPr>
          <w:rFonts w:ascii="Times New Roman" w:hAnsi="Times New Roman" w:eastAsia="Times New Roman"/>
          <w:b w:val="0"/>
          <w:i w:val="0"/>
          <w:sz w:val="21"/>
        </w:rPr>
        <w:t>From BIM model to printer instructions: (a) STL export from Revit; (b) slicing in Ultimaker Cura (parts highlighted in yellow lie within the build plate).</w:t>
      </w:r>
    </w:p>
    <w:p>
      <w:pPr>
        <w:keepNext/>
        <w:spacing w:before="120" w:after="40"/>
        <w:jc w:val="center"/>
      </w:pPr>
      <w:r>
        <w:drawing>
          <wp:inline xmlns:a="http://schemas.openxmlformats.org/drawingml/2006/main" xmlns:pic="http://schemas.openxmlformats.org/drawingml/2006/picture">
            <wp:extent cx="5760720" cy="1284160"/>
            <wp:docPr id="4" name="Picture 4"/>
            <wp:cNvGraphicFramePr>
              <a:graphicFrameLocks noChangeAspect="1"/>
            </wp:cNvGraphicFramePr>
            <a:graphic>
              <a:graphicData uri="http://schemas.openxmlformats.org/drawingml/2006/picture">
                <pic:pic>
                  <pic:nvPicPr>
                    <pic:cNvPr id="0" name="fig4_fdm_printing.jpg"/>
                    <pic:cNvPicPr/>
                  </pic:nvPicPr>
                  <pic:blipFill>
                    <a:blip r:embed="rId13"/>
                    <a:stretch>
                      <a:fillRect/>
                    </a:stretch>
                  </pic:blipFill>
                  <pic:spPr>
                    <a:xfrm>
                      <a:off x="0" y="0"/>
                      <a:ext cx="5760720" cy="1284160"/>
                    </a:xfrm>
                    <a:prstGeom prst="rect"/>
                  </pic:spPr>
                </pic:pic>
              </a:graphicData>
            </a:graphic>
          </wp:inline>
        </w:drawing>
      </w:r>
    </w:p>
    <w:p>
      <w:pPr>
        <w:spacing w:after="200"/>
        <w:jc w:val="both"/>
      </w:pPr>
      <w:r>
        <w:rPr>
          <w:rFonts w:ascii="Times New Roman" w:hAnsi="Times New Roman" w:eastAsia="Times New Roman"/>
          <w:b/>
          <w:i w:val="0"/>
          <w:sz w:val="21"/>
        </w:rPr>
        <w:t xml:space="preserve">Fig. 4. </w:t>
      </w:r>
      <w:r>
        <w:rPr>
          <w:rFonts w:ascii="Times New Roman" w:hAnsi="Times New Roman" w:eastAsia="Times New Roman"/>
          <w:b w:val="0"/>
          <w:i w:val="0"/>
          <w:sz w:val="21"/>
        </w:rPr>
        <w:t>FDM printing and assembly: (a) a printed part on the machine; (b) printed parts laid out before assembly; (c) the assembled 1:60 printed model.</w:t>
      </w:r>
    </w:p>
    <w:p>
      <w:pPr>
        <w:keepNext/>
        <w:spacing w:before="160" w:after="80"/>
      </w:pPr>
      <w:r>
        <w:rPr>
          <w:rFonts w:ascii="Times New Roman" w:hAnsi="Times New Roman" w:eastAsia="Times New Roman"/>
          <w:b/>
          <w:i/>
          <w:sz w:val="24"/>
        </w:rPr>
        <w:t>2.3 Manual route</w:t>
      </w:r>
    </w:p>
    <w:p>
      <w:pPr>
        <w:spacing w:after="120"/>
        <w:ind w:firstLine="425"/>
        <w:jc w:val="both"/>
      </w:pPr>
      <w:r>
        <w:rPr>
          <w:rFonts w:ascii="Times New Roman" w:hAnsi="Times New Roman" w:eastAsia="Times New Roman"/>
          <w:b w:val="0"/>
          <w:i w:val="0"/>
        </w:rPr>
        <w:t>The baseline model was made from the two-dimensional plans scaled to 1:60 and printed on paper as cutting templates. The templates were pasted onto Plaswood sheets (PVC foam board), with clear PVC sheet used for glazed openings, and the parts were cut with a cutter, steel ruler and cutting mat. The team noted that small railings and fences are difficult to cut by hand and might require laser cutting. The first-floor and second-floor plans and the roof were assembled with general-purpose adhesive (Fig. 5). Three persons worked on the manual model.</w:t>
      </w:r>
    </w:p>
    <w:p>
      <w:pPr>
        <w:keepNext/>
        <w:spacing w:before="120" w:after="40"/>
        <w:jc w:val="center"/>
      </w:pPr>
      <w:r>
        <w:drawing>
          <wp:inline xmlns:a="http://schemas.openxmlformats.org/drawingml/2006/main" xmlns:pic="http://schemas.openxmlformats.org/drawingml/2006/picture">
            <wp:extent cx="5760720" cy="1072934"/>
            <wp:docPr id="5" name="Picture 5"/>
            <wp:cNvGraphicFramePr>
              <a:graphicFrameLocks noChangeAspect="1"/>
            </wp:cNvGraphicFramePr>
            <a:graphic>
              <a:graphicData uri="http://schemas.openxmlformats.org/drawingml/2006/picture">
                <pic:pic>
                  <pic:nvPicPr>
                    <pic:cNvPr id="0" name="fig5_manual_model.jpg"/>
                    <pic:cNvPicPr/>
                  </pic:nvPicPr>
                  <pic:blipFill>
                    <a:blip r:embed="rId14"/>
                    <a:stretch>
                      <a:fillRect/>
                    </a:stretch>
                  </pic:blipFill>
                  <pic:spPr>
                    <a:xfrm>
                      <a:off x="0" y="0"/>
                      <a:ext cx="5760720" cy="1072934"/>
                    </a:xfrm>
                    <a:prstGeom prst="rect"/>
                  </pic:spPr>
                </pic:pic>
              </a:graphicData>
            </a:graphic>
          </wp:inline>
        </w:drawing>
      </w:r>
    </w:p>
    <w:p>
      <w:pPr>
        <w:spacing w:after="200"/>
        <w:jc w:val="both"/>
      </w:pPr>
      <w:r>
        <w:rPr>
          <w:rFonts w:ascii="Times New Roman" w:hAnsi="Times New Roman" w:eastAsia="Times New Roman"/>
          <w:b/>
          <w:i w:val="0"/>
          <w:sz w:val="21"/>
        </w:rPr>
        <w:t xml:space="preserve">Fig. 5. </w:t>
      </w:r>
      <w:r>
        <w:rPr>
          <w:rFonts w:ascii="Times New Roman" w:hAnsi="Times New Roman" w:eastAsia="Times New Roman"/>
          <w:b w:val="0"/>
          <w:i w:val="0"/>
          <w:sz w:val="21"/>
        </w:rPr>
        <w:t>Manual fabrication: (a) cutting Plaswood parts from printed templates; (b) partially assembled model; (c) the finished 1:60 manual model.</w:t>
      </w:r>
    </w:p>
    <w:p>
      <w:pPr>
        <w:keepNext/>
        <w:spacing w:before="160" w:after="80"/>
      </w:pPr>
      <w:r>
        <w:rPr>
          <w:rFonts w:ascii="Times New Roman" w:hAnsi="Times New Roman" w:eastAsia="Times New Roman"/>
          <w:b/>
          <w:i/>
          <w:sz w:val="24"/>
        </w:rPr>
        <w:t>2.4 Cost and time accounting</w:t>
      </w:r>
    </w:p>
    <w:p>
      <w:pPr>
        <w:spacing w:after="120"/>
        <w:ind w:firstLine="425"/>
        <w:jc w:val="both"/>
      </w:pPr>
      <w:r>
        <w:rPr>
          <w:rFonts w:ascii="Times New Roman" w:hAnsi="Times New Roman" w:eastAsia="Times New Roman"/>
          <w:b w:val="0"/>
          <w:i w:val="0"/>
        </w:rPr>
        <w:t>Costs were recorded in Thai baht (THB) under three headings (Table 1). For the manual route, materials comprised Plaswood sheets, adhesive, cutter, cutting mat and ruler, and labour was calculated as the number of persons × number of days × daily wage. For the printing route, materials comprised filament and electricity, and a printer service charge was recorded for three days of printer use (the project report states 8,800 THB for the use of the 3D printer for three days). No labour cost was recorded for the printing route, so slicing, supervision, gluing and assembly effort is not represented. Duration was the elapsed number of days to complete each model. The project report states the daily wage as 350 THB in the calculation and 300 THB in the accompanying table text; 350 THB was used for the baseline and 300 THB is tested in Section 3.3. For context, Thai wage regulation distinguishes a statutory daily minimum wage, which in 2026 ranges from 337 to 400 THB depending on the province and is 400 THB in Bangkok (Wages Committee, 2026), from higher wage rates for trades that hold a national skill standard, for example 445, 595 and 685 THB per day for skill levels 1–3 of construction carpentry (Wages Committee, 2023). The recorded wages of 300 and 350 THB are retained for the baseline because they are the project's records; 350 THB lies within the 2026 provincial minimum-wage range but below the Bangkok rate, and 300 THB lies below it. The 2026 values are therefore used as an updated benchmark in Section 3.3 (scenarios S6 and S7). [Authors to confirm: these figures were taken from secondary summaries and must be verified against the primary notifications before submission.]</w:t>
      </w:r>
    </w:p>
    <w:p>
      <w:pPr>
        <w:keepNext/>
        <w:spacing w:before="160" w:after="60"/>
      </w:pPr>
      <w:r>
        <w:rPr>
          <w:rFonts w:ascii="Times New Roman" w:hAnsi="Times New Roman" w:eastAsia="Times New Roman"/>
          <w:b/>
          <w:i w:val="0"/>
          <w:sz w:val="21"/>
        </w:rPr>
        <w:t xml:space="preserve">Table 1. </w:t>
      </w:r>
      <w:r>
        <w:rPr>
          <w:rFonts w:ascii="Times New Roman" w:hAnsi="Times New Roman" w:eastAsia="Times New Roman"/>
          <w:b w:val="0"/>
          <w:i w:val="0"/>
          <w:sz w:val="21"/>
        </w:rPr>
        <w:t>Cost-accounting scheme used in this study.</w:t>
      </w:r>
    </w:p>
    <w:tbl>
      <w:tblPr>
        <w:tblW w:type="auto" w:w="0"/>
        <w:jc w:val="center"/>
        <w:tblLayout w:type="fixed"/>
        <w:tblLook w:firstColumn="1" w:firstRow="1" w:lastColumn="0" w:lastRow="0" w:noHBand="0" w:noVBand="1" w:val="04A0"/>
      </w:tblPr>
      <w:tblGrid>
        <w:gridCol w:w="3009"/>
        <w:gridCol w:w="3009"/>
        <w:gridCol w:w="3009"/>
      </w:tblGrid>
      <w:tr>
        <w:tc>
          <w:tcPr>
            <w:tcW w:type="dxa" w:w="1814"/>
            <w:tcBorders>
              <w:top w:val="single" w:sz="10" w:space="0" w:color="000000"/>
              <w:bottom w:val="single" w:sz="6" w:space="0" w:color="000000"/>
            </w:tcBorders>
          </w:tcPr>
          <w:p>
            <w:pPr>
              <w:keepNext/>
              <w:spacing w:after="20" w:before="20" w:line="240" w:lineRule="auto"/>
              <w:jc w:val="left"/>
            </w:pPr>
            <w:r>
              <w:rPr>
                <w:rFonts w:ascii="Times New Roman" w:hAnsi="Times New Roman" w:eastAsia="Times New Roman"/>
                <w:b/>
                <w:i w:val="0"/>
                <w:sz w:val="20"/>
              </w:rPr>
              <w:t>Item</w:t>
            </w:r>
          </w:p>
        </w:tc>
        <w:tc>
          <w:tcPr>
            <w:tcW w:type="dxa" w:w="3572"/>
            <w:tcBorders>
              <w:top w:val="single" w:sz="10" w:space="0" w:color="000000"/>
              <w:bottom w:val="single" w:sz="6" w:space="0" w:color="000000"/>
            </w:tcBorders>
          </w:tcPr>
          <w:p>
            <w:pPr>
              <w:keepNext/>
              <w:spacing w:after="20" w:before="20" w:line="240" w:lineRule="auto"/>
              <w:jc w:val="center"/>
            </w:pPr>
            <w:r>
              <w:rPr>
                <w:rFonts w:ascii="Times New Roman" w:hAnsi="Times New Roman" w:eastAsia="Times New Roman"/>
                <w:b/>
                <w:i w:val="0"/>
                <w:sz w:val="20"/>
              </w:rPr>
              <w:t>Manual route</w:t>
            </w:r>
          </w:p>
        </w:tc>
        <w:tc>
          <w:tcPr>
            <w:tcW w:type="dxa" w:w="3572"/>
            <w:tcBorders>
              <w:top w:val="single" w:sz="10" w:space="0" w:color="000000"/>
              <w:bottom w:val="single" w:sz="6" w:space="0" w:color="000000"/>
            </w:tcBorders>
          </w:tcPr>
          <w:p>
            <w:pPr>
              <w:keepNext/>
              <w:spacing w:after="20" w:before="20" w:line="240" w:lineRule="auto"/>
              <w:jc w:val="center"/>
            </w:pPr>
            <w:r>
              <w:rPr>
                <w:rFonts w:ascii="Times New Roman" w:hAnsi="Times New Roman" w:eastAsia="Times New Roman"/>
                <w:b/>
                <w:i w:val="0"/>
                <w:sz w:val="20"/>
              </w:rPr>
              <w:t>BIM-to-FDM route</w:t>
            </w:r>
          </w:p>
        </w:tc>
      </w:tr>
      <w:tr>
        <w:tc>
          <w:tcPr>
            <w:tcW w:type="dxa" w:w="1814"/>
          </w:tcPr>
          <w:p>
            <w:pPr>
              <w:keepNext/>
              <w:spacing w:after="20" w:before="20" w:line="240" w:lineRule="auto"/>
              <w:jc w:val="left"/>
            </w:pPr>
            <w:r>
              <w:rPr>
                <w:rFonts w:ascii="Times New Roman" w:hAnsi="Times New Roman" w:eastAsia="Times New Roman"/>
                <w:b w:val="0"/>
                <w:i w:val="0"/>
                <w:sz w:val="20"/>
              </w:rPr>
              <w:t>Materials</w:t>
            </w:r>
          </w:p>
        </w:tc>
        <w:tc>
          <w:tcPr>
            <w:tcW w:type="dxa" w:w="3572"/>
          </w:tcPr>
          <w:p>
            <w:pPr>
              <w:keepNext/>
              <w:spacing w:after="20" w:before="20" w:line="240" w:lineRule="auto"/>
              <w:jc w:val="center"/>
            </w:pPr>
            <w:r>
              <w:rPr>
                <w:rFonts w:ascii="Times New Roman" w:hAnsi="Times New Roman" w:eastAsia="Times New Roman"/>
                <w:b w:val="0"/>
                <w:i w:val="0"/>
                <w:sz w:val="20"/>
              </w:rPr>
              <w:t>Plaswood, adhesive, cutter, mat, ruler</w:t>
            </w:r>
          </w:p>
        </w:tc>
        <w:tc>
          <w:tcPr>
            <w:tcW w:type="dxa" w:w="3572"/>
          </w:tcPr>
          <w:p>
            <w:pPr>
              <w:keepNext/>
              <w:spacing w:after="20" w:before="20" w:line="240" w:lineRule="auto"/>
              <w:jc w:val="center"/>
            </w:pPr>
            <w:r>
              <w:rPr>
                <w:rFonts w:ascii="Times New Roman" w:hAnsi="Times New Roman" w:eastAsia="Times New Roman"/>
                <w:b w:val="0"/>
                <w:i w:val="0"/>
                <w:sz w:val="20"/>
              </w:rPr>
              <w:t>Filament and electricity</w:t>
            </w:r>
          </w:p>
        </w:tc>
      </w:tr>
      <w:tr>
        <w:tc>
          <w:tcPr>
            <w:tcW w:type="dxa" w:w="1814"/>
          </w:tcPr>
          <w:p>
            <w:pPr>
              <w:keepNext/>
              <w:spacing w:after="20" w:before="20" w:line="240" w:lineRule="auto"/>
              <w:jc w:val="left"/>
            </w:pPr>
            <w:r>
              <w:rPr>
                <w:rFonts w:ascii="Times New Roman" w:hAnsi="Times New Roman" w:eastAsia="Times New Roman"/>
                <w:b w:val="0"/>
                <w:i w:val="0"/>
                <w:sz w:val="20"/>
              </w:rPr>
              <w:t>Labour / service</w:t>
            </w:r>
          </w:p>
        </w:tc>
        <w:tc>
          <w:tcPr>
            <w:tcW w:type="dxa" w:w="3572"/>
          </w:tcPr>
          <w:p>
            <w:pPr>
              <w:keepNext/>
              <w:spacing w:after="20" w:before="20" w:line="240" w:lineRule="auto"/>
              <w:jc w:val="center"/>
            </w:pPr>
            <w:r>
              <w:rPr>
                <w:rFonts w:ascii="Times New Roman" w:hAnsi="Times New Roman" w:eastAsia="Times New Roman"/>
                <w:b w:val="0"/>
                <w:i w:val="0"/>
                <w:sz w:val="20"/>
              </w:rPr>
              <w:t>Labour: 3 persons × 6 days × 350 THB/day</w:t>
            </w:r>
          </w:p>
        </w:tc>
        <w:tc>
          <w:tcPr>
            <w:tcW w:type="dxa" w:w="3572"/>
          </w:tcPr>
          <w:p>
            <w:pPr>
              <w:keepNext/>
              <w:spacing w:after="20" w:before="20" w:line="240" w:lineRule="auto"/>
              <w:jc w:val="center"/>
            </w:pPr>
            <w:r>
              <w:rPr>
                <w:rFonts w:ascii="Times New Roman" w:hAnsi="Times New Roman" w:eastAsia="Times New Roman"/>
                <w:b w:val="0"/>
                <w:i w:val="0"/>
                <w:sz w:val="20"/>
              </w:rPr>
              <w:t>Printer service charge for 3 days</w:t>
            </w:r>
          </w:p>
        </w:tc>
      </w:tr>
      <w:tr>
        <w:tc>
          <w:tcPr>
            <w:tcW w:type="dxa" w:w="1814"/>
          </w:tcPr>
          <w:p>
            <w:pPr>
              <w:keepNext/>
              <w:spacing w:after="20" w:before="20" w:line="240" w:lineRule="auto"/>
              <w:jc w:val="left"/>
            </w:pPr>
            <w:r>
              <w:rPr>
                <w:rFonts w:ascii="Times New Roman" w:hAnsi="Times New Roman" w:eastAsia="Times New Roman"/>
                <w:b w:val="0"/>
                <w:i w:val="0"/>
                <w:sz w:val="20"/>
              </w:rPr>
              <w:t>Duration</w:t>
            </w:r>
          </w:p>
        </w:tc>
        <w:tc>
          <w:tcPr>
            <w:tcW w:type="dxa" w:w="3572"/>
          </w:tcPr>
          <w:p>
            <w:pPr>
              <w:keepNext/>
              <w:spacing w:after="20" w:before="20" w:line="240" w:lineRule="auto"/>
              <w:jc w:val="center"/>
            </w:pPr>
            <w:r>
              <w:rPr>
                <w:rFonts w:ascii="Times New Roman" w:hAnsi="Times New Roman" w:eastAsia="Times New Roman"/>
                <w:b w:val="0"/>
                <w:i w:val="0"/>
                <w:sz w:val="20"/>
              </w:rPr>
              <w:t>Elapsed days to finish the model</w:t>
            </w:r>
          </w:p>
        </w:tc>
        <w:tc>
          <w:tcPr>
            <w:tcW w:type="dxa" w:w="3572"/>
          </w:tcPr>
          <w:p>
            <w:pPr>
              <w:keepNext/>
              <w:spacing w:after="20" w:before="20" w:line="240" w:lineRule="auto"/>
              <w:jc w:val="center"/>
            </w:pPr>
            <w:r>
              <w:rPr>
                <w:rFonts w:ascii="Times New Roman" w:hAnsi="Times New Roman" w:eastAsia="Times New Roman"/>
                <w:b w:val="0"/>
                <w:i w:val="0"/>
                <w:sz w:val="20"/>
              </w:rPr>
              <w:t>Elapsed days to finish the model</w:t>
            </w:r>
          </w:p>
        </w:tc>
      </w:tr>
      <w:tr>
        <w:tc>
          <w:tcPr>
            <w:tcW w:type="dxa" w:w="1814"/>
            <w:tcBorders>
              <w:bottom w:val="single" w:sz="10" w:space="0" w:color="000000"/>
            </w:tcBorders>
          </w:tcPr>
          <w:p>
            <w:pPr>
              <w:keepNext w:val="0"/>
              <w:spacing w:after="20" w:before="20" w:line="240" w:lineRule="auto"/>
              <w:jc w:val="left"/>
            </w:pPr>
            <w:r>
              <w:rPr>
                <w:rFonts w:ascii="Times New Roman" w:hAnsi="Times New Roman" w:eastAsia="Times New Roman"/>
                <w:b w:val="0"/>
                <w:i w:val="0"/>
                <w:sz w:val="20"/>
              </w:rPr>
              <w:t>Not included</w:t>
            </w:r>
          </w:p>
        </w:tc>
        <w:tc>
          <w:tcPr>
            <w:tcW w:type="dxa" w:w="3572"/>
            <w:tcBorders>
              <w:bottom w:val="single" w:sz="10" w:space="0" w:color="000000"/>
            </w:tcBorders>
          </w:tcPr>
          <w:p>
            <w:pPr>
              <w:keepNext w:val="0"/>
              <w:spacing w:after="20" w:before="20" w:line="240" w:lineRule="auto"/>
              <w:jc w:val="center"/>
            </w:pPr>
            <w:r>
              <w:rPr>
                <w:rFonts w:ascii="Times New Roman" w:hAnsi="Times New Roman" w:eastAsia="Times New Roman"/>
                <w:b w:val="0"/>
                <w:i w:val="0"/>
                <w:sz w:val="20"/>
              </w:rPr>
              <w:t>Preparation of 2D plans</w:t>
            </w:r>
          </w:p>
        </w:tc>
        <w:tc>
          <w:tcPr>
            <w:tcW w:type="dxa" w:w="3572"/>
            <w:tcBorders>
              <w:bottom w:val="single" w:sz="10" w:space="0" w:color="000000"/>
            </w:tcBorders>
          </w:tcPr>
          <w:p>
            <w:pPr>
              <w:keepNext w:val="0"/>
              <w:spacing w:after="20" w:before="20" w:line="240" w:lineRule="auto"/>
              <w:jc w:val="center"/>
            </w:pPr>
            <w:r>
              <w:rPr>
                <w:rFonts w:ascii="Times New Roman" w:hAnsi="Times New Roman" w:eastAsia="Times New Roman"/>
                <w:b w:val="0"/>
                <w:i w:val="0"/>
                <w:sz w:val="20"/>
              </w:rPr>
              <w:t>Revit modelling (reported 1–2 days); preparation of 2D plans</w:t>
            </w:r>
          </w:p>
        </w:tc>
      </w:tr>
    </w:tbl>
    <w:p>
      <w:pPr>
        <w:spacing w:after="200" w:before="40"/>
      </w:pPr>
      <w:r>
        <w:rPr>
          <w:rFonts w:ascii="Times New Roman" w:hAnsi="Times New Roman" w:eastAsia="Times New Roman"/>
          <w:b w:val="0"/>
          <w:i/>
          <w:sz w:val="19"/>
        </w:rPr>
        <w:t>Note.</w:t>
      </w:r>
      <w:r>
        <w:rPr>
          <w:rFonts w:ascii="Times New Roman" w:hAnsi="Times New Roman" w:eastAsia="Times New Roman"/>
          <w:b w:val="0"/>
          <w:i w:val="0"/>
          <w:sz w:val="19"/>
        </w:rPr>
        <w:t xml:space="preserve"> Finishing items visible in Figs. 4c and 5c (base, lawn, trees, placard) are not itemised in the project records, and it is not stated whether they were included in the materials cost.</w:t>
      </w:r>
    </w:p>
    <w:p>
      <w:pPr>
        <w:keepNext/>
        <w:spacing w:before="160" w:after="80"/>
      </w:pPr>
      <w:r>
        <w:rPr>
          <w:rFonts w:ascii="Times New Roman" w:hAnsi="Times New Roman" w:eastAsia="Times New Roman"/>
          <w:b/>
          <w:i/>
          <w:sz w:val="24"/>
        </w:rPr>
        <w:t>2.5 Sensitivity analysis</w:t>
      </w:r>
    </w:p>
    <w:p>
      <w:pPr>
        <w:spacing w:after="120"/>
        <w:ind w:firstLine="425"/>
        <w:jc w:val="both"/>
      </w:pPr>
      <w:r>
        <w:rPr>
          <w:rFonts w:ascii="Times New Roman" w:hAnsi="Times New Roman" w:eastAsia="Times New Roman"/>
          <w:b w:val="0"/>
          <w:i w:val="0"/>
        </w:rPr>
        <w:t xml:space="preserve">To test how the comparison depends on the recorded inputs, the baseline values were recombined arithmetically. No new measurements were made, and the results in Section 3.3 are therefore derived quantities rather than observations. Let </w:t>
      </w:r>
      <w:r>
        <w:rPr>
          <w:rFonts w:ascii="Times New Roman" w:hAnsi="Times New Roman" w:eastAsia="Times New Roman"/>
          <w:b w:val="0"/>
          <w:i/>
        </w:rPr>
        <w:t>m</w:t>
      </w:r>
      <w:r>
        <w:rPr>
          <w:rFonts w:ascii="Times New Roman" w:hAnsi="Times New Roman" w:eastAsia="Times New Roman"/>
          <w:b w:val="0"/>
          <w:i w:val="0"/>
        </w:rPr>
        <w:t xml:space="preserve"> be the manual materials cost, </w:t>
      </w:r>
      <w:r>
        <w:rPr>
          <w:rFonts w:ascii="Times New Roman" w:hAnsi="Times New Roman" w:eastAsia="Times New Roman"/>
          <w:b w:val="0"/>
          <w:i/>
        </w:rPr>
        <w:t>n</w:t>
      </w:r>
      <w:r>
        <w:rPr>
          <w:rFonts w:ascii="Times New Roman" w:hAnsi="Times New Roman" w:eastAsia="Times New Roman"/>
          <w:b w:val="0"/>
          <w:i w:val="0"/>
        </w:rPr>
        <w:t xml:space="preserve"> the number of persons, </w:t>
      </w:r>
      <w:r>
        <w:rPr>
          <w:rFonts w:ascii="Times New Roman" w:hAnsi="Times New Roman" w:eastAsia="Times New Roman"/>
          <w:b w:val="0"/>
          <w:i/>
        </w:rPr>
        <w:t>d</w:t>
      </w:r>
      <w:r>
        <w:rPr>
          <w:rFonts w:ascii="Times New Roman" w:hAnsi="Times New Roman" w:eastAsia="Times New Roman"/>
          <w:b w:val="0"/>
          <w:i w:val="0"/>
        </w:rPr>
        <w:t xml:space="preserve"> the number of days, </w:t>
      </w:r>
      <w:r>
        <w:rPr>
          <w:rFonts w:ascii="Times New Roman" w:hAnsi="Times New Roman" w:eastAsia="Times New Roman"/>
          <w:b w:val="0"/>
          <w:i/>
        </w:rPr>
        <w:t>w</w:t>
      </w:r>
      <w:r>
        <w:rPr>
          <w:rFonts w:ascii="Times New Roman" w:hAnsi="Times New Roman" w:eastAsia="Times New Roman"/>
          <w:b w:val="0"/>
          <w:i w:val="0"/>
        </w:rPr>
        <w:t xml:space="preserve"> the daily wage, </w:t>
      </w:r>
      <w:r>
        <w:rPr>
          <w:rFonts w:ascii="Times New Roman" w:hAnsi="Times New Roman" w:eastAsia="Times New Roman"/>
          <w:b w:val="0"/>
          <w:i/>
        </w:rPr>
        <w:t>f</w:t>
      </w:r>
      <w:r>
        <w:rPr>
          <w:rFonts w:ascii="Times New Roman" w:hAnsi="Times New Roman" w:eastAsia="Times New Roman"/>
          <w:b w:val="0"/>
          <w:i w:val="0"/>
        </w:rPr>
        <w:t xml:space="preserve"> the filament and electricity cost, and </w:t>
      </w:r>
      <w:r>
        <w:rPr>
          <w:rFonts w:ascii="Times New Roman" w:hAnsi="Times New Roman" w:eastAsia="Times New Roman"/>
          <w:b w:val="0"/>
          <w:i/>
        </w:rPr>
        <w:t>s</w:t>
      </w:r>
      <w:r>
        <w:rPr>
          <w:rFonts w:ascii="Times New Roman" w:hAnsi="Times New Roman" w:eastAsia="Times New Roman"/>
          <w:b w:val="0"/>
          <w:i w:val="0"/>
        </w:rPr>
        <w:t xml:space="preserve"> the printer service charge. The total costs are</w:t>
      </w:r>
    </w:p>
    <w:p>
      <w:pPr>
        <w:spacing w:after="120"/>
        <w:jc w:val="center"/>
      </w:pPr>
      <w:r>
        <w:rPr>
          <w:rFonts w:ascii="Times New Roman" w:hAnsi="Times New Roman" w:eastAsia="Times New Roman"/>
          <w:b w:val="0"/>
          <w:i/>
        </w:rPr>
        <w:t>C</w:t>
      </w:r>
      <w:r>
        <w:rPr>
          <w:rFonts w:ascii="Times New Roman" w:hAnsi="Times New Roman" w:eastAsia="Times New Roman"/>
          <w:b w:val="0"/>
          <w:i w:val="0"/>
          <w:vertAlign w:val="subscript"/>
        </w:rPr>
        <w:t>M</w:t>
      </w:r>
      <w:r>
        <w:rPr>
          <w:rFonts w:ascii="Times New Roman" w:hAnsi="Times New Roman" w:eastAsia="Times New Roman"/>
          <w:b w:val="0"/>
          <w:i w:val="0"/>
        </w:rPr>
        <w:t xml:space="preserve"> = </w:t>
      </w:r>
      <w:r>
        <w:rPr>
          <w:rFonts w:ascii="Times New Roman" w:hAnsi="Times New Roman" w:eastAsia="Times New Roman"/>
          <w:b w:val="0"/>
          <w:i/>
        </w:rPr>
        <w:t>m</w:t>
      </w:r>
      <w:r>
        <w:rPr>
          <w:rFonts w:ascii="Times New Roman" w:hAnsi="Times New Roman" w:eastAsia="Times New Roman"/>
          <w:b w:val="0"/>
          <w:i w:val="0"/>
        </w:rPr>
        <w:t xml:space="preserve"> + </w:t>
      </w:r>
      <w:r>
        <w:rPr>
          <w:rFonts w:ascii="Times New Roman" w:hAnsi="Times New Roman" w:eastAsia="Times New Roman"/>
          <w:b w:val="0"/>
          <w:i/>
        </w:rPr>
        <w:t>n·d·w</w:t>
      </w:r>
      <w:r>
        <w:rPr>
          <w:rFonts w:ascii="Times New Roman" w:hAnsi="Times New Roman" w:eastAsia="Times New Roman"/>
          <w:b w:val="0"/>
          <w:i w:val="0"/>
        </w:rPr>
        <w:t xml:space="preserve">        (1)</w:t>
      </w:r>
    </w:p>
    <w:p>
      <w:pPr>
        <w:spacing w:after="120"/>
        <w:jc w:val="center"/>
      </w:pPr>
      <w:r>
        <w:rPr>
          <w:rFonts w:ascii="Times New Roman" w:hAnsi="Times New Roman" w:eastAsia="Times New Roman"/>
          <w:b w:val="0"/>
          <w:i/>
        </w:rPr>
        <w:t>C</w:t>
      </w:r>
      <w:r>
        <w:rPr>
          <w:rFonts w:ascii="Times New Roman" w:hAnsi="Times New Roman" w:eastAsia="Times New Roman"/>
          <w:b w:val="0"/>
          <w:i w:val="0"/>
          <w:vertAlign w:val="subscript"/>
        </w:rPr>
        <w:t>P</w:t>
      </w:r>
      <w:r>
        <w:rPr>
          <w:rFonts w:ascii="Times New Roman" w:hAnsi="Times New Roman" w:eastAsia="Times New Roman"/>
          <w:b w:val="0"/>
          <w:i w:val="0"/>
        </w:rPr>
        <w:t xml:space="preserve"> = </w:t>
      </w:r>
      <w:r>
        <w:rPr>
          <w:rFonts w:ascii="Times New Roman" w:hAnsi="Times New Roman" w:eastAsia="Times New Roman"/>
          <w:b w:val="0"/>
          <w:i/>
        </w:rPr>
        <w:t>f</w:t>
      </w:r>
      <w:r>
        <w:rPr>
          <w:rFonts w:ascii="Times New Roman" w:hAnsi="Times New Roman" w:eastAsia="Times New Roman"/>
          <w:b w:val="0"/>
          <w:i w:val="0"/>
        </w:rPr>
        <w:t xml:space="preserve"> + </w:t>
      </w:r>
      <w:r>
        <w:rPr>
          <w:rFonts w:ascii="Times New Roman" w:hAnsi="Times New Roman" w:eastAsia="Times New Roman"/>
          <w:b w:val="0"/>
          <w:i/>
        </w:rPr>
        <w:t>s</w:t>
      </w:r>
      <w:r>
        <w:rPr>
          <w:rFonts w:ascii="Times New Roman" w:hAnsi="Times New Roman" w:eastAsia="Times New Roman"/>
          <w:b w:val="0"/>
          <w:i w:val="0"/>
        </w:rPr>
        <w:t xml:space="preserve">        (2)</w:t>
      </w:r>
    </w:p>
    <w:p>
      <w:pPr>
        <w:spacing w:after="120"/>
        <w:jc w:val="both"/>
      </w:pPr>
      <w:r>
        <w:rPr>
          <w:rFonts w:ascii="Times New Roman" w:hAnsi="Times New Roman" w:eastAsia="Times New Roman"/>
          <w:b w:val="0"/>
          <w:i w:val="0"/>
        </w:rPr>
        <w:t>The service charge and the daily wage at which the two routes cost the same are</w:t>
      </w:r>
    </w:p>
    <w:p>
      <w:pPr>
        <w:spacing w:after="120"/>
        <w:jc w:val="center"/>
      </w:pPr>
      <w:r>
        <w:rPr>
          <w:rFonts w:ascii="Times New Roman" w:hAnsi="Times New Roman" w:eastAsia="Times New Roman"/>
          <w:b w:val="0"/>
          <w:i/>
        </w:rPr>
        <w:t>s</w:t>
      </w:r>
      <w:r>
        <w:rPr>
          <w:rFonts w:ascii="Times New Roman" w:hAnsi="Times New Roman" w:eastAsia="Times New Roman"/>
          <w:b w:val="0"/>
          <w:i w:val="0"/>
        </w:rPr>
        <w:t xml:space="preserve">∗ = </w:t>
      </w:r>
      <w:r>
        <w:rPr>
          <w:rFonts w:ascii="Times New Roman" w:hAnsi="Times New Roman" w:eastAsia="Times New Roman"/>
          <w:b w:val="0"/>
          <w:i/>
        </w:rPr>
        <w:t>C</w:t>
      </w:r>
      <w:r>
        <w:rPr>
          <w:rFonts w:ascii="Times New Roman" w:hAnsi="Times New Roman" w:eastAsia="Times New Roman"/>
          <w:b w:val="0"/>
          <w:i w:val="0"/>
          <w:vertAlign w:val="subscript"/>
        </w:rPr>
        <w:t>M</w:t>
      </w:r>
      <w:r>
        <w:rPr>
          <w:rFonts w:ascii="Times New Roman" w:hAnsi="Times New Roman" w:eastAsia="Times New Roman"/>
          <w:b w:val="0"/>
          <w:i w:val="0"/>
        </w:rPr>
        <w:t xml:space="preserve"> − </w:t>
      </w:r>
      <w:r>
        <w:rPr>
          <w:rFonts w:ascii="Times New Roman" w:hAnsi="Times New Roman" w:eastAsia="Times New Roman"/>
          <w:b w:val="0"/>
          <w:i/>
        </w:rPr>
        <w:t>f</w:t>
      </w:r>
      <w:r>
        <w:rPr>
          <w:rFonts w:ascii="Times New Roman" w:hAnsi="Times New Roman" w:eastAsia="Times New Roman"/>
          <w:b w:val="0"/>
          <w:i w:val="0"/>
        </w:rPr>
        <w:t xml:space="preserve">,     </w:t>
      </w:r>
      <w:r>
        <w:rPr>
          <w:rFonts w:ascii="Times New Roman" w:hAnsi="Times New Roman" w:eastAsia="Times New Roman"/>
          <w:b w:val="0"/>
          <w:i/>
        </w:rPr>
        <w:t>w</w:t>
      </w:r>
      <w:r>
        <w:rPr>
          <w:rFonts w:ascii="Times New Roman" w:hAnsi="Times New Roman" w:eastAsia="Times New Roman"/>
          <w:b w:val="0"/>
          <w:i w:val="0"/>
        </w:rPr>
        <w:t>∗ = (</w:t>
      </w:r>
      <w:r>
        <w:rPr>
          <w:rFonts w:ascii="Times New Roman" w:hAnsi="Times New Roman" w:eastAsia="Times New Roman"/>
          <w:b w:val="0"/>
          <w:i/>
        </w:rPr>
        <w:t>C</w:t>
      </w:r>
      <w:r>
        <w:rPr>
          <w:rFonts w:ascii="Times New Roman" w:hAnsi="Times New Roman" w:eastAsia="Times New Roman"/>
          <w:b w:val="0"/>
          <w:i w:val="0"/>
          <w:vertAlign w:val="subscript"/>
        </w:rPr>
        <w:t>P</w:t>
      </w:r>
      <w:r>
        <w:rPr>
          <w:rFonts w:ascii="Times New Roman" w:hAnsi="Times New Roman" w:eastAsia="Times New Roman"/>
          <w:b w:val="0"/>
          <w:i w:val="0"/>
        </w:rPr>
        <w:t xml:space="preserve"> − </w:t>
      </w:r>
      <w:r>
        <w:rPr>
          <w:rFonts w:ascii="Times New Roman" w:hAnsi="Times New Roman" w:eastAsia="Times New Roman"/>
          <w:b w:val="0"/>
          <w:i/>
        </w:rPr>
        <w:t>m</w:t>
      </w:r>
      <w:r>
        <w:rPr>
          <w:rFonts w:ascii="Times New Roman" w:hAnsi="Times New Roman" w:eastAsia="Times New Roman"/>
          <w:b w:val="0"/>
          <w:i w:val="0"/>
        </w:rPr>
        <w:t>) / (</w:t>
      </w:r>
      <w:r>
        <w:rPr>
          <w:rFonts w:ascii="Times New Roman" w:hAnsi="Times New Roman" w:eastAsia="Times New Roman"/>
          <w:b w:val="0"/>
          <w:i/>
        </w:rPr>
        <w:t>n·d</w:t>
      </w:r>
      <w:r>
        <w:rPr>
          <w:rFonts w:ascii="Times New Roman" w:hAnsi="Times New Roman" w:eastAsia="Times New Roman"/>
          <w:b w:val="0"/>
          <w:i w:val="0"/>
        </w:rPr>
        <w:t>)</w:t>
      </w:r>
      <w:r>
        <w:rPr>
          <w:rFonts w:ascii="Times New Roman" w:hAnsi="Times New Roman" w:eastAsia="Times New Roman"/>
          <w:b w:val="0"/>
          <w:i w:val="0"/>
        </w:rPr>
        <w:t xml:space="preserve">        (3)</w:t>
      </w:r>
    </w:p>
    <w:p>
      <w:pPr>
        <w:spacing w:after="120"/>
        <w:jc w:val="both"/>
      </w:pPr>
      <w:r>
        <w:rPr>
          <w:rFonts w:ascii="Times New Roman" w:hAnsi="Times New Roman" w:eastAsia="Times New Roman"/>
          <w:b w:val="0"/>
          <w:i w:val="0"/>
        </w:rPr>
        <w:t xml:space="preserve">If </w:t>
      </w:r>
      <w:r>
        <w:rPr>
          <w:rFonts w:ascii="Times New Roman" w:hAnsi="Times New Roman" w:eastAsia="Times New Roman"/>
          <w:b w:val="0"/>
          <w:i/>
        </w:rPr>
        <w:t>t</w:t>
      </w:r>
      <w:r>
        <w:rPr>
          <w:rFonts w:ascii="Times New Roman" w:hAnsi="Times New Roman" w:eastAsia="Times New Roman"/>
          <w:b w:val="0"/>
          <w:i w:val="0"/>
          <w:vertAlign w:val="subscript"/>
        </w:rPr>
        <w:t>b</w:t>
      </w:r>
      <w:r>
        <w:rPr>
          <w:rFonts w:ascii="Times New Roman" w:hAnsi="Times New Roman" w:eastAsia="Times New Roman"/>
          <w:b w:val="0"/>
          <w:i w:val="0"/>
        </w:rPr>
        <w:t xml:space="preserve"> days of BIM modelling are added to the printing route, the relative reduction in total duration becomes</w:t>
      </w:r>
    </w:p>
    <w:p>
      <w:pPr>
        <w:spacing w:after="120"/>
        <w:jc w:val="center"/>
      </w:pPr>
      <w:r>
        <w:rPr>
          <w:rFonts w:ascii="Times New Roman" w:hAnsi="Times New Roman" w:eastAsia="Times New Roman"/>
          <w:b w:val="0"/>
          <w:i/>
        </w:rPr>
        <w:t>R</w:t>
      </w:r>
      <w:r>
        <w:rPr>
          <w:rFonts w:ascii="Times New Roman" w:hAnsi="Times New Roman" w:eastAsia="Times New Roman"/>
          <w:b w:val="0"/>
          <w:i w:val="0"/>
        </w:rPr>
        <w:t xml:space="preserve"> = (</w:t>
      </w:r>
      <w:r>
        <w:rPr>
          <w:rFonts w:ascii="Times New Roman" w:hAnsi="Times New Roman" w:eastAsia="Times New Roman"/>
          <w:b w:val="0"/>
          <w:i/>
        </w:rPr>
        <w:t>T</w:t>
      </w:r>
      <w:r>
        <w:rPr>
          <w:rFonts w:ascii="Times New Roman" w:hAnsi="Times New Roman" w:eastAsia="Times New Roman"/>
          <w:b w:val="0"/>
          <w:i w:val="0"/>
          <w:vertAlign w:val="subscript"/>
        </w:rPr>
        <w:t>M</w:t>
      </w:r>
      <w:r>
        <w:rPr>
          <w:rFonts w:ascii="Times New Roman" w:hAnsi="Times New Roman" w:eastAsia="Times New Roman"/>
          <w:b w:val="0"/>
          <w:i w:val="0"/>
        </w:rPr>
        <w:t xml:space="preserve"> − </w:t>
      </w:r>
      <w:r>
        <w:rPr>
          <w:rFonts w:ascii="Times New Roman" w:hAnsi="Times New Roman" w:eastAsia="Times New Roman"/>
          <w:b w:val="0"/>
          <w:i/>
        </w:rPr>
        <w:t>T</w:t>
      </w:r>
      <w:r>
        <w:rPr>
          <w:rFonts w:ascii="Times New Roman" w:hAnsi="Times New Roman" w:eastAsia="Times New Roman"/>
          <w:b w:val="0"/>
          <w:i w:val="0"/>
          <w:vertAlign w:val="subscript"/>
        </w:rPr>
        <w:t>P</w:t>
      </w:r>
      <w:r>
        <w:rPr>
          <w:rFonts w:ascii="Times New Roman" w:hAnsi="Times New Roman" w:eastAsia="Times New Roman"/>
          <w:b w:val="0"/>
          <w:i w:val="0"/>
        </w:rPr>
        <w:t xml:space="preserve"> − </w:t>
      </w:r>
      <w:r>
        <w:rPr>
          <w:rFonts w:ascii="Times New Roman" w:hAnsi="Times New Roman" w:eastAsia="Times New Roman"/>
          <w:b w:val="0"/>
          <w:i/>
        </w:rPr>
        <w:t>t</w:t>
      </w:r>
      <w:r>
        <w:rPr>
          <w:rFonts w:ascii="Times New Roman" w:hAnsi="Times New Roman" w:eastAsia="Times New Roman"/>
          <w:b w:val="0"/>
          <w:i w:val="0"/>
          <w:vertAlign w:val="subscript"/>
        </w:rPr>
        <w:t>b</w:t>
      </w:r>
      <w:r>
        <w:rPr>
          <w:rFonts w:ascii="Times New Roman" w:hAnsi="Times New Roman" w:eastAsia="Times New Roman"/>
          <w:b w:val="0"/>
          <w:i w:val="0"/>
        </w:rPr>
        <w:t xml:space="preserve">) / </w:t>
      </w:r>
      <w:r>
        <w:rPr>
          <w:rFonts w:ascii="Times New Roman" w:hAnsi="Times New Roman" w:eastAsia="Times New Roman"/>
          <w:b w:val="0"/>
          <w:i/>
        </w:rPr>
        <w:t>T</w:t>
      </w:r>
      <w:r>
        <w:rPr>
          <w:rFonts w:ascii="Times New Roman" w:hAnsi="Times New Roman" w:eastAsia="Times New Roman"/>
          <w:b w:val="0"/>
          <w:i w:val="0"/>
          <w:vertAlign w:val="subscript"/>
        </w:rPr>
        <w:t>M</w:t>
      </w:r>
      <w:r>
        <w:rPr>
          <w:rFonts w:ascii="Times New Roman" w:hAnsi="Times New Roman" w:eastAsia="Times New Roman"/>
          <w:b w:val="0"/>
          <w:i w:val="0"/>
        </w:rPr>
        <w:t xml:space="preserve">        (4)</w:t>
      </w:r>
    </w:p>
    <w:p>
      <w:pPr>
        <w:spacing w:after="120"/>
        <w:ind w:firstLine="425"/>
        <w:jc w:val="both"/>
      </w:pPr>
      <w:r>
        <w:rPr>
          <w:rFonts w:ascii="Times New Roman" w:hAnsi="Times New Roman" w:eastAsia="Times New Roman"/>
          <w:b w:val="0"/>
          <w:i w:val="0"/>
        </w:rPr>
        <w:t xml:space="preserve">where </w:t>
      </w:r>
      <w:r>
        <w:rPr>
          <w:rFonts w:ascii="Times New Roman" w:hAnsi="Times New Roman" w:eastAsia="Times New Roman"/>
          <w:b w:val="0"/>
          <w:i/>
        </w:rPr>
        <w:t>T</w:t>
      </w:r>
      <w:r>
        <w:rPr>
          <w:rFonts w:ascii="Times New Roman" w:hAnsi="Times New Roman" w:eastAsia="Times New Roman"/>
          <w:b w:val="0"/>
          <w:i w:val="0"/>
          <w:vertAlign w:val="subscript"/>
        </w:rPr>
        <w:t>M</w:t>
      </w:r>
      <w:r>
        <w:rPr>
          <w:rFonts w:ascii="Times New Roman" w:hAnsi="Times New Roman" w:eastAsia="Times New Roman"/>
          <w:b w:val="0"/>
          <w:i w:val="0"/>
        </w:rPr>
        <w:t xml:space="preserve"> and </w:t>
      </w:r>
      <w:r>
        <w:rPr>
          <w:rFonts w:ascii="Times New Roman" w:hAnsi="Times New Roman" w:eastAsia="Times New Roman"/>
          <w:b w:val="0"/>
          <w:i/>
        </w:rPr>
        <w:t>T</w:t>
      </w:r>
      <w:r>
        <w:rPr>
          <w:rFonts w:ascii="Times New Roman" w:hAnsi="Times New Roman" w:eastAsia="Times New Roman"/>
          <w:b w:val="0"/>
          <w:i w:val="0"/>
          <w:vertAlign w:val="subscript"/>
        </w:rPr>
        <w:t>P</w:t>
      </w:r>
      <w:r>
        <w:rPr>
          <w:rFonts w:ascii="Times New Roman" w:hAnsi="Times New Roman" w:eastAsia="Times New Roman"/>
          <w:b w:val="0"/>
          <w:i w:val="0"/>
        </w:rPr>
        <w:t xml:space="preserve"> are the recorded durations. The additional cost of printing per day saved is (</w:t>
      </w:r>
      <w:r>
        <w:rPr>
          <w:rFonts w:ascii="Times New Roman" w:hAnsi="Times New Roman" w:eastAsia="Times New Roman"/>
          <w:b w:val="0"/>
          <w:i/>
        </w:rPr>
        <w:t>C</w:t>
      </w:r>
      <w:r>
        <w:rPr>
          <w:rFonts w:ascii="Times New Roman" w:hAnsi="Times New Roman" w:eastAsia="Times New Roman"/>
          <w:b w:val="0"/>
          <w:i w:val="0"/>
          <w:vertAlign w:val="subscript"/>
        </w:rPr>
        <w:t>P</w:t>
      </w:r>
      <w:r>
        <w:rPr>
          <w:rFonts w:ascii="Times New Roman" w:hAnsi="Times New Roman" w:eastAsia="Times New Roman"/>
          <w:b w:val="0"/>
          <w:i w:val="0"/>
        </w:rPr>
        <w:t xml:space="preserve"> − </w:t>
      </w:r>
      <w:r>
        <w:rPr>
          <w:rFonts w:ascii="Times New Roman" w:hAnsi="Times New Roman" w:eastAsia="Times New Roman"/>
          <w:b w:val="0"/>
          <w:i/>
        </w:rPr>
        <w:t>C</w:t>
      </w:r>
      <w:r>
        <w:rPr>
          <w:rFonts w:ascii="Times New Roman" w:hAnsi="Times New Roman" w:eastAsia="Times New Roman"/>
          <w:b w:val="0"/>
          <w:i w:val="0"/>
          <w:vertAlign w:val="subscript"/>
        </w:rPr>
        <w:t>M</w:t>
      </w:r>
      <w:r>
        <w:rPr>
          <w:rFonts w:ascii="Times New Roman" w:hAnsi="Times New Roman" w:eastAsia="Times New Roman"/>
          <w:b w:val="0"/>
          <w:i w:val="0"/>
        </w:rPr>
        <w:t>) / (</w:t>
      </w:r>
      <w:r>
        <w:rPr>
          <w:rFonts w:ascii="Times New Roman" w:hAnsi="Times New Roman" w:eastAsia="Times New Roman"/>
          <w:b w:val="0"/>
          <w:i/>
        </w:rPr>
        <w:t>T</w:t>
      </w:r>
      <w:r>
        <w:rPr>
          <w:rFonts w:ascii="Times New Roman" w:hAnsi="Times New Roman" w:eastAsia="Times New Roman"/>
          <w:b w:val="0"/>
          <w:i w:val="0"/>
          <w:vertAlign w:val="subscript"/>
        </w:rPr>
        <w:t>M</w:t>
      </w:r>
      <w:r>
        <w:rPr>
          <w:rFonts w:ascii="Times New Roman" w:hAnsi="Times New Roman" w:eastAsia="Times New Roman"/>
          <w:b w:val="0"/>
          <w:i w:val="0"/>
        </w:rPr>
        <w:t xml:space="preserve"> − </w:t>
      </w:r>
      <w:r>
        <w:rPr>
          <w:rFonts w:ascii="Times New Roman" w:hAnsi="Times New Roman" w:eastAsia="Times New Roman"/>
          <w:b w:val="0"/>
          <w:i/>
        </w:rPr>
        <w:t>T</w:t>
      </w:r>
      <w:r>
        <w:rPr>
          <w:rFonts w:ascii="Times New Roman" w:hAnsi="Times New Roman" w:eastAsia="Times New Roman"/>
          <w:b w:val="0"/>
          <w:i w:val="0"/>
          <w:vertAlign w:val="subscript"/>
        </w:rPr>
        <w:t>P</w:t>
      </w:r>
      <w:r>
        <w:rPr>
          <w:rFonts w:ascii="Times New Roman" w:hAnsi="Times New Roman" w:eastAsia="Times New Roman"/>
          <w:b w:val="0"/>
          <w:i w:val="0"/>
        </w:rPr>
        <w:t>). For scenarios that include BIM modelling labour, one operator at the baseline wage was assumed; this is an illustrative assumption, not a recorded value.</w:t>
      </w:r>
    </w:p>
    <w:p>
      <w:pPr>
        <w:keepNext/>
        <w:spacing w:before="240" w:after="80"/>
      </w:pPr>
      <w:r>
        <w:rPr>
          <w:rFonts w:ascii="Times New Roman" w:hAnsi="Times New Roman" w:eastAsia="Times New Roman"/>
          <w:b/>
          <w:i w:val="0"/>
          <w:sz w:val="25"/>
        </w:rPr>
        <w:t>3. Results and Discussion</w:t>
      </w:r>
    </w:p>
    <w:p>
      <w:pPr>
        <w:keepNext/>
        <w:spacing w:before="160" w:after="80"/>
      </w:pPr>
      <w:r>
        <w:rPr>
          <w:rFonts w:ascii="Times New Roman" w:hAnsi="Times New Roman" w:eastAsia="Times New Roman"/>
          <w:b/>
          <w:i/>
          <w:sz w:val="24"/>
        </w:rPr>
        <w:t>3.1 Workflow outcomes</w:t>
      </w:r>
    </w:p>
    <w:p>
      <w:pPr>
        <w:spacing w:after="120"/>
        <w:ind w:firstLine="425"/>
        <w:jc w:val="both"/>
      </w:pPr>
      <w:r>
        <w:rPr>
          <w:rFonts w:ascii="Times New Roman" w:hAnsi="Times New Roman" w:eastAsia="Times New Roman"/>
          <w:b w:val="0"/>
          <w:i w:val="0"/>
        </w:rPr>
        <w:t>Both routes produced a complete model at 1:60 (Figs. 4c and 5c). The project team judged by visual inspection that the two models had a similar overall form and no apparent distortion; no dimensional measurement was taken, so this observation is qualitative. The main differences reported are summarised in Table 2. The printer could not print small details such as door and window frames, which were therefore not reproduced in the printed model, whereas the manual route allowed finer control of detail but required considerable care. The team also reported that some printed areas were less strong than desired, although the printed material was described as generally sturdy; strength was not tested.</w:t>
      </w:r>
    </w:p>
    <w:p>
      <w:pPr>
        <w:keepNext/>
        <w:spacing w:before="160" w:after="60"/>
      </w:pPr>
      <w:r>
        <w:rPr>
          <w:rFonts w:ascii="Times New Roman" w:hAnsi="Times New Roman" w:eastAsia="Times New Roman"/>
          <w:b/>
          <w:i w:val="0"/>
          <w:sz w:val="21"/>
        </w:rPr>
        <w:t xml:space="preserve">Table 2. </w:t>
      </w:r>
      <w:r>
        <w:rPr>
          <w:rFonts w:ascii="Times New Roman" w:hAnsi="Times New Roman" w:eastAsia="Times New Roman"/>
          <w:b w:val="0"/>
          <w:i w:val="0"/>
          <w:sz w:val="21"/>
        </w:rPr>
        <w:t>Qualitative observations reported by the project team.</w:t>
      </w:r>
    </w:p>
    <w:tbl>
      <w:tblPr>
        <w:tblW w:type="auto" w:w="0"/>
        <w:jc w:val="center"/>
        <w:tblLayout w:type="fixed"/>
        <w:tblLook w:firstColumn="1" w:firstRow="1" w:lastColumn="0" w:lastRow="0" w:noHBand="0" w:noVBand="1" w:val="04A0"/>
      </w:tblPr>
      <w:tblGrid>
        <w:gridCol w:w="3009"/>
        <w:gridCol w:w="3009"/>
        <w:gridCol w:w="3009"/>
      </w:tblGrid>
      <w:tr>
        <w:tc>
          <w:tcPr>
            <w:tcW w:type="dxa" w:w="1701"/>
            <w:tcBorders>
              <w:top w:val="single" w:sz="10" w:space="0" w:color="000000"/>
              <w:bottom w:val="single" w:sz="6" w:space="0" w:color="000000"/>
            </w:tcBorders>
          </w:tcPr>
          <w:p>
            <w:pPr>
              <w:keepNext/>
              <w:spacing w:after="20" w:before="20" w:line="240" w:lineRule="auto"/>
              <w:jc w:val="left"/>
            </w:pPr>
            <w:r>
              <w:rPr>
                <w:rFonts w:ascii="Times New Roman" w:hAnsi="Times New Roman" w:eastAsia="Times New Roman"/>
                <w:b/>
                <w:i w:val="0"/>
                <w:sz w:val="20"/>
              </w:rPr>
              <w:t>Aspect</w:t>
            </w:r>
          </w:p>
        </w:tc>
        <w:tc>
          <w:tcPr>
            <w:tcW w:type="dxa" w:w="3628"/>
            <w:tcBorders>
              <w:top w:val="single" w:sz="10" w:space="0" w:color="000000"/>
              <w:bottom w:val="single" w:sz="6" w:space="0" w:color="000000"/>
            </w:tcBorders>
          </w:tcPr>
          <w:p>
            <w:pPr>
              <w:keepNext/>
              <w:spacing w:after="20" w:before="20" w:line="240" w:lineRule="auto"/>
              <w:jc w:val="center"/>
            </w:pPr>
            <w:r>
              <w:rPr>
                <w:rFonts w:ascii="Times New Roman" w:hAnsi="Times New Roman" w:eastAsia="Times New Roman"/>
                <w:b/>
                <w:i w:val="0"/>
                <w:sz w:val="20"/>
              </w:rPr>
              <w:t>Manual route</w:t>
            </w:r>
          </w:p>
        </w:tc>
        <w:tc>
          <w:tcPr>
            <w:tcW w:type="dxa" w:w="3628"/>
            <w:tcBorders>
              <w:top w:val="single" w:sz="10" w:space="0" w:color="000000"/>
              <w:bottom w:val="single" w:sz="6" w:space="0" w:color="000000"/>
            </w:tcBorders>
          </w:tcPr>
          <w:p>
            <w:pPr>
              <w:keepNext/>
              <w:spacing w:after="20" w:before="20" w:line="240" w:lineRule="auto"/>
              <w:jc w:val="center"/>
            </w:pPr>
            <w:r>
              <w:rPr>
                <w:rFonts w:ascii="Times New Roman" w:hAnsi="Times New Roman" w:eastAsia="Times New Roman"/>
                <w:b/>
                <w:i w:val="0"/>
                <w:sz w:val="20"/>
              </w:rPr>
              <w:t>BIM-to-FDM route</w:t>
            </w:r>
          </w:p>
        </w:tc>
      </w:tr>
      <w:tr>
        <w:tc>
          <w:tcPr>
            <w:tcW w:type="dxa" w:w="1701"/>
          </w:tcPr>
          <w:p>
            <w:pPr>
              <w:keepNext/>
              <w:spacing w:after="20" w:before="20" w:line="240" w:lineRule="auto"/>
              <w:jc w:val="left"/>
            </w:pPr>
            <w:r>
              <w:rPr>
                <w:rFonts w:ascii="Times New Roman" w:hAnsi="Times New Roman" w:eastAsia="Times New Roman"/>
                <w:b w:val="0"/>
                <w:i w:val="0"/>
                <w:sz w:val="20"/>
              </w:rPr>
              <w:t>Overall form</w:t>
            </w:r>
          </w:p>
        </w:tc>
        <w:tc>
          <w:tcPr>
            <w:tcW w:type="dxa" w:w="3628"/>
          </w:tcPr>
          <w:p>
            <w:pPr>
              <w:keepNext/>
              <w:spacing w:after="20" w:before="20" w:line="240" w:lineRule="auto"/>
              <w:jc w:val="center"/>
            </w:pPr>
            <w:r>
              <w:rPr>
                <w:rFonts w:ascii="Times New Roman" w:hAnsi="Times New Roman" w:eastAsia="Times New Roman"/>
                <w:b w:val="0"/>
                <w:i w:val="0"/>
                <w:sz w:val="20"/>
              </w:rPr>
              <w:t>Complete 1:60 model; no apparent distortion on visual inspection</w:t>
            </w:r>
          </w:p>
        </w:tc>
        <w:tc>
          <w:tcPr>
            <w:tcW w:type="dxa" w:w="3628"/>
          </w:tcPr>
          <w:p>
            <w:pPr>
              <w:keepNext/>
              <w:spacing w:after="20" w:before="20" w:line="240" w:lineRule="auto"/>
              <w:jc w:val="center"/>
            </w:pPr>
            <w:r>
              <w:rPr>
                <w:rFonts w:ascii="Times New Roman" w:hAnsi="Times New Roman" w:eastAsia="Times New Roman"/>
                <w:b w:val="0"/>
                <w:i w:val="0"/>
                <w:sz w:val="20"/>
              </w:rPr>
              <w:t>Complete 1:60 model; no apparent distortion on visual inspection</w:t>
            </w:r>
          </w:p>
        </w:tc>
      </w:tr>
      <w:tr>
        <w:tc>
          <w:tcPr>
            <w:tcW w:type="dxa" w:w="1701"/>
          </w:tcPr>
          <w:p>
            <w:pPr>
              <w:keepNext/>
              <w:spacing w:after="20" w:before="20" w:line="240" w:lineRule="auto"/>
              <w:jc w:val="left"/>
            </w:pPr>
            <w:r>
              <w:rPr>
                <w:rFonts w:ascii="Times New Roman" w:hAnsi="Times New Roman" w:eastAsia="Times New Roman"/>
                <w:b w:val="0"/>
                <w:i w:val="0"/>
                <w:sz w:val="20"/>
              </w:rPr>
              <w:t>Small details</w:t>
            </w:r>
          </w:p>
        </w:tc>
        <w:tc>
          <w:tcPr>
            <w:tcW w:type="dxa" w:w="3628"/>
          </w:tcPr>
          <w:p>
            <w:pPr>
              <w:keepNext/>
              <w:spacing w:after="20" w:before="20" w:line="240" w:lineRule="auto"/>
              <w:jc w:val="center"/>
            </w:pPr>
            <w:r>
              <w:rPr>
                <w:rFonts w:ascii="Times New Roman" w:hAnsi="Times New Roman" w:eastAsia="Times New Roman"/>
                <w:b w:val="0"/>
                <w:i w:val="0"/>
                <w:sz w:val="20"/>
              </w:rPr>
              <w:t>Finer control of detail; requires care</w:t>
            </w:r>
          </w:p>
        </w:tc>
        <w:tc>
          <w:tcPr>
            <w:tcW w:type="dxa" w:w="3628"/>
          </w:tcPr>
          <w:p>
            <w:pPr>
              <w:keepNext/>
              <w:spacing w:after="20" w:before="20" w:line="240" w:lineRule="auto"/>
              <w:jc w:val="center"/>
            </w:pPr>
            <w:r>
              <w:rPr>
                <w:rFonts w:ascii="Times New Roman" w:hAnsi="Times New Roman" w:eastAsia="Times New Roman"/>
                <w:b w:val="0"/>
                <w:i w:val="0"/>
                <w:sz w:val="20"/>
              </w:rPr>
              <w:t>Door and window frames not printed with the printer used</w:t>
            </w:r>
          </w:p>
        </w:tc>
      </w:tr>
      <w:tr>
        <w:tc>
          <w:tcPr>
            <w:tcW w:type="dxa" w:w="1701"/>
          </w:tcPr>
          <w:p>
            <w:pPr>
              <w:keepNext/>
              <w:spacing w:after="20" w:before="20" w:line="240" w:lineRule="auto"/>
              <w:jc w:val="left"/>
            </w:pPr>
            <w:r>
              <w:rPr>
                <w:rFonts w:ascii="Times New Roman" w:hAnsi="Times New Roman" w:eastAsia="Times New Roman"/>
                <w:b w:val="0"/>
                <w:i w:val="0"/>
                <w:sz w:val="20"/>
              </w:rPr>
              <w:t>Structural robustness</w:t>
            </w:r>
          </w:p>
        </w:tc>
        <w:tc>
          <w:tcPr>
            <w:tcW w:type="dxa" w:w="3628"/>
          </w:tcPr>
          <w:p>
            <w:pPr>
              <w:keepNext/>
              <w:spacing w:after="20" w:before="20" w:line="240" w:lineRule="auto"/>
              <w:jc w:val="center"/>
            </w:pPr>
            <w:r>
              <w:rPr>
                <w:rFonts w:ascii="Times New Roman" w:hAnsi="Times New Roman" w:eastAsia="Times New Roman"/>
                <w:b w:val="0"/>
                <w:i w:val="0"/>
                <w:sz w:val="20"/>
              </w:rPr>
              <w:t>Not reported</w:t>
            </w:r>
          </w:p>
        </w:tc>
        <w:tc>
          <w:tcPr>
            <w:tcW w:type="dxa" w:w="3628"/>
          </w:tcPr>
          <w:p>
            <w:pPr>
              <w:keepNext/>
              <w:spacing w:after="20" w:before="20" w:line="240" w:lineRule="auto"/>
              <w:jc w:val="center"/>
            </w:pPr>
            <w:r>
              <w:rPr>
                <w:rFonts w:ascii="Times New Roman" w:hAnsi="Times New Roman" w:eastAsia="Times New Roman"/>
                <w:b w:val="0"/>
                <w:i w:val="0"/>
                <w:sz w:val="20"/>
              </w:rPr>
              <w:t>Generally sturdy; some printed areas weaker than desired (not tested)</w:t>
            </w:r>
          </w:p>
        </w:tc>
      </w:tr>
      <w:tr>
        <w:tc>
          <w:tcPr>
            <w:tcW w:type="dxa" w:w="1701"/>
          </w:tcPr>
          <w:p>
            <w:pPr>
              <w:keepNext/>
              <w:spacing w:after="20" w:before="20" w:line="240" w:lineRule="auto"/>
              <w:jc w:val="left"/>
            </w:pPr>
            <w:r>
              <w:rPr>
                <w:rFonts w:ascii="Times New Roman" w:hAnsi="Times New Roman" w:eastAsia="Times New Roman"/>
                <w:b w:val="0"/>
                <w:i w:val="0"/>
                <w:sz w:val="20"/>
              </w:rPr>
              <w:t>Build constraints</w:t>
            </w:r>
          </w:p>
        </w:tc>
        <w:tc>
          <w:tcPr>
            <w:tcW w:type="dxa" w:w="3628"/>
          </w:tcPr>
          <w:p>
            <w:pPr>
              <w:keepNext/>
              <w:spacing w:after="20" w:before="20" w:line="240" w:lineRule="auto"/>
              <w:jc w:val="center"/>
            </w:pPr>
            <w:r>
              <w:rPr>
                <w:rFonts w:ascii="Times New Roman" w:hAnsi="Times New Roman" w:eastAsia="Times New Roman"/>
                <w:b w:val="0"/>
                <w:i w:val="0"/>
                <w:sz w:val="20"/>
              </w:rPr>
              <w:t>None reported</w:t>
            </w:r>
          </w:p>
        </w:tc>
        <w:tc>
          <w:tcPr>
            <w:tcW w:type="dxa" w:w="3628"/>
          </w:tcPr>
          <w:p>
            <w:pPr>
              <w:keepNext/>
              <w:spacing w:after="20" w:before="20" w:line="240" w:lineRule="auto"/>
              <w:jc w:val="center"/>
            </w:pPr>
            <w:r>
              <w:rPr>
                <w:rFonts w:ascii="Times New Roman" w:hAnsi="Times New Roman" w:eastAsia="Times New Roman"/>
                <w:b w:val="0"/>
                <w:i w:val="0"/>
                <w:sz w:val="20"/>
              </w:rPr>
              <w:t>Whole building not printable in one job; printed in parts and glued</w:t>
            </w:r>
          </w:p>
        </w:tc>
      </w:tr>
      <w:tr>
        <w:tc>
          <w:tcPr>
            <w:tcW w:type="dxa" w:w="1701"/>
            <w:tcBorders>
              <w:bottom w:val="single" w:sz="10" w:space="0" w:color="000000"/>
            </w:tcBorders>
          </w:tcPr>
          <w:p>
            <w:pPr>
              <w:keepNext w:val="0"/>
              <w:spacing w:after="20" w:before="20" w:line="240" w:lineRule="auto"/>
              <w:jc w:val="left"/>
            </w:pPr>
            <w:r>
              <w:rPr>
                <w:rFonts w:ascii="Times New Roman" w:hAnsi="Times New Roman" w:eastAsia="Times New Roman"/>
                <w:b w:val="0"/>
                <w:i w:val="0"/>
                <w:sz w:val="20"/>
              </w:rPr>
              <w:t>Team aspects</w:t>
            </w:r>
          </w:p>
        </w:tc>
        <w:tc>
          <w:tcPr>
            <w:tcW w:type="dxa" w:w="3628"/>
            <w:tcBorders>
              <w:bottom w:val="single" w:sz="10" w:space="0" w:color="000000"/>
            </w:tcBorders>
          </w:tcPr>
          <w:p>
            <w:pPr>
              <w:keepNext w:val="0"/>
              <w:spacing w:after="20" w:before="20" w:line="240" w:lineRule="auto"/>
              <w:jc w:val="center"/>
            </w:pPr>
            <w:r>
              <w:rPr>
                <w:rFonts w:ascii="Times New Roman" w:hAnsi="Times New Roman" w:eastAsia="Times New Roman"/>
                <w:b w:val="0"/>
                <w:i w:val="0"/>
                <w:sz w:val="20"/>
              </w:rPr>
              <w:t>Modification during assembly is easier; supports teamwork and learning</w:t>
            </w:r>
          </w:p>
        </w:tc>
        <w:tc>
          <w:tcPr>
            <w:tcW w:type="dxa" w:w="3628"/>
            <w:tcBorders>
              <w:bottom w:val="single" w:sz="10" w:space="0" w:color="000000"/>
            </w:tcBorders>
          </w:tcPr>
          <w:p>
            <w:pPr>
              <w:keepNext w:val="0"/>
              <w:spacing w:after="20" w:before="20" w:line="240" w:lineRule="auto"/>
              <w:jc w:val="center"/>
            </w:pPr>
            <w:r>
              <w:rPr>
                <w:rFonts w:ascii="Times New Roman" w:hAnsi="Times New Roman" w:eastAsia="Times New Roman"/>
                <w:b w:val="0"/>
                <w:i w:val="0"/>
                <w:sz w:val="20"/>
              </w:rPr>
              <w:t>Shorter fabrication time (3 days versus 6 days)</w:t>
            </w:r>
          </w:p>
        </w:tc>
      </w:tr>
    </w:tbl>
    <w:p>
      <w:pPr>
        <w:spacing w:after="200" w:before="40"/>
      </w:pPr>
      <w:r>
        <w:rPr>
          <w:rFonts w:ascii="Times New Roman" w:hAnsi="Times New Roman" w:eastAsia="Times New Roman"/>
          <w:b w:val="0"/>
          <w:i/>
          <w:sz w:val="19"/>
        </w:rPr>
        <w:t>Note.</w:t>
      </w:r>
      <w:r>
        <w:rPr>
          <w:rFonts w:ascii="Times New Roman" w:hAnsi="Times New Roman" w:eastAsia="Times New Roman"/>
          <w:b w:val="0"/>
          <w:i w:val="0"/>
          <w:sz w:val="19"/>
        </w:rPr>
        <w:t xml:space="preserve"> All entries are the project team's observations; none was quantified.</w:t>
      </w:r>
    </w:p>
    <w:p>
      <w:pPr>
        <w:keepNext/>
        <w:spacing w:before="160" w:after="80"/>
      </w:pPr>
      <w:r>
        <w:rPr>
          <w:rFonts w:ascii="Times New Roman" w:hAnsi="Times New Roman" w:eastAsia="Times New Roman"/>
          <w:b/>
          <w:i/>
          <w:sz w:val="24"/>
        </w:rPr>
        <w:t>3.2 Cost and duration</w:t>
      </w:r>
    </w:p>
    <w:p>
      <w:pPr>
        <w:spacing w:after="120"/>
        <w:ind w:firstLine="425"/>
        <w:jc w:val="both"/>
      </w:pPr>
      <w:r>
        <w:rPr>
          <w:rFonts w:ascii="Times New Roman" w:hAnsi="Times New Roman" w:eastAsia="Times New Roman"/>
          <w:b w:val="0"/>
          <w:i w:val="0"/>
        </w:rPr>
        <w:t>Table 3 and Fig. 6 give the recorded costs and durations. The manual model cost 7,220 THB (920 THB materials and 6,300 THB labour) and took 6 days. The printed model cost 10,000 THB (1,200 THB filament and electricity, and 8,800 THB printer service charge) and took 3 days. Printing therefore reduced the duration by 3 days (50%) and increased the total cost by 2,780 THB (38.5%). Labour represented 87% of the manual cost, and the printer service charge represented 88% of the printing cost, so in both routes the result is governed by a single non-material item rather than by material cost. The additional cost of printing amounts to about 927 THB per day saved.</w:t>
      </w:r>
    </w:p>
    <w:p>
      <w:pPr>
        <w:keepNext/>
        <w:spacing w:before="160" w:after="60"/>
      </w:pPr>
      <w:r>
        <w:rPr>
          <w:rFonts w:ascii="Times New Roman" w:hAnsi="Times New Roman" w:eastAsia="Times New Roman"/>
          <w:b/>
          <w:i w:val="0"/>
          <w:sz w:val="21"/>
        </w:rPr>
        <w:t xml:space="preserve">Table 3. </w:t>
      </w:r>
      <w:r>
        <w:rPr>
          <w:rFonts w:ascii="Times New Roman" w:hAnsi="Times New Roman" w:eastAsia="Times New Roman"/>
          <w:b w:val="0"/>
          <w:i w:val="0"/>
          <w:sz w:val="21"/>
        </w:rPr>
        <w:t>Recorded cost and duration for the two routes (baseline).</w:t>
      </w:r>
    </w:p>
    <w:tbl>
      <w:tblPr>
        <w:tblW w:type="auto" w:w="0"/>
        <w:jc w:val="center"/>
        <w:tblLayout w:type="fixed"/>
        <w:tblLook w:firstColumn="1" w:firstRow="1" w:lastColumn="0" w:lastRow="0" w:noHBand="0" w:noVBand="1" w:val="04A0"/>
      </w:tblPr>
      <w:tblGrid>
        <w:gridCol w:w="2256"/>
        <w:gridCol w:w="2256"/>
        <w:gridCol w:w="2256"/>
        <w:gridCol w:w="2256"/>
      </w:tblGrid>
      <w:tr>
        <w:tc>
          <w:tcPr>
            <w:tcW w:type="dxa" w:w="3402"/>
            <w:tcBorders>
              <w:top w:val="single" w:sz="10" w:space="0" w:color="000000"/>
              <w:bottom w:val="single" w:sz="6" w:space="0" w:color="000000"/>
            </w:tcBorders>
          </w:tcPr>
          <w:p>
            <w:pPr>
              <w:keepNext/>
              <w:spacing w:after="20" w:before="20" w:line="240" w:lineRule="auto"/>
              <w:jc w:val="left"/>
            </w:pPr>
            <w:r>
              <w:rPr>
                <w:rFonts w:ascii="Times New Roman" w:hAnsi="Times New Roman" w:eastAsia="Times New Roman"/>
                <w:b/>
                <w:i w:val="0"/>
                <w:sz w:val="20"/>
              </w:rPr>
              <w:t>Item</w:t>
            </w:r>
          </w:p>
        </w:tc>
        <w:tc>
          <w:tcPr>
            <w:tcW w:type="dxa" w:w="1701"/>
            <w:tcBorders>
              <w:top w:val="single" w:sz="10" w:space="0" w:color="000000"/>
              <w:bottom w:val="single" w:sz="6" w:space="0" w:color="000000"/>
            </w:tcBorders>
          </w:tcPr>
          <w:p>
            <w:pPr>
              <w:keepNext/>
              <w:spacing w:after="20" w:before="20" w:line="240" w:lineRule="auto"/>
              <w:jc w:val="center"/>
            </w:pPr>
            <w:r>
              <w:rPr>
                <w:rFonts w:ascii="Times New Roman" w:hAnsi="Times New Roman" w:eastAsia="Times New Roman"/>
                <w:b/>
                <w:i w:val="0"/>
                <w:sz w:val="20"/>
              </w:rPr>
              <w:t>Manual route</w:t>
            </w:r>
          </w:p>
        </w:tc>
        <w:tc>
          <w:tcPr>
            <w:tcW w:type="dxa" w:w="1928"/>
            <w:tcBorders>
              <w:top w:val="single" w:sz="10" w:space="0" w:color="000000"/>
              <w:bottom w:val="single" w:sz="6" w:space="0" w:color="000000"/>
            </w:tcBorders>
          </w:tcPr>
          <w:p>
            <w:pPr>
              <w:keepNext/>
              <w:spacing w:after="20" w:before="20" w:line="240" w:lineRule="auto"/>
              <w:jc w:val="center"/>
            </w:pPr>
            <w:r>
              <w:rPr>
                <w:rFonts w:ascii="Times New Roman" w:hAnsi="Times New Roman" w:eastAsia="Times New Roman"/>
                <w:b/>
                <w:i w:val="0"/>
                <w:sz w:val="20"/>
              </w:rPr>
              <w:t>BIM-to-FDM route</w:t>
            </w:r>
          </w:p>
        </w:tc>
        <w:tc>
          <w:tcPr>
            <w:tcW w:type="dxa" w:w="1928"/>
            <w:tcBorders>
              <w:top w:val="single" w:sz="10" w:space="0" w:color="000000"/>
              <w:bottom w:val="single" w:sz="6" w:space="0" w:color="000000"/>
            </w:tcBorders>
          </w:tcPr>
          <w:p>
            <w:pPr>
              <w:keepNext/>
              <w:spacing w:after="20" w:before="20" w:line="240" w:lineRule="auto"/>
              <w:jc w:val="center"/>
            </w:pPr>
            <w:r>
              <w:rPr>
                <w:rFonts w:ascii="Times New Roman" w:hAnsi="Times New Roman" w:eastAsia="Times New Roman"/>
                <w:b/>
                <w:i w:val="0"/>
                <w:sz w:val="20"/>
              </w:rPr>
              <w:t>Difference</w:t>
            </w:r>
          </w:p>
        </w:tc>
      </w:tr>
      <w:tr>
        <w:tc>
          <w:tcPr>
            <w:tcW w:type="dxa" w:w="3402"/>
          </w:tcPr>
          <w:p>
            <w:pPr>
              <w:keepNext/>
              <w:spacing w:after="20" w:before="20" w:line="240" w:lineRule="auto"/>
              <w:jc w:val="left"/>
            </w:pPr>
            <w:r>
              <w:rPr>
                <w:rFonts w:ascii="Times New Roman" w:hAnsi="Times New Roman" w:eastAsia="Times New Roman"/>
                <w:b w:val="0"/>
                <w:i w:val="0"/>
                <w:sz w:val="20"/>
              </w:rPr>
              <w:t>Materials (THB)</w:t>
            </w:r>
          </w:p>
        </w:tc>
        <w:tc>
          <w:tcPr>
            <w:tcW w:type="dxa" w:w="1701"/>
          </w:tcPr>
          <w:p>
            <w:pPr>
              <w:keepNext/>
              <w:spacing w:after="20" w:before="20" w:line="240" w:lineRule="auto"/>
              <w:jc w:val="center"/>
            </w:pPr>
            <w:r>
              <w:rPr>
                <w:rFonts w:ascii="Times New Roman" w:hAnsi="Times New Roman" w:eastAsia="Times New Roman"/>
                <w:b w:val="0"/>
                <w:i w:val="0"/>
                <w:sz w:val="20"/>
              </w:rPr>
              <w:t>920</w:t>
            </w:r>
          </w:p>
        </w:tc>
        <w:tc>
          <w:tcPr>
            <w:tcW w:type="dxa" w:w="1928"/>
          </w:tcPr>
          <w:p>
            <w:pPr>
              <w:keepNext/>
              <w:spacing w:after="20" w:before="20" w:line="240" w:lineRule="auto"/>
              <w:jc w:val="center"/>
            </w:pPr>
            <w:r>
              <w:rPr>
                <w:rFonts w:ascii="Times New Roman" w:hAnsi="Times New Roman" w:eastAsia="Times New Roman"/>
                <w:b w:val="0"/>
                <w:i w:val="0"/>
                <w:sz w:val="20"/>
              </w:rPr>
              <w:t>1,200</w:t>
            </w:r>
          </w:p>
        </w:tc>
        <w:tc>
          <w:tcPr>
            <w:tcW w:type="dxa" w:w="1928"/>
          </w:tcPr>
          <w:p>
            <w:pPr>
              <w:keepNext/>
              <w:spacing w:after="20" w:before="20" w:line="240" w:lineRule="auto"/>
              <w:jc w:val="center"/>
            </w:pPr>
            <w:r>
              <w:rPr>
                <w:rFonts w:ascii="Times New Roman" w:hAnsi="Times New Roman" w:eastAsia="Times New Roman"/>
                <w:b w:val="0"/>
                <w:i w:val="0"/>
                <w:sz w:val="20"/>
              </w:rPr>
              <w:t>+280</w:t>
            </w:r>
          </w:p>
        </w:tc>
      </w:tr>
      <w:tr>
        <w:tc>
          <w:tcPr>
            <w:tcW w:type="dxa" w:w="3402"/>
          </w:tcPr>
          <w:p>
            <w:pPr>
              <w:keepNext/>
              <w:spacing w:after="20" w:before="20" w:line="240" w:lineRule="auto"/>
              <w:jc w:val="left"/>
            </w:pPr>
            <w:r>
              <w:rPr>
                <w:rFonts w:ascii="Times New Roman" w:hAnsi="Times New Roman" w:eastAsia="Times New Roman"/>
                <w:b w:val="0"/>
                <w:i w:val="0"/>
                <w:sz w:val="20"/>
              </w:rPr>
              <w:t>Labour or printer service charge (THB)</w:t>
            </w:r>
          </w:p>
        </w:tc>
        <w:tc>
          <w:tcPr>
            <w:tcW w:type="dxa" w:w="1701"/>
          </w:tcPr>
          <w:p>
            <w:pPr>
              <w:keepNext/>
              <w:spacing w:after="20" w:before="20" w:line="240" w:lineRule="auto"/>
              <w:jc w:val="center"/>
            </w:pPr>
            <w:r>
              <w:rPr>
                <w:rFonts w:ascii="Times New Roman" w:hAnsi="Times New Roman" w:eastAsia="Times New Roman"/>
                <w:b w:val="0"/>
                <w:i w:val="0"/>
                <w:sz w:val="20"/>
              </w:rPr>
              <w:t>6,300</w:t>
            </w:r>
          </w:p>
        </w:tc>
        <w:tc>
          <w:tcPr>
            <w:tcW w:type="dxa" w:w="1928"/>
          </w:tcPr>
          <w:p>
            <w:pPr>
              <w:keepNext/>
              <w:spacing w:after="20" w:before="20" w:line="240" w:lineRule="auto"/>
              <w:jc w:val="center"/>
            </w:pPr>
            <w:r>
              <w:rPr>
                <w:rFonts w:ascii="Times New Roman" w:hAnsi="Times New Roman" w:eastAsia="Times New Roman"/>
                <w:b w:val="0"/>
                <w:i w:val="0"/>
                <w:sz w:val="20"/>
              </w:rPr>
              <w:t>8,800</w:t>
            </w:r>
          </w:p>
        </w:tc>
        <w:tc>
          <w:tcPr>
            <w:tcW w:type="dxa" w:w="1928"/>
          </w:tcPr>
          <w:p>
            <w:pPr>
              <w:keepNext/>
              <w:spacing w:after="20" w:before="20" w:line="240" w:lineRule="auto"/>
              <w:jc w:val="center"/>
            </w:pPr>
            <w:r>
              <w:rPr>
                <w:rFonts w:ascii="Times New Roman" w:hAnsi="Times New Roman" w:eastAsia="Times New Roman"/>
                <w:b w:val="0"/>
                <w:i w:val="0"/>
                <w:sz w:val="20"/>
              </w:rPr>
              <w:t>+2,500</w:t>
            </w:r>
          </w:p>
        </w:tc>
      </w:tr>
      <w:tr>
        <w:tc>
          <w:tcPr>
            <w:tcW w:type="dxa" w:w="3402"/>
          </w:tcPr>
          <w:p>
            <w:pPr>
              <w:keepNext/>
              <w:spacing w:after="20" w:before="20" w:line="240" w:lineRule="auto"/>
              <w:jc w:val="left"/>
            </w:pPr>
            <w:r>
              <w:rPr>
                <w:rFonts w:ascii="Times New Roman" w:hAnsi="Times New Roman" w:eastAsia="Times New Roman"/>
                <w:b w:val="0"/>
                <w:i w:val="0"/>
                <w:sz w:val="20"/>
              </w:rPr>
              <w:t>Total cost (THB)</w:t>
            </w:r>
          </w:p>
        </w:tc>
        <w:tc>
          <w:tcPr>
            <w:tcW w:type="dxa" w:w="1701"/>
          </w:tcPr>
          <w:p>
            <w:pPr>
              <w:keepNext/>
              <w:spacing w:after="20" w:before="20" w:line="240" w:lineRule="auto"/>
              <w:jc w:val="center"/>
            </w:pPr>
            <w:r>
              <w:rPr>
                <w:rFonts w:ascii="Times New Roman" w:hAnsi="Times New Roman" w:eastAsia="Times New Roman"/>
                <w:b w:val="0"/>
                <w:i w:val="0"/>
                <w:sz w:val="20"/>
              </w:rPr>
              <w:t>7,220</w:t>
            </w:r>
          </w:p>
        </w:tc>
        <w:tc>
          <w:tcPr>
            <w:tcW w:type="dxa" w:w="1928"/>
          </w:tcPr>
          <w:p>
            <w:pPr>
              <w:keepNext/>
              <w:spacing w:after="20" w:before="20" w:line="240" w:lineRule="auto"/>
              <w:jc w:val="center"/>
            </w:pPr>
            <w:r>
              <w:rPr>
                <w:rFonts w:ascii="Times New Roman" w:hAnsi="Times New Roman" w:eastAsia="Times New Roman"/>
                <w:b w:val="0"/>
                <w:i w:val="0"/>
                <w:sz w:val="20"/>
              </w:rPr>
              <w:t>10,000</w:t>
            </w:r>
          </w:p>
        </w:tc>
        <w:tc>
          <w:tcPr>
            <w:tcW w:type="dxa" w:w="1928"/>
          </w:tcPr>
          <w:p>
            <w:pPr>
              <w:keepNext/>
              <w:spacing w:after="20" w:before="20" w:line="240" w:lineRule="auto"/>
              <w:jc w:val="center"/>
            </w:pPr>
            <w:r>
              <w:rPr>
                <w:rFonts w:ascii="Times New Roman" w:hAnsi="Times New Roman" w:eastAsia="Times New Roman"/>
                <w:b w:val="0"/>
                <w:i w:val="0"/>
                <w:sz w:val="20"/>
              </w:rPr>
              <w:t>+2,780 (+38.5%)</w:t>
            </w:r>
          </w:p>
        </w:tc>
      </w:tr>
      <w:tr>
        <w:tc>
          <w:tcPr>
            <w:tcW w:type="dxa" w:w="3402"/>
          </w:tcPr>
          <w:p>
            <w:pPr>
              <w:keepNext/>
              <w:spacing w:after="20" w:before="20" w:line="240" w:lineRule="auto"/>
              <w:jc w:val="left"/>
            </w:pPr>
            <w:r>
              <w:rPr>
                <w:rFonts w:ascii="Times New Roman" w:hAnsi="Times New Roman" w:eastAsia="Times New Roman"/>
                <w:b w:val="0"/>
                <w:i w:val="0"/>
                <w:sz w:val="20"/>
              </w:rPr>
              <w:t>Duration (days)</w:t>
            </w:r>
          </w:p>
        </w:tc>
        <w:tc>
          <w:tcPr>
            <w:tcW w:type="dxa" w:w="1701"/>
          </w:tcPr>
          <w:p>
            <w:pPr>
              <w:keepNext/>
              <w:spacing w:after="20" w:before="20" w:line="240" w:lineRule="auto"/>
              <w:jc w:val="center"/>
            </w:pPr>
            <w:r>
              <w:rPr>
                <w:rFonts w:ascii="Times New Roman" w:hAnsi="Times New Roman" w:eastAsia="Times New Roman"/>
                <w:b w:val="0"/>
                <w:i w:val="0"/>
                <w:sz w:val="20"/>
              </w:rPr>
              <w:t>6</w:t>
            </w:r>
          </w:p>
        </w:tc>
        <w:tc>
          <w:tcPr>
            <w:tcW w:type="dxa" w:w="1928"/>
          </w:tcPr>
          <w:p>
            <w:pPr>
              <w:keepNext/>
              <w:spacing w:after="20" w:before="20" w:line="240" w:lineRule="auto"/>
              <w:jc w:val="center"/>
            </w:pPr>
            <w:r>
              <w:rPr>
                <w:rFonts w:ascii="Times New Roman" w:hAnsi="Times New Roman" w:eastAsia="Times New Roman"/>
                <w:b w:val="0"/>
                <w:i w:val="0"/>
                <w:sz w:val="20"/>
              </w:rPr>
              <w:t>3</w:t>
            </w:r>
          </w:p>
        </w:tc>
        <w:tc>
          <w:tcPr>
            <w:tcW w:type="dxa" w:w="1928"/>
          </w:tcPr>
          <w:p>
            <w:pPr>
              <w:keepNext/>
              <w:spacing w:after="20" w:before="20" w:line="240" w:lineRule="auto"/>
              <w:jc w:val="center"/>
            </w:pPr>
            <w:r>
              <w:rPr>
                <w:rFonts w:ascii="Times New Roman" w:hAnsi="Times New Roman" w:eastAsia="Times New Roman"/>
                <w:b w:val="0"/>
                <w:i w:val="0"/>
                <w:sz w:val="20"/>
              </w:rPr>
              <w:t>−3 (−50%)</w:t>
            </w:r>
          </w:p>
        </w:tc>
      </w:tr>
      <w:tr>
        <w:tc>
          <w:tcPr>
            <w:tcW w:type="dxa" w:w="3402"/>
            <w:tcBorders>
              <w:bottom w:val="single" w:sz="10" w:space="0" w:color="000000"/>
            </w:tcBorders>
          </w:tcPr>
          <w:p>
            <w:pPr>
              <w:keepNext w:val="0"/>
              <w:spacing w:after="20" w:before="20" w:line="240" w:lineRule="auto"/>
              <w:jc w:val="left"/>
            </w:pPr>
            <w:r>
              <w:rPr>
                <w:rFonts w:ascii="Times New Roman" w:hAnsi="Times New Roman" w:eastAsia="Times New Roman"/>
                <w:b w:val="0"/>
                <w:i w:val="0"/>
                <w:sz w:val="20"/>
              </w:rPr>
              <w:t>Additional cost per day saved (THB/day)</w:t>
            </w:r>
          </w:p>
        </w:tc>
        <w:tc>
          <w:tcPr>
            <w:tcW w:type="dxa" w:w="1701"/>
            <w:tcBorders>
              <w:bottom w:val="single" w:sz="10" w:space="0" w:color="000000"/>
            </w:tcBorders>
          </w:tcPr>
          <w:p>
            <w:pPr>
              <w:keepNext w:val="0"/>
              <w:spacing w:after="20" w:before="20" w:line="240" w:lineRule="auto"/>
              <w:jc w:val="center"/>
            </w:pPr>
            <w:r>
              <w:rPr>
                <w:rFonts w:ascii="Times New Roman" w:hAnsi="Times New Roman" w:eastAsia="Times New Roman"/>
                <w:b w:val="0"/>
                <w:i w:val="0"/>
                <w:sz w:val="20"/>
              </w:rPr>
              <w:t>–</w:t>
            </w:r>
          </w:p>
        </w:tc>
        <w:tc>
          <w:tcPr>
            <w:tcW w:type="dxa" w:w="1928"/>
            <w:tcBorders>
              <w:bottom w:val="single" w:sz="10" w:space="0" w:color="000000"/>
            </w:tcBorders>
          </w:tcPr>
          <w:p>
            <w:pPr>
              <w:keepNext w:val="0"/>
              <w:spacing w:after="20" w:before="20" w:line="240" w:lineRule="auto"/>
              <w:jc w:val="center"/>
            </w:pPr>
            <w:r>
              <w:rPr>
                <w:rFonts w:ascii="Times New Roman" w:hAnsi="Times New Roman" w:eastAsia="Times New Roman"/>
                <w:b w:val="0"/>
                <w:i w:val="0"/>
                <w:sz w:val="20"/>
              </w:rPr>
              <w:t>–</w:t>
            </w:r>
          </w:p>
        </w:tc>
        <w:tc>
          <w:tcPr>
            <w:tcW w:type="dxa" w:w="1928"/>
            <w:tcBorders>
              <w:bottom w:val="single" w:sz="10" w:space="0" w:color="000000"/>
            </w:tcBorders>
          </w:tcPr>
          <w:p>
            <w:pPr>
              <w:keepNext w:val="0"/>
              <w:spacing w:after="20" w:before="20" w:line="240" w:lineRule="auto"/>
              <w:jc w:val="center"/>
            </w:pPr>
            <w:r>
              <w:rPr>
                <w:rFonts w:ascii="Times New Roman" w:hAnsi="Times New Roman" w:eastAsia="Times New Roman"/>
                <w:b w:val="0"/>
                <w:i w:val="0"/>
                <w:sz w:val="20"/>
              </w:rPr>
              <w:t>926.7</w:t>
            </w:r>
          </w:p>
        </w:tc>
      </w:tr>
    </w:tbl>
    <w:p>
      <w:pPr>
        <w:spacing w:after="200" w:before="40"/>
      </w:pPr>
      <w:r>
        <w:rPr>
          <w:rFonts w:ascii="Times New Roman" w:hAnsi="Times New Roman" w:eastAsia="Times New Roman"/>
          <w:b w:val="0"/>
          <w:i/>
          <w:sz w:val="19"/>
        </w:rPr>
        <w:t>Note.</w:t>
      </w:r>
      <w:r>
        <w:rPr>
          <w:rFonts w:ascii="Times New Roman" w:hAnsi="Times New Roman" w:eastAsia="Times New Roman"/>
          <w:b w:val="0"/>
          <w:i w:val="0"/>
          <w:sz w:val="19"/>
        </w:rPr>
        <w:t xml:space="preserve"> Baseline values as recorded by the project team; the difference column and the cost per day saved were calculated by the authors. Revit modelling time (reported as 1–2 days) is excluded.</w:t>
      </w:r>
    </w:p>
    <w:p>
      <w:pPr>
        <w:keepNext/>
        <w:spacing w:before="120" w:after="40"/>
        <w:jc w:val="center"/>
      </w:pPr>
      <w:r>
        <w:drawing>
          <wp:inline xmlns:a="http://schemas.openxmlformats.org/drawingml/2006/main" xmlns:pic="http://schemas.openxmlformats.org/drawingml/2006/picture">
            <wp:extent cx="5760000" cy="2673644"/>
            <wp:docPr id="6" name="Picture 6"/>
            <wp:cNvGraphicFramePr>
              <a:graphicFrameLocks noChangeAspect="1"/>
            </wp:cNvGraphicFramePr>
            <a:graphic>
              <a:graphicData uri="http://schemas.openxmlformats.org/drawingml/2006/picture">
                <pic:pic>
                  <pic:nvPicPr>
                    <pic:cNvPr id="0" name="fig6_cost_time.jpg"/>
                    <pic:cNvPicPr/>
                  </pic:nvPicPr>
                  <pic:blipFill>
                    <a:blip r:embed="rId15"/>
                    <a:stretch>
                      <a:fillRect/>
                    </a:stretch>
                  </pic:blipFill>
                  <pic:spPr>
                    <a:xfrm>
                      <a:off x="0" y="0"/>
                      <a:ext cx="5760000" cy="2673644"/>
                    </a:xfrm>
                    <a:prstGeom prst="rect"/>
                  </pic:spPr>
                </pic:pic>
              </a:graphicData>
            </a:graphic>
          </wp:inline>
        </w:drawing>
      </w:r>
    </w:p>
    <w:p>
      <w:pPr>
        <w:spacing w:after="200"/>
        <w:jc w:val="both"/>
      </w:pPr>
      <w:r>
        <w:rPr>
          <w:rFonts w:ascii="Times New Roman" w:hAnsi="Times New Roman" w:eastAsia="Times New Roman"/>
          <w:b/>
          <w:i w:val="0"/>
          <w:sz w:val="21"/>
        </w:rPr>
        <w:t xml:space="preserve">Fig. 6. </w:t>
      </w:r>
      <w:r>
        <w:rPr>
          <w:rFonts w:ascii="Times New Roman" w:hAnsi="Times New Roman" w:eastAsia="Times New Roman"/>
          <w:b w:val="0"/>
          <w:i w:val="0"/>
          <w:sz w:val="21"/>
        </w:rPr>
        <w:t>Baseline comparison of (a) cost breakdown and (b) fabrication duration for the manual and BIM-to-FDM routes.</w:t>
      </w:r>
    </w:p>
    <w:p>
      <w:pPr>
        <w:keepNext/>
        <w:spacing w:before="160" w:after="80"/>
      </w:pPr>
      <w:r>
        <w:rPr>
          <w:rFonts w:ascii="Times New Roman" w:hAnsi="Times New Roman" w:eastAsia="Times New Roman"/>
          <w:b/>
          <w:i/>
          <w:sz w:val="24"/>
        </w:rPr>
        <w:t>3.3 Sensitivity of the comparison</w:t>
      </w:r>
    </w:p>
    <w:p>
      <w:pPr>
        <w:spacing w:after="120"/>
        <w:ind w:firstLine="425"/>
        <w:jc w:val="both"/>
      </w:pPr>
      <w:r>
        <w:rPr>
          <w:rFonts w:ascii="Times New Roman" w:hAnsi="Times New Roman" w:eastAsia="Times New Roman"/>
          <w:b w:val="0"/>
          <w:i w:val="0"/>
        </w:rPr>
        <w:t>Table 4 and Fig. 7 show how the conclusion changes with the accounting assumptions. Cost parity would be reached if the printer service charge fell from 8,800 THB to 6,020 THB (a reduction of 31.6%), or if the daily wage were about 504 THB per person instead of 350 THB. Conversely, using the lower wage of 300 THB increases the premium of printing to 58.2%. The time saving is also sensitive to the treatment of BIM modelling: adding one or two days of Revit modelling to the printing route reduces the duration advantage from 50% to 33.3% or 16.7%, and adds 350–700 THB if one operator is assumed, raising the cost premium to 43.4–48.2%. Using the 2026 wage benchmarks, the premium of printing falls to 1,880 THB (23.2%) at the Bangkok minimum wage of 400 THB per day (S6) and to 1,070 THB (12.0%) at 445 THB per day, the skill level 1 carpentry rate (S7, illustrative because undergraduate model-making is not a certified trade); both remain below the break-even wage of about 504 THB, so printing is still more expensive at these wages. [Authors to verify the 2026 wage figures against the primary notifications (Wages Committee, 2023, 2026).]</w:t>
      </w:r>
    </w:p>
    <w:p>
      <w:pPr>
        <w:keepNext/>
        <w:spacing w:before="160" w:after="60"/>
      </w:pPr>
      <w:r>
        <w:rPr>
          <w:rFonts w:ascii="Times New Roman" w:hAnsi="Times New Roman" w:eastAsia="Times New Roman"/>
          <w:b/>
          <w:i w:val="0"/>
          <w:sz w:val="21"/>
        </w:rPr>
        <w:t xml:space="preserve">Table 4. </w:t>
      </w:r>
      <w:r>
        <w:rPr>
          <w:rFonts w:ascii="Times New Roman" w:hAnsi="Times New Roman" w:eastAsia="Times New Roman"/>
          <w:b w:val="0"/>
          <w:i w:val="0"/>
          <w:sz w:val="21"/>
        </w:rPr>
        <w:t>Sensitivity of the cost and duration comparison (derived from the recorded values).</w:t>
      </w:r>
    </w:p>
    <w:tbl>
      <w:tblPr>
        <w:tblW w:type="auto" w:w="0"/>
        <w:jc w:val="center"/>
        <w:tblLayout w:type="fixed"/>
        <w:tblLook w:firstColumn="1" w:firstRow="1" w:lastColumn="0" w:lastRow="0" w:noHBand="0" w:noVBand="1" w:val="04A0"/>
      </w:tblPr>
      <w:tblGrid>
        <w:gridCol w:w="1504"/>
        <w:gridCol w:w="1504"/>
        <w:gridCol w:w="1504"/>
        <w:gridCol w:w="1504"/>
        <w:gridCol w:w="1504"/>
        <w:gridCol w:w="1504"/>
      </w:tblGrid>
      <w:tr>
        <w:tc>
          <w:tcPr>
            <w:tcW w:type="dxa" w:w="2438"/>
            <w:tcBorders>
              <w:top w:val="single" w:sz="10" w:space="0" w:color="000000"/>
              <w:bottom w:val="single" w:sz="6" w:space="0" w:color="000000"/>
            </w:tcBorders>
          </w:tcPr>
          <w:p>
            <w:pPr>
              <w:keepNext/>
              <w:spacing w:after="20" w:before="20" w:line="240" w:lineRule="auto"/>
              <w:jc w:val="left"/>
            </w:pPr>
            <w:r>
              <w:rPr>
                <w:rFonts w:ascii="Times New Roman" w:hAnsi="Times New Roman" w:eastAsia="Times New Roman"/>
                <w:b/>
                <w:i w:val="0"/>
                <w:sz w:val="19"/>
              </w:rPr>
              <w:t>Scenario</w:t>
            </w:r>
          </w:p>
        </w:tc>
        <w:tc>
          <w:tcPr>
            <w:tcW w:type="dxa" w:w="1247"/>
            <w:tcBorders>
              <w:top w:val="single" w:sz="10" w:space="0" w:color="000000"/>
              <w:bottom w:val="single" w:sz="6" w:space="0" w:color="000000"/>
            </w:tcBorders>
          </w:tcPr>
          <w:p>
            <w:pPr>
              <w:keepNext/>
              <w:spacing w:after="20" w:before="20" w:line="240" w:lineRule="auto"/>
              <w:jc w:val="center"/>
            </w:pPr>
            <w:r>
              <w:rPr>
                <w:rFonts w:ascii="Times New Roman" w:hAnsi="Times New Roman" w:eastAsia="Times New Roman"/>
                <w:b/>
                <w:i w:val="0"/>
                <w:sz w:val="19"/>
              </w:rPr>
              <w:t>Manual cost (THB)</w:t>
            </w:r>
          </w:p>
        </w:tc>
        <w:tc>
          <w:tcPr>
            <w:tcW w:type="dxa" w:w="1304"/>
            <w:tcBorders>
              <w:top w:val="single" w:sz="10" w:space="0" w:color="000000"/>
              <w:bottom w:val="single" w:sz="6" w:space="0" w:color="000000"/>
            </w:tcBorders>
          </w:tcPr>
          <w:p>
            <w:pPr>
              <w:keepNext/>
              <w:spacing w:after="20" w:before="20" w:line="240" w:lineRule="auto"/>
              <w:jc w:val="center"/>
            </w:pPr>
            <w:r>
              <w:rPr>
                <w:rFonts w:ascii="Times New Roman" w:hAnsi="Times New Roman" w:eastAsia="Times New Roman"/>
                <w:b/>
                <w:i w:val="0"/>
                <w:sz w:val="19"/>
              </w:rPr>
              <w:t>Printing cost (THB)</w:t>
            </w:r>
          </w:p>
        </w:tc>
        <w:tc>
          <w:tcPr>
            <w:tcW w:type="dxa" w:w="1757"/>
            <w:tcBorders>
              <w:top w:val="single" w:sz="10" w:space="0" w:color="000000"/>
              <w:bottom w:val="single" w:sz="6" w:space="0" w:color="000000"/>
            </w:tcBorders>
          </w:tcPr>
          <w:p>
            <w:pPr>
              <w:keepNext/>
              <w:spacing w:after="20" w:before="20" w:line="240" w:lineRule="auto"/>
              <w:jc w:val="center"/>
            </w:pPr>
            <w:r>
              <w:rPr>
                <w:rFonts w:ascii="Times New Roman" w:hAnsi="Times New Roman" w:eastAsia="Times New Roman"/>
                <w:b/>
                <w:i w:val="0"/>
                <w:sz w:val="19"/>
              </w:rPr>
              <w:t>Cost difference</w:t>
            </w:r>
          </w:p>
        </w:tc>
        <w:tc>
          <w:tcPr>
            <w:tcW w:type="dxa" w:w="1474"/>
            <w:tcBorders>
              <w:top w:val="single" w:sz="10" w:space="0" w:color="000000"/>
              <w:bottom w:val="single" w:sz="6" w:space="0" w:color="000000"/>
            </w:tcBorders>
          </w:tcPr>
          <w:p>
            <w:pPr>
              <w:keepNext/>
              <w:spacing w:after="20" w:before="20" w:line="240" w:lineRule="auto"/>
              <w:jc w:val="center"/>
            </w:pPr>
            <w:r>
              <w:rPr>
                <w:rFonts w:ascii="Times New Roman" w:hAnsi="Times New Roman" w:eastAsia="Times New Roman"/>
                <w:b/>
                <w:i w:val="0"/>
                <w:sz w:val="19"/>
              </w:rPr>
              <w:t>Duration of printing route (days)</w:t>
            </w:r>
          </w:p>
        </w:tc>
        <w:tc>
          <w:tcPr>
            <w:tcW w:type="dxa" w:w="1304"/>
            <w:tcBorders>
              <w:top w:val="single" w:sz="10" w:space="0" w:color="000000"/>
              <w:bottom w:val="single" w:sz="6" w:space="0" w:color="000000"/>
            </w:tcBorders>
          </w:tcPr>
          <w:p>
            <w:pPr>
              <w:keepNext/>
              <w:spacing w:after="20" w:before="20" w:line="240" w:lineRule="auto"/>
              <w:jc w:val="center"/>
            </w:pPr>
            <w:r>
              <w:rPr>
                <w:rFonts w:ascii="Times New Roman" w:hAnsi="Times New Roman" w:eastAsia="Times New Roman"/>
                <w:b/>
                <w:i w:val="0"/>
                <w:sz w:val="19"/>
              </w:rPr>
              <w:t>Duration reduction</w:t>
            </w:r>
          </w:p>
        </w:tc>
      </w:tr>
      <w:tr>
        <w:tc>
          <w:tcPr>
            <w:tcW w:type="dxa" w:w="2438"/>
          </w:tcPr>
          <w:p>
            <w:pPr>
              <w:keepNext/>
              <w:spacing w:after="20" w:before="20" w:line="240" w:lineRule="auto"/>
              <w:jc w:val="left"/>
            </w:pPr>
            <w:r>
              <w:rPr>
                <w:rFonts w:ascii="Times New Roman" w:hAnsi="Times New Roman" w:eastAsia="Times New Roman"/>
                <w:b w:val="0"/>
                <w:i w:val="0"/>
                <w:sz w:val="19"/>
              </w:rPr>
              <w:t>S0 Baseline</w:t>
            </w:r>
          </w:p>
        </w:tc>
        <w:tc>
          <w:tcPr>
            <w:tcW w:type="dxa" w:w="1247"/>
          </w:tcPr>
          <w:p>
            <w:pPr>
              <w:keepNext/>
              <w:spacing w:after="20" w:before="20" w:line="240" w:lineRule="auto"/>
              <w:jc w:val="center"/>
            </w:pPr>
            <w:r>
              <w:rPr>
                <w:rFonts w:ascii="Times New Roman" w:hAnsi="Times New Roman" w:eastAsia="Times New Roman"/>
                <w:b w:val="0"/>
                <w:i w:val="0"/>
                <w:sz w:val="19"/>
              </w:rPr>
              <w:t>7,220</w:t>
            </w:r>
          </w:p>
        </w:tc>
        <w:tc>
          <w:tcPr>
            <w:tcW w:type="dxa" w:w="1304"/>
          </w:tcPr>
          <w:p>
            <w:pPr>
              <w:keepNext/>
              <w:spacing w:after="20" w:before="20" w:line="240" w:lineRule="auto"/>
              <w:jc w:val="center"/>
            </w:pPr>
            <w:r>
              <w:rPr>
                <w:rFonts w:ascii="Times New Roman" w:hAnsi="Times New Roman" w:eastAsia="Times New Roman"/>
                <w:b w:val="0"/>
                <w:i w:val="0"/>
                <w:sz w:val="19"/>
              </w:rPr>
              <w:t>10,000</w:t>
            </w:r>
          </w:p>
        </w:tc>
        <w:tc>
          <w:tcPr>
            <w:tcW w:type="dxa" w:w="1757"/>
          </w:tcPr>
          <w:p>
            <w:pPr>
              <w:keepNext/>
              <w:spacing w:after="20" w:before="20" w:line="240" w:lineRule="auto"/>
              <w:jc w:val="center"/>
            </w:pPr>
            <w:r>
              <w:rPr>
                <w:rFonts w:ascii="Times New Roman" w:hAnsi="Times New Roman" w:eastAsia="Times New Roman"/>
                <w:b w:val="0"/>
                <w:i w:val="0"/>
                <w:sz w:val="19"/>
              </w:rPr>
              <w:t>+2,780 (+38.5%)</w:t>
            </w:r>
          </w:p>
        </w:tc>
        <w:tc>
          <w:tcPr>
            <w:tcW w:type="dxa" w:w="1474"/>
          </w:tcPr>
          <w:p>
            <w:pPr>
              <w:keepNext/>
              <w:spacing w:after="20" w:before="20" w:line="240" w:lineRule="auto"/>
              <w:jc w:val="center"/>
            </w:pPr>
            <w:r>
              <w:rPr>
                <w:rFonts w:ascii="Times New Roman" w:hAnsi="Times New Roman" w:eastAsia="Times New Roman"/>
                <w:b w:val="0"/>
                <w:i w:val="0"/>
                <w:sz w:val="19"/>
              </w:rPr>
              <w:t>3</w:t>
            </w:r>
          </w:p>
        </w:tc>
        <w:tc>
          <w:tcPr>
            <w:tcW w:type="dxa" w:w="1304"/>
          </w:tcPr>
          <w:p>
            <w:pPr>
              <w:keepNext/>
              <w:spacing w:after="20" w:before="20" w:line="240" w:lineRule="auto"/>
              <w:jc w:val="center"/>
            </w:pPr>
            <w:r>
              <w:rPr>
                <w:rFonts w:ascii="Times New Roman" w:hAnsi="Times New Roman" w:eastAsia="Times New Roman"/>
                <w:b w:val="0"/>
                <w:i w:val="0"/>
                <w:sz w:val="19"/>
              </w:rPr>
              <w:t>50.0%</w:t>
            </w:r>
          </w:p>
        </w:tc>
      </w:tr>
      <w:tr>
        <w:tc>
          <w:tcPr>
            <w:tcW w:type="dxa" w:w="2438"/>
          </w:tcPr>
          <w:p>
            <w:pPr>
              <w:keepNext/>
              <w:spacing w:after="20" w:before="20" w:line="240" w:lineRule="auto"/>
              <w:jc w:val="left"/>
            </w:pPr>
            <w:r>
              <w:rPr>
                <w:rFonts w:ascii="Times New Roman" w:hAnsi="Times New Roman" w:eastAsia="Times New Roman"/>
                <w:b w:val="0"/>
                <w:i w:val="0"/>
                <w:sz w:val="19"/>
              </w:rPr>
              <w:t>S1 Daily wage 300 THB</w:t>
            </w:r>
          </w:p>
        </w:tc>
        <w:tc>
          <w:tcPr>
            <w:tcW w:type="dxa" w:w="1247"/>
          </w:tcPr>
          <w:p>
            <w:pPr>
              <w:keepNext/>
              <w:spacing w:after="20" w:before="20" w:line="240" w:lineRule="auto"/>
              <w:jc w:val="center"/>
            </w:pPr>
            <w:r>
              <w:rPr>
                <w:rFonts w:ascii="Times New Roman" w:hAnsi="Times New Roman" w:eastAsia="Times New Roman"/>
                <w:b w:val="0"/>
                <w:i w:val="0"/>
                <w:sz w:val="19"/>
              </w:rPr>
              <w:t>6,320</w:t>
            </w:r>
          </w:p>
        </w:tc>
        <w:tc>
          <w:tcPr>
            <w:tcW w:type="dxa" w:w="1304"/>
          </w:tcPr>
          <w:p>
            <w:pPr>
              <w:keepNext/>
              <w:spacing w:after="20" w:before="20" w:line="240" w:lineRule="auto"/>
              <w:jc w:val="center"/>
            </w:pPr>
            <w:r>
              <w:rPr>
                <w:rFonts w:ascii="Times New Roman" w:hAnsi="Times New Roman" w:eastAsia="Times New Roman"/>
                <w:b w:val="0"/>
                <w:i w:val="0"/>
                <w:sz w:val="19"/>
              </w:rPr>
              <w:t>10,000</w:t>
            </w:r>
          </w:p>
        </w:tc>
        <w:tc>
          <w:tcPr>
            <w:tcW w:type="dxa" w:w="1757"/>
          </w:tcPr>
          <w:p>
            <w:pPr>
              <w:keepNext/>
              <w:spacing w:after="20" w:before="20" w:line="240" w:lineRule="auto"/>
              <w:jc w:val="center"/>
            </w:pPr>
            <w:r>
              <w:rPr>
                <w:rFonts w:ascii="Times New Roman" w:hAnsi="Times New Roman" w:eastAsia="Times New Roman"/>
                <w:b w:val="0"/>
                <w:i w:val="0"/>
                <w:sz w:val="19"/>
              </w:rPr>
              <w:t>+3,680 (+58.2%)</w:t>
            </w:r>
          </w:p>
        </w:tc>
        <w:tc>
          <w:tcPr>
            <w:tcW w:type="dxa" w:w="1474"/>
          </w:tcPr>
          <w:p>
            <w:pPr>
              <w:keepNext/>
              <w:spacing w:after="20" w:before="20" w:line="240" w:lineRule="auto"/>
              <w:jc w:val="center"/>
            </w:pPr>
            <w:r>
              <w:rPr>
                <w:rFonts w:ascii="Times New Roman" w:hAnsi="Times New Roman" w:eastAsia="Times New Roman"/>
                <w:b w:val="0"/>
                <w:i w:val="0"/>
                <w:sz w:val="19"/>
              </w:rPr>
              <w:t>3</w:t>
            </w:r>
          </w:p>
        </w:tc>
        <w:tc>
          <w:tcPr>
            <w:tcW w:type="dxa" w:w="1304"/>
          </w:tcPr>
          <w:p>
            <w:pPr>
              <w:keepNext/>
              <w:spacing w:after="20" w:before="20" w:line="240" w:lineRule="auto"/>
              <w:jc w:val="center"/>
            </w:pPr>
            <w:r>
              <w:rPr>
                <w:rFonts w:ascii="Times New Roman" w:hAnsi="Times New Roman" w:eastAsia="Times New Roman"/>
                <w:b w:val="0"/>
                <w:i w:val="0"/>
                <w:sz w:val="19"/>
              </w:rPr>
              <w:t>50.0%</w:t>
            </w:r>
          </w:p>
        </w:tc>
      </w:tr>
      <w:tr>
        <w:tc>
          <w:tcPr>
            <w:tcW w:type="dxa" w:w="2438"/>
          </w:tcPr>
          <w:p>
            <w:pPr>
              <w:keepNext/>
              <w:spacing w:after="20" w:before="20" w:line="240" w:lineRule="auto"/>
              <w:jc w:val="left"/>
            </w:pPr>
            <w:r>
              <w:rPr>
                <w:rFonts w:ascii="Times New Roman" w:hAnsi="Times New Roman" w:eastAsia="Times New Roman"/>
                <w:b w:val="0"/>
                <w:i w:val="0"/>
                <w:sz w:val="19"/>
              </w:rPr>
              <w:t>S2 Service charge 6,020 THB</w:t>
            </w:r>
          </w:p>
        </w:tc>
        <w:tc>
          <w:tcPr>
            <w:tcW w:type="dxa" w:w="1247"/>
          </w:tcPr>
          <w:p>
            <w:pPr>
              <w:keepNext/>
              <w:spacing w:after="20" w:before="20" w:line="240" w:lineRule="auto"/>
              <w:jc w:val="center"/>
            </w:pPr>
            <w:r>
              <w:rPr>
                <w:rFonts w:ascii="Times New Roman" w:hAnsi="Times New Roman" w:eastAsia="Times New Roman"/>
                <w:b w:val="0"/>
                <w:i w:val="0"/>
                <w:sz w:val="19"/>
              </w:rPr>
              <w:t>7,220</w:t>
            </w:r>
          </w:p>
        </w:tc>
        <w:tc>
          <w:tcPr>
            <w:tcW w:type="dxa" w:w="1304"/>
          </w:tcPr>
          <w:p>
            <w:pPr>
              <w:keepNext/>
              <w:spacing w:after="20" w:before="20" w:line="240" w:lineRule="auto"/>
              <w:jc w:val="center"/>
            </w:pPr>
            <w:r>
              <w:rPr>
                <w:rFonts w:ascii="Times New Roman" w:hAnsi="Times New Roman" w:eastAsia="Times New Roman"/>
                <w:b w:val="0"/>
                <w:i w:val="0"/>
                <w:sz w:val="19"/>
              </w:rPr>
              <w:t>7,220</w:t>
            </w:r>
          </w:p>
        </w:tc>
        <w:tc>
          <w:tcPr>
            <w:tcW w:type="dxa" w:w="1757"/>
          </w:tcPr>
          <w:p>
            <w:pPr>
              <w:keepNext/>
              <w:spacing w:after="20" w:before="20" w:line="240" w:lineRule="auto"/>
              <w:jc w:val="center"/>
            </w:pPr>
            <w:r>
              <w:rPr>
                <w:rFonts w:ascii="Times New Roman" w:hAnsi="Times New Roman" w:eastAsia="Times New Roman"/>
                <w:b w:val="0"/>
                <w:i w:val="0"/>
                <w:sz w:val="19"/>
              </w:rPr>
              <w:t>0 (0.0%)</w:t>
            </w:r>
          </w:p>
        </w:tc>
        <w:tc>
          <w:tcPr>
            <w:tcW w:type="dxa" w:w="1474"/>
          </w:tcPr>
          <w:p>
            <w:pPr>
              <w:keepNext/>
              <w:spacing w:after="20" w:before="20" w:line="240" w:lineRule="auto"/>
              <w:jc w:val="center"/>
            </w:pPr>
            <w:r>
              <w:rPr>
                <w:rFonts w:ascii="Times New Roman" w:hAnsi="Times New Roman" w:eastAsia="Times New Roman"/>
                <w:b w:val="0"/>
                <w:i w:val="0"/>
                <w:sz w:val="19"/>
              </w:rPr>
              <w:t>3</w:t>
            </w:r>
          </w:p>
        </w:tc>
        <w:tc>
          <w:tcPr>
            <w:tcW w:type="dxa" w:w="1304"/>
          </w:tcPr>
          <w:p>
            <w:pPr>
              <w:keepNext/>
              <w:spacing w:after="20" w:before="20" w:line="240" w:lineRule="auto"/>
              <w:jc w:val="center"/>
            </w:pPr>
            <w:r>
              <w:rPr>
                <w:rFonts w:ascii="Times New Roman" w:hAnsi="Times New Roman" w:eastAsia="Times New Roman"/>
                <w:b w:val="0"/>
                <w:i w:val="0"/>
                <w:sz w:val="19"/>
              </w:rPr>
              <w:t>50.0%</w:t>
            </w:r>
          </w:p>
        </w:tc>
      </w:tr>
      <w:tr>
        <w:tc>
          <w:tcPr>
            <w:tcW w:type="dxa" w:w="2438"/>
          </w:tcPr>
          <w:p>
            <w:pPr>
              <w:keepNext/>
              <w:spacing w:after="20" w:before="20" w:line="240" w:lineRule="auto"/>
              <w:jc w:val="left"/>
            </w:pPr>
            <w:r>
              <w:rPr>
                <w:rFonts w:ascii="Times New Roman" w:hAnsi="Times New Roman" w:eastAsia="Times New Roman"/>
                <w:b w:val="0"/>
                <w:i w:val="0"/>
                <w:sz w:val="19"/>
              </w:rPr>
              <w:t>S3 Daily wage 504.4 THB</w:t>
            </w:r>
          </w:p>
        </w:tc>
        <w:tc>
          <w:tcPr>
            <w:tcW w:type="dxa" w:w="1247"/>
          </w:tcPr>
          <w:p>
            <w:pPr>
              <w:keepNext/>
              <w:spacing w:after="20" w:before="20" w:line="240" w:lineRule="auto"/>
              <w:jc w:val="center"/>
            </w:pPr>
            <w:r>
              <w:rPr>
                <w:rFonts w:ascii="Times New Roman" w:hAnsi="Times New Roman" w:eastAsia="Times New Roman"/>
                <w:b w:val="0"/>
                <w:i w:val="0"/>
                <w:sz w:val="19"/>
              </w:rPr>
              <w:t>10,000</w:t>
            </w:r>
          </w:p>
        </w:tc>
        <w:tc>
          <w:tcPr>
            <w:tcW w:type="dxa" w:w="1304"/>
          </w:tcPr>
          <w:p>
            <w:pPr>
              <w:keepNext/>
              <w:spacing w:after="20" w:before="20" w:line="240" w:lineRule="auto"/>
              <w:jc w:val="center"/>
            </w:pPr>
            <w:r>
              <w:rPr>
                <w:rFonts w:ascii="Times New Roman" w:hAnsi="Times New Roman" w:eastAsia="Times New Roman"/>
                <w:b w:val="0"/>
                <w:i w:val="0"/>
                <w:sz w:val="19"/>
              </w:rPr>
              <w:t>10,000</w:t>
            </w:r>
          </w:p>
        </w:tc>
        <w:tc>
          <w:tcPr>
            <w:tcW w:type="dxa" w:w="1757"/>
          </w:tcPr>
          <w:p>
            <w:pPr>
              <w:keepNext/>
              <w:spacing w:after="20" w:before="20" w:line="240" w:lineRule="auto"/>
              <w:jc w:val="center"/>
            </w:pPr>
            <w:r>
              <w:rPr>
                <w:rFonts w:ascii="Times New Roman" w:hAnsi="Times New Roman" w:eastAsia="Times New Roman"/>
                <w:b w:val="0"/>
                <w:i w:val="0"/>
                <w:sz w:val="19"/>
              </w:rPr>
              <w:t>0 (0.0%)</w:t>
            </w:r>
          </w:p>
        </w:tc>
        <w:tc>
          <w:tcPr>
            <w:tcW w:type="dxa" w:w="1474"/>
          </w:tcPr>
          <w:p>
            <w:pPr>
              <w:keepNext/>
              <w:spacing w:after="20" w:before="20" w:line="240" w:lineRule="auto"/>
              <w:jc w:val="center"/>
            </w:pPr>
            <w:r>
              <w:rPr>
                <w:rFonts w:ascii="Times New Roman" w:hAnsi="Times New Roman" w:eastAsia="Times New Roman"/>
                <w:b w:val="0"/>
                <w:i w:val="0"/>
                <w:sz w:val="19"/>
              </w:rPr>
              <w:t>3</w:t>
            </w:r>
          </w:p>
        </w:tc>
        <w:tc>
          <w:tcPr>
            <w:tcW w:type="dxa" w:w="1304"/>
          </w:tcPr>
          <w:p>
            <w:pPr>
              <w:keepNext/>
              <w:spacing w:after="20" w:before="20" w:line="240" w:lineRule="auto"/>
              <w:jc w:val="center"/>
            </w:pPr>
            <w:r>
              <w:rPr>
                <w:rFonts w:ascii="Times New Roman" w:hAnsi="Times New Roman" w:eastAsia="Times New Roman"/>
                <w:b w:val="0"/>
                <w:i w:val="0"/>
                <w:sz w:val="19"/>
              </w:rPr>
              <w:t>50.0%</w:t>
            </w:r>
          </w:p>
        </w:tc>
      </w:tr>
      <w:tr>
        <w:tc>
          <w:tcPr>
            <w:tcW w:type="dxa" w:w="2438"/>
          </w:tcPr>
          <w:p>
            <w:pPr>
              <w:keepNext/>
              <w:spacing w:after="20" w:before="20" w:line="240" w:lineRule="auto"/>
              <w:jc w:val="left"/>
            </w:pPr>
            <w:r>
              <w:rPr>
                <w:rFonts w:ascii="Times New Roman" w:hAnsi="Times New Roman" w:eastAsia="Times New Roman"/>
                <w:b w:val="0"/>
                <w:i w:val="0"/>
                <w:sz w:val="19"/>
              </w:rPr>
              <w:t>S4 + 1 day Revit modelling</w:t>
            </w:r>
          </w:p>
        </w:tc>
        <w:tc>
          <w:tcPr>
            <w:tcW w:type="dxa" w:w="1247"/>
          </w:tcPr>
          <w:p>
            <w:pPr>
              <w:keepNext/>
              <w:spacing w:after="20" w:before="20" w:line="240" w:lineRule="auto"/>
              <w:jc w:val="center"/>
            </w:pPr>
            <w:r>
              <w:rPr>
                <w:rFonts w:ascii="Times New Roman" w:hAnsi="Times New Roman" w:eastAsia="Times New Roman"/>
                <w:b w:val="0"/>
                <w:i w:val="0"/>
                <w:sz w:val="19"/>
              </w:rPr>
              <w:t>7,220</w:t>
            </w:r>
          </w:p>
        </w:tc>
        <w:tc>
          <w:tcPr>
            <w:tcW w:type="dxa" w:w="1304"/>
          </w:tcPr>
          <w:p>
            <w:pPr>
              <w:keepNext/>
              <w:spacing w:after="20" w:before="20" w:line="240" w:lineRule="auto"/>
              <w:jc w:val="center"/>
            </w:pPr>
            <w:r>
              <w:rPr>
                <w:rFonts w:ascii="Times New Roman" w:hAnsi="Times New Roman" w:eastAsia="Times New Roman"/>
                <w:b w:val="0"/>
                <w:i w:val="0"/>
                <w:sz w:val="19"/>
              </w:rPr>
              <w:t>10,350</w:t>
            </w:r>
          </w:p>
        </w:tc>
        <w:tc>
          <w:tcPr>
            <w:tcW w:type="dxa" w:w="1757"/>
          </w:tcPr>
          <w:p>
            <w:pPr>
              <w:keepNext/>
              <w:spacing w:after="20" w:before="20" w:line="240" w:lineRule="auto"/>
              <w:jc w:val="center"/>
            </w:pPr>
            <w:r>
              <w:rPr>
                <w:rFonts w:ascii="Times New Roman" w:hAnsi="Times New Roman" w:eastAsia="Times New Roman"/>
                <w:b w:val="0"/>
                <w:i w:val="0"/>
                <w:sz w:val="19"/>
              </w:rPr>
              <w:t>+3,130 (+43.4%)</w:t>
            </w:r>
          </w:p>
        </w:tc>
        <w:tc>
          <w:tcPr>
            <w:tcW w:type="dxa" w:w="1474"/>
          </w:tcPr>
          <w:p>
            <w:pPr>
              <w:keepNext/>
              <w:spacing w:after="20" w:before="20" w:line="240" w:lineRule="auto"/>
              <w:jc w:val="center"/>
            </w:pPr>
            <w:r>
              <w:rPr>
                <w:rFonts w:ascii="Times New Roman" w:hAnsi="Times New Roman" w:eastAsia="Times New Roman"/>
                <w:b w:val="0"/>
                <w:i w:val="0"/>
                <w:sz w:val="19"/>
              </w:rPr>
              <w:t>4</w:t>
            </w:r>
          </w:p>
        </w:tc>
        <w:tc>
          <w:tcPr>
            <w:tcW w:type="dxa" w:w="1304"/>
          </w:tcPr>
          <w:p>
            <w:pPr>
              <w:keepNext/>
              <w:spacing w:after="20" w:before="20" w:line="240" w:lineRule="auto"/>
              <w:jc w:val="center"/>
            </w:pPr>
            <w:r>
              <w:rPr>
                <w:rFonts w:ascii="Times New Roman" w:hAnsi="Times New Roman" w:eastAsia="Times New Roman"/>
                <w:b w:val="0"/>
                <w:i w:val="0"/>
                <w:sz w:val="19"/>
              </w:rPr>
              <w:t>33.3%</w:t>
            </w:r>
          </w:p>
        </w:tc>
      </w:tr>
      <w:tr>
        <w:tc>
          <w:tcPr>
            <w:tcW w:type="dxa" w:w="2438"/>
            <w:tcBorders>
              <w:bottom w:val="single" w:sz="10" w:space="0" w:color="000000"/>
            </w:tcBorders>
          </w:tcPr>
          <w:p>
            <w:pPr>
              <w:keepNext w:val="0"/>
              <w:spacing w:after="20" w:before="20" w:line="240" w:lineRule="auto"/>
              <w:jc w:val="left"/>
            </w:pPr>
            <w:r>
              <w:rPr>
                <w:rFonts w:ascii="Times New Roman" w:hAnsi="Times New Roman" w:eastAsia="Times New Roman"/>
                <w:b w:val="0"/>
                <w:i w:val="0"/>
                <w:sz w:val="19"/>
              </w:rPr>
              <w:t>S5 + 2 days Revit modelling</w:t>
            </w:r>
          </w:p>
        </w:tc>
        <w:tc>
          <w:tcPr>
            <w:tcW w:type="dxa" w:w="1247"/>
            <w:tcBorders>
              <w:bottom w:val="single" w:sz="10" w:space="0" w:color="000000"/>
            </w:tcBorders>
          </w:tcPr>
          <w:p>
            <w:pPr>
              <w:keepNext w:val="0"/>
              <w:spacing w:after="20" w:before="20" w:line="240" w:lineRule="auto"/>
              <w:jc w:val="center"/>
            </w:pPr>
            <w:r>
              <w:rPr>
                <w:rFonts w:ascii="Times New Roman" w:hAnsi="Times New Roman" w:eastAsia="Times New Roman"/>
                <w:b w:val="0"/>
                <w:i w:val="0"/>
                <w:sz w:val="19"/>
              </w:rPr>
              <w:t>7,220</w:t>
            </w:r>
          </w:p>
        </w:tc>
        <w:tc>
          <w:tcPr>
            <w:tcW w:type="dxa" w:w="1304"/>
            <w:tcBorders>
              <w:bottom w:val="single" w:sz="10" w:space="0" w:color="000000"/>
            </w:tcBorders>
          </w:tcPr>
          <w:p>
            <w:pPr>
              <w:keepNext w:val="0"/>
              <w:spacing w:after="20" w:before="20" w:line="240" w:lineRule="auto"/>
              <w:jc w:val="center"/>
            </w:pPr>
            <w:r>
              <w:rPr>
                <w:rFonts w:ascii="Times New Roman" w:hAnsi="Times New Roman" w:eastAsia="Times New Roman"/>
                <w:b w:val="0"/>
                <w:i w:val="0"/>
                <w:sz w:val="19"/>
              </w:rPr>
              <w:t>10,700</w:t>
            </w:r>
          </w:p>
        </w:tc>
        <w:tc>
          <w:tcPr>
            <w:tcW w:type="dxa" w:w="1757"/>
            <w:tcBorders>
              <w:bottom w:val="single" w:sz="10" w:space="0" w:color="000000"/>
            </w:tcBorders>
          </w:tcPr>
          <w:p>
            <w:pPr>
              <w:keepNext w:val="0"/>
              <w:spacing w:after="20" w:before="20" w:line="240" w:lineRule="auto"/>
              <w:jc w:val="center"/>
            </w:pPr>
            <w:r>
              <w:rPr>
                <w:rFonts w:ascii="Times New Roman" w:hAnsi="Times New Roman" w:eastAsia="Times New Roman"/>
                <w:b w:val="0"/>
                <w:i w:val="0"/>
                <w:sz w:val="19"/>
              </w:rPr>
              <w:t>+3,480 (+48.2%)</w:t>
            </w:r>
          </w:p>
        </w:tc>
        <w:tc>
          <w:tcPr>
            <w:tcW w:type="dxa" w:w="1474"/>
            <w:tcBorders>
              <w:bottom w:val="single" w:sz="10" w:space="0" w:color="000000"/>
            </w:tcBorders>
          </w:tcPr>
          <w:p>
            <w:pPr>
              <w:keepNext w:val="0"/>
              <w:spacing w:after="20" w:before="20" w:line="240" w:lineRule="auto"/>
              <w:jc w:val="center"/>
            </w:pPr>
            <w:r>
              <w:rPr>
                <w:rFonts w:ascii="Times New Roman" w:hAnsi="Times New Roman" w:eastAsia="Times New Roman"/>
                <w:b w:val="0"/>
                <w:i w:val="0"/>
                <w:sz w:val="19"/>
              </w:rPr>
              <w:t>5</w:t>
            </w:r>
          </w:p>
        </w:tc>
        <w:tc>
          <w:tcPr>
            <w:tcW w:type="dxa" w:w="1304"/>
            <w:tcBorders>
              <w:bottom w:val="single" w:sz="10" w:space="0" w:color="000000"/>
            </w:tcBorders>
          </w:tcPr>
          <w:p>
            <w:pPr>
              <w:keepNext w:val="0"/>
              <w:spacing w:after="20" w:before="20" w:line="240" w:lineRule="auto"/>
              <w:jc w:val="center"/>
            </w:pPr>
            <w:r>
              <w:rPr>
                <w:rFonts w:ascii="Times New Roman" w:hAnsi="Times New Roman" w:eastAsia="Times New Roman"/>
                <w:b w:val="0"/>
                <w:i w:val="0"/>
                <w:sz w:val="19"/>
              </w:rPr>
              <w:t>16.7%</w:t>
            </w:r>
          </w:p>
        </w:tc>
      </w:tr>
      <w:tr>
        <w:tc>
          <w:tcPr>
            <w:tcW w:type="dxa" w:w="2438"/>
            <w:tcBorders>
              <w:bottom w:val="single" w:sz="10" w:space="0" w:color="000000"/>
            </w:tcBorders>
          </w:tcPr>
          <w:p>
            <w:pPr>
              <w:keepNext w:val="0"/>
              <w:spacing w:after="20" w:before="20" w:line="240" w:lineRule="auto"/>
              <w:jc w:val="left"/>
            </w:pPr>
            <w:r>
              <w:rPr>
                <w:rFonts w:ascii="Times New Roman" w:hAnsi="Times New Roman" w:eastAsia="Times New Roman"/>
                <w:b w:val="0"/>
                <w:i w:val="0"/>
                <w:sz w:val="19"/>
              </w:rPr>
              <w:t>S6 Daily wage 400 THB (2026 Bangkok minimum)</w:t>
            </w:r>
          </w:p>
        </w:tc>
        <w:tc>
          <w:tcPr>
            <w:tcW w:type="dxa" w:w="1247"/>
            <w:tcBorders>
              <w:bottom w:val="single" w:sz="10" w:space="0" w:color="000000"/>
            </w:tcBorders>
          </w:tcPr>
          <w:p>
            <w:pPr>
              <w:keepNext w:val="0"/>
              <w:spacing w:after="20" w:before="20" w:line="240" w:lineRule="auto"/>
              <w:jc w:val="center"/>
            </w:pPr>
            <w:r>
              <w:rPr>
                <w:rFonts w:ascii="Times New Roman" w:hAnsi="Times New Roman" w:eastAsia="Times New Roman"/>
                <w:b w:val="0"/>
                <w:i w:val="0"/>
                <w:sz w:val="19"/>
              </w:rPr>
              <w:t>8,120</w:t>
            </w:r>
          </w:p>
        </w:tc>
        <w:tc>
          <w:tcPr>
            <w:tcW w:type="dxa" w:w="1304"/>
            <w:tcBorders>
              <w:bottom w:val="single" w:sz="10" w:space="0" w:color="000000"/>
            </w:tcBorders>
          </w:tcPr>
          <w:p>
            <w:pPr>
              <w:keepNext w:val="0"/>
              <w:spacing w:after="20" w:before="20" w:line="240" w:lineRule="auto"/>
              <w:jc w:val="center"/>
            </w:pPr>
            <w:r>
              <w:rPr>
                <w:rFonts w:ascii="Times New Roman" w:hAnsi="Times New Roman" w:eastAsia="Times New Roman"/>
                <w:b w:val="0"/>
                <w:i w:val="0"/>
                <w:sz w:val="19"/>
              </w:rPr>
              <w:t>10,000</w:t>
            </w:r>
          </w:p>
        </w:tc>
        <w:tc>
          <w:tcPr>
            <w:tcW w:type="dxa" w:w="1757"/>
            <w:tcBorders>
              <w:bottom w:val="single" w:sz="10" w:space="0" w:color="000000"/>
            </w:tcBorders>
          </w:tcPr>
          <w:p>
            <w:pPr>
              <w:keepNext w:val="0"/>
              <w:spacing w:after="20" w:before="20" w:line="240" w:lineRule="auto"/>
              <w:jc w:val="center"/>
            </w:pPr>
            <w:r>
              <w:rPr>
                <w:rFonts w:ascii="Times New Roman" w:hAnsi="Times New Roman" w:eastAsia="Times New Roman"/>
                <w:b w:val="0"/>
                <w:i w:val="0"/>
                <w:sz w:val="19"/>
              </w:rPr>
              <w:t>+1,880 (+23.2%)</w:t>
            </w:r>
          </w:p>
        </w:tc>
        <w:tc>
          <w:tcPr>
            <w:tcW w:type="dxa" w:w="1474"/>
            <w:tcBorders>
              <w:bottom w:val="single" w:sz="10" w:space="0" w:color="000000"/>
            </w:tcBorders>
          </w:tcPr>
          <w:p>
            <w:pPr>
              <w:keepNext w:val="0"/>
              <w:spacing w:after="20" w:before="20" w:line="240" w:lineRule="auto"/>
              <w:jc w:val="center"/>
            </w:pPr>
            <w:r>
              <w:rPr>
                <w:rFonts w:ascii="Times New Roman" w:hAnsi="Times New Roman" w:eastAsia="Times New Roman"/>
                <w:b w:val="0"/>
                <w:i w:val="0"/>
                <w:sz w:val="19"/>
              </w:rPr>
              <w:t>3</w:t>
            </w:r>
          </w:p>
        </w:tc>
        <w:tc>
          <w:tcPr>
            <w:tcW w:type="dxa" w:w="1304"/>
            <w:tcBorders>
              <w:bottom w:val="single" w:sz="10" w:space="0" w:color="000000"/>
            </w:tcBorders>
          </w:tcPr>
          <w:p>
            <w:pPr>
              <w:keepNext w:val="0"/>
              <w:spacing w:after="20" w:before="20" w:line="240" w:lineRule="auto"/>
              <w:jc w:val="center"/>
            </w:pPr>
            <w:r>
              <w:rPr>
                <w:rFonts w:ascii="Times New Roman" w:hAnsi="Times New Roman" w:eastAsia="Times New Roman"/>
                <w:b w:val="0"/>
                <w:i w:val="0"/>
                <w:sz w:val="19"/>
              </w:rPr>
              <w:t>50.0%</w:t>
            </w:r>
          </w:p>
        </w:tc>
      </w:tr>
      <w:tr>
        <w:tc>
          <w:tcPr>
            <w:tcW w:type="dxa" w:w="2438"/>
            <w:tcBorders>
              <w:bottom w:val="single" w:sz="10" w:space="0" w:color="000000"/>
            </w:tcBorders>
          </w:tcPr>
          <w:p>
            <w:pPr>
              <w:keepNext w:val="0"/>
              <w:spacing w:after="20" w:before="20" w:line="240" w:lineRule="auto"/>
              <w:jc w:val="left"/>
            </w:pPr>
            <w:r>
              <w:rPr>
                <w:rFonts w:ascii="Times New Roman" w:hAnsi="Times New Roman" w:eastAsia="Times New Roman"/>
                <w:b w:val="0"/>
                <w:i w:val="0"/>
                <w:sz w:val="19"/>
              </w:rPr>
              <w:t>S7 Daily wage 445 THB (2026 skill level 1, carpentry)</w:t>
            </w:r>
          </w:p>
        </w:tc>
        <w:tc>
          <w:tcPr>
            <w:tcW w:type="dxa" w:w="1247"/>
            <w:tcBorders>
              <w:bottom w:val="single" w:sz="10" w:space="0" w:color="000000"/>
            </w:tcBorders>
          </w:tcPr>
          <w:p>
            <w:pPr>
              <w:keepNext w:val="0"/>
              <w:spacing w:after="20" w:before="20" w:line="240" w:lineRule="auto"/>
              <w:jc w:val="center"/>
            </w:pPr>
            <w:r>
              <w:rPr>
                <w:rFonts w:ascii="Times New Roman" w:hAnsi="Times New Roman" w:eastAsia="Times New Roman"/>
                <w:b w:val="0"/>
                <w:i w:val="0"/>
                <w:sz w:val="19"/>
              </w:rPr>
              <w:t>8,930</w:t>
            </w:r>
          </w:p>
        </w:tc>
        <w:tc>
          <w:tcPr>
            <w:tcW w:type="dxa" w:w="1304"/>
            <w:tcBorders>
              <w:bottom w:val="single" w:sz="10" w:space="0" w:color="000000"/>
            </w:tcBorders>
          </w:tcPr>
          <w:p>
            <w:pPr>
              <w:keepNext w:val="0"/>
              <w:spacing w:after="20" w:before="20" w:line="240" w:lineRule="auto"/>
              <w:jc w:val="center"/>
            </w:pPr>
            <w:r>
              <w:rPr>
                <w:rFonts w:ascii="Times New Roman" w:hAnsi="Times New Roman" w:eastAsia="Times New Roman"/>
                <w:b w:val="0"/>
                <w:i w:val="0"/>
                <w:sz w:val="19"/>
              </w:rPr>
              <w:t>10,000</w:t>
            </w:r>
          </w:p>
        </w:tc>
        <w:tc>
          <w:tcPr>
            <w:tcW w:type="dxa" w:w="1757"/>
            <w:tcBorders>
              <w:bottom w:val="single" w:sz="10" w:space="0" w:color="000000"/>
            </w:tcBorders>
          </w:tcPr>
          <w:p>
            <w:pPr>
              <w:keepNext w:val="0"/>
              <w:spacing w:after="20" w:before="20" w:line="240" w:lineRule="auto"/>
              <w:jc w:val="center"/>
            </w:pPr>
            <w:r>
              <w:rPr>
                <w:rFonts w:ascii="Times New Roman" w:hAnsi="Times New Roman" w:eastAsia="Times New Roman"/>
                <w:b w:val="0"/>
                <w:i w:val="0"/>
                <w:sz w:val="19"/>
              </w:rPr>
              <w:t>+1,070 (+12.0%)</w:t>
            </w:r>
          </w:p>
        </w:tc>
        <w:tc>
          <w:tcPr>
            <w:tcW w:type="dxa" w:w="1474"/>
            <w:tcBorders>
              <w:bottom w:val="single" w:sz="10" w:space="0" w:color="000000"/>
            </w:tcBorders>
          </w:tcPr>
          <w:p>
            <w:pPr>
              <w:keepNext w:val="0"/>
              <w:spacing w:after="20" w:before="20" w:line="240" w:lineRule="auto"/>
              <w:jc w:val="center"/>
            </w:pPr>
            <w:r>
              <w:rPr>
                <w:rFonts w:ascii="Times New Roman" w:hAnsi="Times New Roman" w:eastAsia="Times New Roman"/>
                <w:b w:val="0"/>
                <w:i w:val="0"/>
                <w:sz w:val="19"/>
              </w:rPr>
              <w:t>3</w:t>
            </w:r>
          </w:p>
        </w:tc>
        <w:tc>
          <w:tcPr>
            <w:tcW w:type="dxa" w:w="1304"/>
            <w:tcBorders>
              <w:bottom w:val="single" w:sz="10" w:space="0" w:color="000000"/>
            </w:tcBorders>
          </w:tcPr>
          <w:p>
            <w:pPr>
              <w:keepNext w:val="0"/>
              <w:spacing w:after="20" w:before="20" w:line="240" w:lineRule="auto"/>
              <w:jc w:val="center"/>
            </w:pPr>
            <w:r>
              <w:rPr>
                <w:rFonts w:ascii="Times New Roman" w:hAnsi="Times New Roman" w:eastAsia="Times New Roman"/>
                <w:b w:val="0"/>
                <w:i w:val="0"/>
                <w:sz w:val="19"/>
              </w:rPr>
              <w:t>50.0%</w:t>
            </w:r>
          </w:p>
        </w:tc>
      </w:tr>
    </w:tbl>
    <w:p>
      <w:pPr>
        <w:spacing w:after="200" w:before="40"/>
      </w:pPr>
      <w:r>
        <w:rPr>
          <w:rFonts w:ascii="Times New Roman" w:hAnsi="Times New Roman" w:eastAsia="Times New Roman"/>
          <w:b w:val="0"/>
          <w:i/>
          <w:sz w:val="19"/>
        </w:rPr>
        <w:t>Note.</w:t>
      </w:r>
      <w:r>
        <w:rPr>
          <w:rFonts w:ascii="Times New Roman" w:hAnsi="Times New Roman" w:eastAsia="Times New Roman"/>
          <w:b w:val="0"/>
          <w:i w:val="0"/>
          <w:sz w:val="19"/>
        </w:rPr>
        <w:t xml:space="preserve"> S2 and S3 are break-even points calculated with Eq. (3). S4 and S5 assume one operator at 350 THB/day for the added modelling days (illustrative assumption). Percentages are relative to the manual cost or duration. S6 and S7 use 2026 wage benchmarks (Wages Committee, 2023, 2026) with 3 persons × 6 days; the figures are to be verified against the primary notifications.</w:t>
      </w:r>
    </w:p>
    <w:p>
      <w:pPr>
        <w:keepNext/>
        <w:spacing w:before="120" w:after="40"/>
        <w:jc w:val="center"/>
      </w:pPr>
      <w:r>
        <w:drawing>
          <wp:inline xmlns:a="http://schemas.openxmlformats.org/drawingml/2006/main" xmlns:pic="http://schemas.openxmlformats.org/drawingml/2006/picture">
            <wp:extent cx="5760000" cy="2295324"/>
            <wp:docPr id="7" name="Picture 7"/>
            <wp:cNvGraphicFramePr>
              <a:graphicFrameLocks noChangeAspect="1"/>
            </wp:cNvGraphicFramePr>
            <a:graphic>
              <a:graphicData uri="http://schemas.openxmlformats.org/drawingml/2006/picture">
                <pic:pic>
                  <pic:nvPicPr>
                    <pic:cNvPr id="0" name="fig7_sensitivity.jpg"/>
                    <pic:cNvPicPr/>
                  </pic:nvPicPr>
                  <pic:blipFill>
                    <a:blip r:embed="rId16"/>
                    <a:stretch>
                      <a:fillRect/>
                    </a:stretch>
                  </pic:blipFill>
                  <pic:spPr>
                    <a:xfrm>
                      <a:off x="0" y="0"/>
                      <a:ext cx="5760000" cy="2295324"/>
                    </a:xfrm>
                    <a:prstGeom prst="rect"/>
                  </pic:spPr>
                </pic:pic>
              </a:graphicData>
            </a:graphic>
          </wp:inline>
        </w:drawing>
      </w:r>
    </w:p>
    <w:p>
      <w:pPr>
        <w:spacing w:after="200"/>
        <w:jc w:val="both"/>
      </w:pPr>
      <w:r>
        <w:rPr>
          <w:rFonts w:ascii="Times New Roman" w:hAnsi="Times New Roman" w:eastAsia="Times New Roman"/>
          <w:b/>
          <w:i w:val="0"/>
          <w:sz w:val="21"/>
        </w:rPr>
        <w:t xml:space="preserve">Fig. 7. </w:t>
      </w:r>
      <w:r>
        <w:rPr>
          <w:rFonts w:ascii="Times New Roman" w:hAnsi="Times New Roman" w:eastAsia="Times New Roman"/>
          <w:b w:val="0"/>
          <w:i w:val="0"/>
          <w:sz w:val="21"/>
        </w:rPr>
        <w:t>Sensitivity of the comparison to (a) printer service charge, (b) daily wage and (c) Revit modelling time added to the printing route. Break-even points are 6,020 THB and about 504 THB per person per day. The 2026 Bangkok minimum wage (400 THB) is marked in (b).</w:t>
      </w:r>
    </w:p>
    <w:p>
      <w:pPr>
        <w:spacing w:after="120"/>
        <w:ind w:firstLine="425"/>
        <w:jc w:val="both"/>
      </w:pPr>
      <w:r>
        <w:rPr>
          <w:rFonts w:ascii="Times New Roman" w:hAnsi="Times New Roman" w:eastAsia="Times New Roman"/>
          <w:b w:val="0"/>
          <w:i w:val="0"/>
        </w:rPr>
        <w:t>Two interpretations follow, both of which are the authors' reading of the derived results rather than tested findings. First, the cost penalty of printing depends mainly on what the 8,800 THB service charge represents. If it recovers machine and operating costs, a department that already owns the printer and prints many models would face a lower marginal cost, which would be consistent with the payback analyses reported for low-cost printers (Wittbrodt et al., 2013; Petersen &amp; Pearce, 2017). The present records cannot test this because the charge was not itemised. Second, the time saving is smaller when the full workflow is counted, but the BIM model is not consumed by printing. The team noted that the same model can support permit drawings and animations, so the modelling effort may be shared with other uses, in which case the baseline view in Fig. 6 is the more relevant one.</w:t>
      </w:r>
    </w:p>
    <w:p>
      <w:pPr>
        <w:keepNext/>
        <w:spacing w:before="160" w:after="80"/>
      </w:pPr>
      <w:r>
        <w:rPr>
          <w:rFonts w:ascii="Times New Roman" w:hAnsi="Times New Roman" w:eastAsia="Times New Roman"/>
          <w:b/>
          <w:i/>
          <w:sz w:val="24"/>
        </w:rPr>
        <w:t>3.4 Positioning against related work</w:t>
      </w:r>
    </w:p>
    <w:p>
      <w:pPr>
        <w:spacing w:after="120"/>
        <w:ind w:firstLine="425"/>
        <w:jc w:val="both"/>
      </w:pPr>
      <w:r>
        <w:rPr>
          <w:rFonts w:ascii="Times New Roman" w:hAnsi="Times New Roman" w:eastAsia="Times New Roman"/>
          <w:b w:val="0"/>
          <w:i w:val="0"/>
        </w:rPr>
        <w:t>The cost–time trade-off found here follows the logic of earlier comparisons of fabrication technologies for physical models, in which laser cutting, CNC milling and 3D printing were compared on time, cost and labour (Globa et al., 2012). The present study differs in recording the actual costs and durations of one BIM-driven FDM model and one manual model, whereas the survey by Mourad et al. (2025) captured student perceptions of several techniques. A Thai conference study has addressed the cost-effectiveness of BIM with 3D printing in design and construction (Tapan et al., 2020). Because its cost accounting was not independently verified in the present work and may differ from that used here, no quantitative comparison with it is made. Educational studies suggest that printing offers benefits that this study does not measure, such as design iteration and learning outcomes (Boumaraf &amp; İnceoğlu, 2020; Özeren et al., 2023; Dart &amp; Lim, 2023). Table 5 summarises how the present study differs in scope and type of evidence from the studies discussed above. The comparison is qualitative, because the studies report different cost bases, units and settings and no common numerical basis exists.</w:t>
      </w:r>
    </w:p>
    <w:p>
      <w:pPr>
        <w:keepNext/>
        <w:spacing w:before="160" w:after="60"/>
      </w:pPr>
      <w:r>
        <w:rPr>
          <w:rFonts w:ascii="Times New Roman" w:hAnsi="Times New Roman" w:eastAsia="Times New Roman"/>
          <w:b/>
          <w:i w:val="0"/>
          <w:sz w:val="21"/>
        </w:rPr>
        <w:t xml:space="preserve">Table 5. </w:t>
      </w:r>
      <w:r>
        <w:rPr>
          <w:rFonts w:ascii="Times New Roman" w:hAnsi="Times New Roman" w:eastAsia="Times New Roman"/>
          <w:b w:val="0"/>
          <w:i w:val="0"/>
          <w:sz w:val="21"/>
        </w:rPr>
        <w:t>Qualitative comparison of the present study with related work cited in this paper.</w:t>
      </w:r>
    </w:p>
    <w:tbl>
      <w:tblPr>
        <w:tblW w:type="auto" w:w="0"/>
        <w:jc w:val="center"/>
        <w:tblLayout w:type="fixed"/>
        <w:tblLook w:firstColumn="1" w:firstRow="1" w:lastColumn="0" w:lastRow="0" w:noHBand="0" w:noVBand="1" w:val="04A0"/>
      </w:tblPr>
      <w:tblGrid>
        <w:gridCol w:w="3009"/>
        <w:gridCol w:w="3009"/>
        <w:gridCol w:w="3009"/>
      </w:tblGrid>
      <w:tr>
        <w:tc>
          <w:tcPr>
            <w:tcW w:type="dxa" w:w="1701"/>
            <w:tcBorders>
              <w:top w:val="single" w:sz="10" w:space="0" w:color="000000"/>
              <w:bottom w:val="single" w:sz="6" w:space="0" w:color="000000"/>
            </w:tcBorders>
          </w:tcPr>
          <w:p>
            <w:pPr>
              <w:keepNext/>
              <w:spacing w:after="20" w:before="20" w:line="240" w:lineRule="auto"/>
              <w:jc w:val="left"/>
            </w:pPr>
            <w:r>
              <w:rPr>
                <w:rFonts w:ascii="Times New Roman" w:hAnsi="Times New Roman" w:eastAsia="Times New Roman"/>
                <w:b/>
                <w:i w:val="0"/>
                <w:sz w:val="20"/>
              </w:rPr>
              <w:t>Study</w:t>
            </w:r>
          </w:p>
        </w:tc>
        <w:tc>
          <w:tcPr>
            <w:tcW w:type="dxa" w:w="3628"/>
            <w:tcBorders>
              <w:top w:val="single" w:sz="10" w:space="0" w:color="000000"/>
              <w:bottom w:val="single" w:sz="6" w:space="0" w:color="000000"/>
            </w:tcBorders>
          </w:tcPr>
          <w:p>
            <w:pPr>
              <w:keepNext/>
              <w:spacing w:after="20" w:before="20" w:line="240" w:lineRule="auto"/>
              <w:jc w:val="center"/>
            </w:pPr>
            <w:r>
              <w:rPr>
                <w:rFonts w:ascii="Times New Roman" w:hAnsi="Times New Roman" w:eastAsia="Times New Roman"/>
                <w:b/>
                <w:i w:val="0"/>
                <w:sz w:val="20"/>
              </w:rPr>
              <w:t>Focus and basis of comparison</w:t>
            </w:r>
          </w:p>
        </w:tc>
        <w:tc>
          <w:tcPr>
            <w:tcW w:type="dxa" w:w="3628"/>
            <w:tcBorders>
              <w:top w:val="single" w:sz="10" w:space="0" w:color="000000"/>
              <w:bottom w:val="single" w:sz="6" w:space="0" w:color="000000"/>
            </w:tcBorders>
          </w:tcPr>
          <w:p>
            <w:pPr>
              <w:keepNext/>
              <w:spacing w:after="20" w:before="20" w:line="240" w:lineRule="auto"/>
              <w:jc w:val="center"/>
            </w:pPr>
            <w:r>
              <w:rPr>
                <w:rFonts w:ascii="Times New Roman" w:hAnsi="Times New Roman" w:eastAsia="Times New Roman"/>
                <w:b/>
                <w:i w:val="0"/>
                <w:sz w:val="20"/>
              </w:rPr>
              <w:t>Difference from the present study</w:t>
            </w:r>
          </w:p>
        </w:tc>
      </w:tr>
      <w:tr>
        <w:tc>
          <w:tcPr>
            <w:tcW w:type="dxa" w:w="1701"/>
          </w:tcPr>
          <w:p>
            <w:pPr>
              <w:keepNext/>
              <w:spacing w:after="20" w:before="20" w:line="240" w:lineRule="auto"/>
              <w:jc w:val="left"/>
            </w:pPr>
            <w:r>
              <w:rPr>
                <w:rFonts w:ascii="Times New Roman" w:hAnsi="Times New Roman" w:eastAsia="Times New Roman"/>
                <w:b w:val="0"/>
                <w:i w:val="0"/>
                <w:sz w:val="20"/>
              </w:rPr>
              <w:t>Globa et al. (2012)</w:t>
            </w:r>
          </w:p>
        </w:tc>
        <w:tc>
          <w:tcPr>
            <w:tcW w:type="dxa" w:w="3628"/>
          </w:tcPr>
          <w:p>
            <w:pPr>
              <w:keepNext/>
              <w:spacing w:after="20" w:before="20" w:line="240" w:lineRule="auto"/>
              <w:jc w:val="center"/>
            </w:pPr>
            <w:r>
              <w:rPr>
                <w:rFonts w:ascii="Times New Roman" w:hAnsi="Times New Roman" w:eastAsia="Times New Roman"/>
                <w:b w:val="0"/>
                <w:i w:val="0"/>
                <w:sz w:val="20"/>
              </w:rPr>
              <w:t>Laser cutting, CNC milling and 3D printing compared for physical models in architecture (time, cost, labour)</w:t>
            </w:r>
          </w:p>
        </w:tc>
        <w:tc>
          <w:tcPr>
            <w:tcW w:type="dxa" w:w="3628"/>
          </w:tcPr>
          <w:p>
            <w:pPr>
              <w:keepNext/>
              <w:spacing w:after="20" w:before="20" w:line="240" w:lineRule="auto"/>
              <w:jc w:val="center"/>
            </w:pPr>
            <w:r>
              <w:rPr>
                <w:rFonts w:ascii="Times New Roman" w:hAnsi="Times New Roman" w:eastAsia="Times New Roman"/>
                <w:b w:val="0"/>
                <w:i w:val="0"/>
                <w:sz w:val="20"/>
              </w:rPr>
              <w:t>Present study adds a BIM-driven FDM route, itemised costs of one case and a sensitivity analysis of the accounting assumptions</w:t>
            </w:r>
          </w:p>
        </w:tc>
      </w:tr>
      <w:tr>
        <w:tc>
          <w:tcPr>
            <w:tcW w:type="dxa" w:w="1701"/>
          </w:tcPr>
          <w:p>
            <w:pPr>
              <w:keepNext/>
              <w:spacing w:after="20" w:before="20" w:line="240" w:lineRule="auto"/>
              <w:jc w:val="left"/>
            </w:pPr>
            <w:r>
              <w:rPr>
                <w:rFonts w:ascii="Times New Roman" w:hAnsi="Times New Roman" w:eastAsia="Times New Roman"/>
                <w:b w:val="0"/>
                <w:i w:val="0"/>
                <w:sz w:val="20"/>
              </w:rPr>
              <w:t>Mourad et al. (2025)</w:t>
            </w:r>
          </w:p>
        </w:tc>
        <w:tc>
          <w:tcPr>
            <w:tcW w:type="dxa" w:w="3628"/>
          </w:tcPr>
          <w:p>
            <w:pPr>
              <w:keepNext/>
              <w:spacing w:after="20" w:before="20" w:line="240" w:lineRule="auto"/>
              <w:jc w:val="center"/>
            </w:pPr>
            <w:r>
              <w:rPr>
                <w:rFonts w:ascii="Times New Roman" w:hAnsi="Times New Roman" w:eastAsia="Times New Roman"/>
                <w:b w:val="0"/>
                <w:i w:val="0"/>
                <w:sz w:val="20"/>
              </w:rPr>
              <w:t>Survey of architecture students on traditional, laser-cutting and 3D-printing model-making (speed and cost among the criteria)</w:t>
            </w:r>
          </w:p>
        </w:tc>
        <w:tc>
          <w:tcPr>
            <w:tcW w:type="dxa" w:w="3628"/>
          </w:tcPr>
          <w:p>
            <w:pPr>
              <w:keepNext/>
              <w:spacing w:after="20" w:before="20" w:line="240" w:lineRule="auto"/>
              <w:jc w:val="center"/>
            </w:pPr>
            <w:r>
              <w:rPr>
                <w:rFonts w:ascii="Times New Roman" w:hAnsi="Times New Roman" w:eastAsia="Times New Roman"/>
                <w:b w:val="0"/>
                <w:i w:val="0"/>
                <w:sz w:val="20"/>
              </w:rPr>
              <w:t>Perception data in the cited survey; present study records actual costs and durations of one model per route</w:t>
            </w:r>
          </w:p>
        </w:tc>
      </w:tr>
      <w:tr>
        <w:tc>
          <w:tcPr>
            <w:tcW w:type="dxa" w:w="1701"/>
          </w:tcPr>
          <w:p>
            <w:pPr>
              <w:keepNext/>
              <w:spacing w:after="20" w:before="20" w:line="240" w:lineRule="auto"/>
              <w:jc w:val="left"/>
            </w:pPr>
            <w:r>
              <w:rPr>
                <w:rFonts w:ascii="Times New Roman" w:hAnsi="Times New Roman" w:eastAsia="Times New Roman"/>
                <w:b w:val="0"/>
                <w:i w:val="0"/>
                <w:sz w:val="20"/>
              </w:rPr>
              <w:t>Allouzi et al. (2020)</w:t>
            </w:r>
          </w:p>
        </w:tc>
        <w:tc>
          <w:tcPr>
            <w:tcW w:type="dxa" w:w="3628"/>
          </w:tcPr>
          <w:p>
            <w:pPr>
              <w:keepNext/>
              <w:spacing w:after="20" w:before="20" w:line="240" w:lineRule="auto"/>
              <w:jc w:val="center"/>
            </w:pPr>
            <w:r>
              <w:rPr>
                <w:rFonts w:ascii="Times New Roman" w:hAnsi="Times New Roman" w:eastAsia="Times New Roman"/>
                <w:b w:val="0"/>
                <w:i w:val="0"/>
                <w:sz w:val="20"/>
              </w:rPr>
              <w:t>Material cost of conventional construction versus 3D printing in Jordan, using a Revit model</w:t>
            </w:r>
          </w:p>
        </w:tc>
        <w:tc>
          <w:tcPr>
            <w:tcW w:type="dxa" w:w="3628"/>
          </w:tcPr>
          <w:p>
            <w:pPr>
              <w:keepNext/>
              <w:spacing w:after="20" w:before="20" w:line="240" w:lineRule="auto"/>
              <w:jc w:val="center"/>
            </w:pPr>
            <w:r>
              <w:rPr>
                <w:rFonts w:ascii="Times New Roman" w:hAnsi="Times New Roman" w:eastAsia="Times New Roman"/>
                <w:b w:val="0"/>
                <w:i w:val="0"/>
                <w:sz w:val="20"/>
              </w:rPr>
              <w:t>Full-scale construction; present study concerns a 1:60 desktop-FDM model for design review and teaching</w:t>
            </w:r>
          </w:p>
        </w:tc>
      </w:tr>
      <w:tr>
        <w:tc>
          <w:tcPr>
            <w:tcW w:type="dxa" w:w="1701"/>
          </w:tcPr>
          <w:p>
            <w:pPr>
              <w:keepNext/>
              <w:spacing w:after="20" w:before="20" w:line="240" w:lineRule="auto"/>
              <w:jc w:val="left"/>
            </w:pPr>
            <w:r>
              <w:rPr>
                <w:rFonts w:ascii="Times New Roman" w:hAnsi="Times New Roman" w:eastAsia="Times New Roman"/>
                <w:b w:val="0"/>
                <w:i w:val="0"/>
                <w:sz w:val="20"/>
              </w:rPr>
              <w:t>Tapan et al. (2020)</w:t>
            </w:r>
          </w:p>
        </w:tc>
        <w:tc>
          <w:tcPr>
            <w:tcW w:type="dxa" w:w="3628"/>
          </w:tcPr>
          <w:p>
            <w:pPr>
              <w:keepNext/>
              <w:spacing w:after="20" w:before="20" w:line="240" w:lineRule="auto"/>
              <w:jc w:val="center"/>
            </w:pPr>
            <w:r>
              <w:rPr>
                <w:rFonts w:ascii="Times New Roman" w:hAnsi="Times New Roman" w:eastAsia="Times New Roman"/>
                <w:b w:val="0"/>
                <w:i w:val="0"/>
                <w:sz w:val="20"/>
              </w:rPr>
              <w:t>Cost-effectiveness of BIM with 3D printing in design and construction (Thai conference paper)</w:t>
            </w:r>
          </w:p>
        </w:tc>
        <w:tc>
          <w:tcPr>
            <w:tcW w:type="dxa" w:w="3628"/>
          </w:tcPr>
          <w:p>
            <w:pPr>
              <w:keepNext/>
              <w:spacing w:after="20" w:before="20" w:line="240" w:lineRule="auto"/>
              <w:jc w:val="center"/>
            </w:pPr>
            <w:r>
              <w:rPr>
                <w:rFonts w:ascii="Times New Roman" w:hAnsi="Times New Roman" w:eastAsia="Times New Roman"/>
                <w:b w:val="0"/>
                <w:i w:val="0"/>
                <w:sz w:val="20"/>
              </w:rPr>
              <w:t>Cost accounting not verified here; no quantitative comparison is made</w:t>
            </w:r>
          </w:p>
        </w:tc>
      </w:tr>
      <w:tr>
        <w:tc>
          <w:tcPr>
            <w:tcW w:type="dxa" w:w="1701"/>
          </w:tcPr>
          <w:p>
            <w:pPr>
              <w:keepNext/>
              <w:spacing w:after="20" w:before="20" w:line="240" w:lineRule="auto"/>
              <w:jc w:val="left"/>
            </w:pPr>
            <w:r>
              <w:rPr>
                <w:rFonts w:ascii="Times New Roman" w:hAnsi="Times New Roman" w:eastAsia="Times New Roman"/>
                <w:b w:val="0"/>
                <w:i w:val="0"/>
                <w:sz w:val="20"/>
              </w:rPr>
              <w:t>Wittbrodt et al. (2013); Petersen &amp; Pearce (2017)</w:t>
            </w:r>
          </w:p>
        </w:tc>
        <w:tc>
          <w:tcPr>
            <w:tcW w:type="dxa" w:w="3628"/>
          </w:tcPr>
          <w:p>
            <w:pPr>
              <w:keepNext/>
              <w:spacing w:after="20" w:before="20" w:line="240" w:lineRule="auto"/>
              <w:jc w:val="center"/>
            </w:pPr>
            <w:r>
              <w:rPr>
                <w:rFonts w:ascii="Times New Roman" w:hAnsi="Times New Roman" w:eastAsia="Times New Roman"/>
                <w:b w:val="0"/>
                <w:i w:val="0"/>
                <w:sz w:val="20"/>
              </w:rPr>
              <w:t>Payback and return on investment of low-cost open-source printers</w:t>
            </w:r>
          </w:p>
        </w:tc>
        <w:tc>
          <w:tcPr>
            <w:tcW w:type="dxa" w:w="3628"/>
          </w:tcPr>
          <w:p>
            <w:pPr>
              <w:keepNext/>
              <w:spacing w:after="20" w:before="20" w:line="240" w:lineRule="auto"/>
              <w:jc w:val="center"/>
            </w:pPr>
            <w:r>
              <w:rPr>
                <w:rFonts w:ascii="Times New Roman" w:hAnsi="Times New Roman" w:eastAsia="Times New Roman"/>
                <w:b w:val="0"/>
                <w:i w:val="0"/>
                <w:sz w:val="20"/>
              </w:rPr>
              <w:t>Present study does not model printer ownership; the service charge is treated as one recorded, unitemised input</w:t>
            </w:r>
          </w:p>
        </w:tc>
      </w:tr>
      <w:tr>
        <w:tc>
          <w:tcPr>
            <w:tcW w:type="dxa" w:w="1701"/>
          </w:tcPr>
          <w:p>
            <w:pPr>
              <w:keepNext/>
              <w:spacing w:after="20" w:before="20" w:line="240" w:lineRule="auto"/>
              <w:jc w:val="left"/>
            </w:pPr>
            <w:r>
              <w:rPr>
                <w:rFonts w:ascii="Times New Roman" w:hAnsi="Times New Roman" w:eastAsia="Times New Roman"/>
                <w:b w:val="0"/>
                <w:i w:val="0"/>
                <w:sz w:val="20"/>
              </w:rPr>
              <w:t>Boumaraf &amp; İnceoğlu (2020); Özeren et al. (2023); Dart &amp; Lim (2023)</w:t>
            </w:r>
          </w:p>
        </w:tc>
        <w:tc>
          <w:tcPr>
            <w:tcW w:type="dxa" w:w="3628"/>
          </w:tcPr>
          <w:p>
            <w:pPr>
              <w:keepNext/>
              <w:spacing w:after="20" w:before="20" w:line="240" w:lineRule="auto"/>
              <w:jc w:val="center"/>
            </w:pPr>
            <w:r>
              <w:rPr>
                <w:rFonts w:ascii="Times New Roman" w:hAnsi="Times New Roman" w:eastAsia="Times New Roman"/>
                <w:b w:val="0"/>
                <w:i w:val="0"/>
                <w:sz w:val="20"/>
              </w:rPr>
              <w:t>Educational use of 3D printing in architecture and structural-engineering courses</w:t>
            </w:r>
          </w:p>
        </w:tc>
        <w:tc>
          <w:tcPr>
            <w:tcW w:type="dxa" w:w="3628"/>
          </w:tcPr>
          <w:p>
            <w:pPr>
              <w:keepNext/>
              <w:spacing w:after="20" w:before="20" w:line="240" w:lineRule="auto"/>
              <w:jc w:val="center"/>
            </w:pPr>
            <w:r>
              <w:rPr>
                <w:rFonts w:ascii="Times New Roman" w:hAnsi="Times New Roman" w:eastAsia="Times New Roman"/>
                <w:b w:val="0"/>
                <w:i w:val="0"/>
                <w:sz w:val="20"/>
              </w:rPr>
              <w:t>Learning outcomes not measured here; present study quantifies cost and time only</w:t>
            </w:r>
          </w:p>
        </w:tc>
      </w:tr>
      <w:tr>
        <w:tc>
          <w:tcPr>
            <w:tcW w:type="dxa" w:w="1701"/>
          </w:tcPr>
          <w:p>
            <w:pPr>
              <w:keepNext/>
              <w:spacing w:after="20" w:before="20" w:line="240" w:lineRule="auto"/>
              <w:jc w:val="left"/>
            </w:pPr>
            <w:r>
              <w:rPr>
                <w:rFonts w:ascii="Times New Roman" w:hAnsi="Times New Roman" w:eastAsia="Times New Roman"/>
                <w:b w:val="0"/>
                <w:i w:val="0"/>
                <w:sz w:val="20"/>
              </w:rPr>
              <w:t>Present study</w:t>
            </w:r>
          </w:p>
        </w:tc>
        <w:tc>
          <w:tcPr>
            <w:tcW w:type="dxa" w:w="3628"/>
          </w:tcPr>
          <w:p>
            <w:pPr>
              <w:keepNext/>
              <w:spacing w:after="20" w:before="20" w:line="240" w:lineRule="auto"/>
              <w:jc w:val="center"/>
            </w:pPr>
            <w:r>
              <w:rPr>
                <w:rFonts w:ascii="Times New Roman" w:hAnsi="Times New Roman" w:eastAsia="Times New Roman"/>
                <w:b w:val="0"/>
                <w:i w:val="0"/>
                <w:sz w:val="20"/>
              </w:rPr>
              <w:t>One two-storey house at 1:60; BIM-to-FDM versus manual route; recorded cost and duration; sensitivity to wage, service charge and modelling time</w:t>
            </w:r>
          </w:p>
        </w:tc>
        <w:tc>
          <w:tcPr>
            <w:tcW w:type="dxa" w:w="3628"/>
          </w:tcPr>
          <w:p>
            <w:pPr>
              <w:keepNext/>
              <w:spacing w:after="20" w:before="20" w:line="240" w:lineRule="auto"/>
              <w:jc w:val="center"/>
            </w:pPr>
            <w:r>
              <w:rPr>
                <w:rFonts w:ascii="Times New Roman" w:hAnsi="Times New Roman" w:eastAsia="Times New Roman"/>
                <w:b w:val="0"/>
                <w:i w:val="0"/>
                <w:sz w:val="20"/>
              </w:rPr>
              <w:t>Single case, exploratory; no accuracy or strength measurement</w:t>
            </w:r>
          </w:p>
        </w:tc>
      </w:tr>
    </w:tbl>
    <w:p>
      <w:pPr>
        <w:spacing w:after="200" w:before="40"/>
      </w:pPr>
      <w:r>
        <w:rPr>
          <w:rFonts w:ascii="Times New Roman" w:hAnsi="Times New Roman" w:eastAsia="Times New Roman"/>
          <w:b w:val="0"/>
          <w:i/>
          <w:sz w:val="19"/>
        </w:rPr>
        <w:t>Note.</w:t>
      </w:r>
      <w:r>
        <w:rPr>
          <w:rFonts w:ascii="Times New Roman" w:hAnsi="Times New Roman" w:eastAsia="Times New Roman"/>
          <w:b w:val="0"/>
          <w:i w:val="0"/>
          <w:sz w:val="19"/>
        </w:rPr>
        <w:t xml:space="preserve"> Entries summarise the scope as described in the respective papers cited in the text; no numerical values from those papers are compared. Tapan et al. (2020) was not checked against the full text.</w:t>
      </w:r>
    </w:p>
    <w:p>
      <w:pPr>
        <w:keepNext/>
        <w:spacing w:before="160" w:after="80"/>
      </w:pPr>
      <w:r>
        <w:rPr>
          <w:rFonts w:ascii="Times New Roman" w:hAnsi="Times New Roman" w:eastAsia="Times New Roman"/>
          <w:b/>
          <w:i/>
          <w:sz w:val="24"/>
        </w:rPr>
        <w:t>3.5 Practical implications</w:t>
      </w:r>
    </w:p>
    <w:p>
      <w:pPr>
        <w:spacing w:after="120"/>
        <w:ind w:firstLine="425"/>
        <w:jc w:val="both"/>
      </w:pPr>
      <w:r>
        <w:rPr>
          <w:rFonts w:ascii="Times New Roman" w:hAnsi="Times New Roman" w:eastAsia="Times New Roman"/>
          <w:b w:val="0"/>
          <w:i w:val="0"/>
        </w:rPr>
        <w:t>For educators and small practices that already have a BIM model, the results indicate that printing is attractive when schedule is the priority and the printer is available at a low marginal charge; at the recorded charge, each day saved cost roughly 927 THB more than manual work. Manual fabrication remains preferable when budget is the priority, when fine details such as frames and railings are essential, or when modification during assembly is expected. A hybrid approach, in which slabs and massing are printed and fine details are made by hand or laser cutting, is a reasonable option suggested by the team's observations, but it was not tested here.</w:t>
      </w:r>
    </w:p>
    <w:p>
      <w:pPr>
        <w:keepNext/>
        <w:spacing w:before="160" w:after="80"/>
      </w:pPr>
      <w:r>
        <w:rPr>
          <w:rFonts w:ascii="Times New Roman" w:hAnsi="Times New Roman" w:eastAsia="Times New Roman"/>
          <w:b/>
          <w:i/>
          <w:sz w:val="24"/>
        </w:rPr>
        <w:t>3.6 Limitations</w:t>
      </w:r>
    </w:p>
    <w:p>
      <w:pPr>
        <w:spacing w:after="120"/>
        <w:ind w:firstLine="425"/>
        <w:jc w:val="both"/>
      </w:pPr>
      <w:r>
        <w:rPr>
          <w:rFonts w:ascii="Times New Roman" w:hAnsi="Times New Roman" w:eastAsia="Times New Roman"/>
          <w:b w:val="0"/>
          <w:i w:val="0"/>
        </w:rPr>
        <w:t>The findings should be interpreted with the following limitations. (1) The study covers one building, one desktop printer and one team, with no replication, so the ratios reported cannot be generalised. (2) The routes are not equal in scope: the manual model started from existing 2D plans, whereas the printing route required a 3D model. (3) The service charge was not itemised, no labour was recorded for the printing route, and the wage was stated as both 300 and 350 THB. (4) Costs and durations are totals taken from project records; labour time was not logged by task, and finishing items were not itemised. (5) Print parameters were only partly documented, and no dimensional accuracy or strength test was performed, although dimensional deviation of FDM parts is known to depend on process settings (Equbal et al., 2024; Li et al., 2025; Petruse et al., 2024). (6) Operator proficiency affects both modelling and hand-cutting time. (7) Original receipts, STL files and slicer logs were not retained, which limits independent reproduction of the figures. Future work should replicate the comparison across several buildings and printers, log labour by task, itemise the service charge, include modelling time, measure model accuracy, and test the hybrid approach.</w:t>
      </w:r>
    </w:p>
    <w:p>
      <w:pPr>
        <w:keepNext/>
        <w:spacing w:before="240" w:after="80"/>
      </w:pPr>
      <w:r>
        <w:rPr>
          <w:rFonts w:ascii="Times New Roman" w:hAnsi="Times New Roman" w:eastAsia="Times New Roman"/>
          <w:b/>
          <w:i w:val="0"/>
          <w:sz w:val="25"/>
        </w:rPr>
        <w:t>4. Conclusions</w:t>
      </w:r>
    </w:p>
    <w:p>
      <w:pPr>
        <w:spacing w:after="120"/>
        <w:ind w:firstLine="425"/>
        <w:jc w:val="both"/>
      </w:pPr>
      <w:r>
        <w:rPr>
          <w:rFonts w:ascii="Times New Roman" w:hAnsi="Times New Roman" w:eastAsia="Times New Roman"/>
          <w:b w:val="0"/>
          <w:i w:val="0"/>
        </w:rPr>
        <w:t>This exploratory single-case study documented a BIM-to-FDM workflow for a two-storey house and compared it with manual fabrication of a 1:60 model. The conclusions are limited to this case.</w:t>
      </w:r>
    </w:p>
    <w:p>
      <w:pPr>
        <w:pStyle w:val="ListNumber"/>
        <w:spacing w:after="60"/>
        <w:jc w:val="both"/>
      </w:pPr>
      <w:r>
        <w:rPr>
          <w:rFonts w:ascii="Times New Roman" w:hAnsi="Times New Roman" w:eastAsia="Times New Roman"/>
          <w:b w:val="0"/>
          <w:i w:val="0"/>
        </w:rPr>
        <w:t>The BIM-to-FDM route halved the fabrication time (3 days versus 6 days) but cost 38.5% more (10,000 THB versus 7,220 THB).</w:t>
      </w:r>
    </w:p>
    <w:p>
      <w:pPr>
        <w:pStyle w:val="ListNumber"/>
        <w:spacing w:after="60"/>
        <w:jc w:val="both"/>
      </w:pPr>
      <w:r>
        <w:rPr>
          <w:rFonts w:ascii="Times New Roman" w:hAnsi="Times New Roman" w:eastAsia="Times New Roman"/>
          <w:b w:val="0"/>
          <w:i w:val="0"/>
        </w:rPr>
        <w:t>The cost difference was governed by the printer service charge, which accounted for 88% of the printing cost. Cost parity would occur at a service charge of 6,020 THB or a wage of about 504 THB per person per day. At the 2026 Bangkok minimum wage (400 THB per day) the cost premium would be 23.2%.</w:t>
      </w:r>
    </w:p>
    <w:p>
      <w:pPr>
        <w:pStyle w:val="ListNumber"/>
        <w:spacing w:after="60"/>
        <w:jc w:val="both"/>
      </w:pPr>
      <w:r>
        <w:rPr>
          <w:rFonts w:ascii="Times New Roman" w:hAnsi="Times New Roman" w:eastAsia="Times New Roman"/>
          <w:b w:val="0"/>
          <w:i w:val="0"/>
        </w:rPr>
        <w:t>Counting 1–2 days of Revit modelling reduces the time saving to 17–33%, but the BIM model can be reused for other purposes.</w:t>
      </w:r>
    </w:p>
    <w:p>
      <w:pPr>
        <w:pStyle w:val="ListNumber"/>
        <w:spacing w:after="60"/>
        <w:jc w:val="both"/>
      </w:pPr>
      <w:r>
        <w:rPr>
          <w:rFonts w:ascii="Times New Roman" w:hAnsi="Times New Roman" w:eastAsia="Times New Roman"/>
          <w:b w:val="0"/>
          <w:i w:val="0"/>
        </w:rPr>
        <w:t>The printer used could not reproduce door and window frames; the manual route gave finer detail at the price of more labour.</w:t>
      </w:r>
    </w:p>
    <w:p>
      <w:pPr>
        <w:pStyle w:val="ListNumber"/>
        <w:spacing w:after="60"/>
        <w:jc w:val="both"/>
      </w:pPr>
      <w:r>
        <w:rPr>
          <w:rFonts w:ascii="Times New Roman" w:hAnsi="Times New Roman" w:eastAsia="Times New Roman"/>
          <w:b w:val="0"/>
          <w:i w:val="0"/>
        </w:rPr>
        <w:t>Because the data come from one project with partly documented inputs, the results should be treated as a transparent case record and a framework for sensitivity analysis rather than as general cost or time ratios.</w:t>
      </w:r>
    </w:p>
    <w:p>
      <w:pPr>
        <w:keepNext/>
        <w:spacing w:before="240" w:after="80"/>
      </w:pPr>
      <w:r>
        <w:rPr>
          <w:rFonts w:ascii="Times New Roman" w:hAnsi="Times New Roman" w:eastAsia="Times New Roman"/>
          <w:b/>
          <w:i w:val="0"/>
          <w:sz w:val="25"/>
        </w:rPr>
        <w:t>Acknowledgments</w:t>
      </w:r>
    </w:p>
    <w:p>
      <w:pPr>
        <w:spacing w:after="120"/>
        <w:jc w:val="both"/>
      </w:pPr>
      <w:r>
        <w:rPr>
          <w:rFonts w:ascii="Times New Roman" w:hAnsi="Times New Roman" w:eastAsia="Times New Roman"/>
          <w:b w:val="0"/>
          <w:i w:val="0"/>
        </w:rPr>
        <w:t xml:space="preserve">The authors thank the undergraduate project team of the Department of Teacher Training in Civil Engineering, Faculty of Technical Education, KMUTNB, who carried out the BIM modelling, printing and model-making that provided the data for this study. </w:t>
      </w:r>
      <w:r>
        <w:rPr>
          <w:rFonts w:ascii="Times New Roman" w:hAnsi="Times New Roman" w:eastAsia="Times New Roman"/>
          <w:b w:val="0"/>
          <w:i w:val="0"/>
          <w:highlight w:val="yellow"/>
        </w:rPr>
        <w:t>[Funding statement to be completed by the authors, for example “This research received no specific external funding” if correct.]</w:t>
      </w:r>
    </w:p>
    <w:p>
      <w:pPr>
        <w:keepNext/>
        <w:spacing w:before="240" w:after="80"/>
      </w:pPr>
      <w:r>
        <w:rPr>
          <w:rFonts w:ascii="Times New Roman" w:hAnsi="Times New Roman" w:eastAsia="Times New Roman"/>
          <w:b/>
          <w:i w:val="0"/>
          <w:sz w:val="25"/>
        </w:rPr>
        <w:t>Conflict of Interest</w:t>
      </w:r>
    </w:p>
    <w:p>
      <w:pPr>
        <w:spacing w:after="120"/>
        <w:jc w:val="both"/>
      </w:pPr>
      <w:r>
        <w:rPr>
          <w:rFonts w:ascii="Times New Roman" w:hAnsi="Times New Roman" w:eastAsia="Times New Roman"/>
          <w:b w:val="0"/>
          <w:i w:val="0"/>
          <w:highlight w:val="yellow"/>
        </w:rPr>
        <w:t>[To be confirmed by all authors. Draft wording: The authors declare no conflict of interest.]</w:t>
      </w:r>
    </w:p>
    <w:p>
      <w:pPr>
        <w:keepNext/>
        <w:spacing w:before="240" w:after="80"/>
      </w:pPr>
      <w:r>
        <w:rPr>
          <w:rFonts w:ascii="Times New Roman" w:hAnsi="Times New Roman" w:eastAsia="Times New Roman"/>
          <w:b/>
          <w:i w:val="0"/>
          <w:sz w:val="25"/>
        </w:rPr>
        <w:t>Author Contribution</w:t>
      </w:r>
    </w:p>
    <w:p>
      <w:pPr>
        <w:spacing w:after="120"/>
        <w:jc w:val="both"/>
      </w:pPr>
      <w:r>
        <w:rPr>
          <w:rFonts w:ascii="Times New Roman" w:hAnsi="Times New Roman" w:eastAsia="Times New Roman"/>
          <w:b w:val="0"/>
          <w:i w:val="0"/>
          <w:highlight w:val="yellow"/>
        </w:rPr>
        <w:t>[To be completed by the authors using CRediT roles: Conceptualization; Methodology; Investigation; Formal analysis; Writing – original draft; Writing – review and editing; Supervision. No assignment of roles has been made in this draft.]</w:t>
      </w:r>
    </w:p>
    <w:p>
      <w:pPr>
        <w:keepNext/>
        <w:spacing w:before="240" w:after="80"/>
      </w:pPr>
      <w:r>
        <w:rPr>
          <w:rFonts w:ascii="Times New Roman" w:hAnsi="Times New Roman" w:eastAsia="Times New Roman"/>
          <w:b/>
          <w:i w:val="0"/>
          <w:sz w:val="25"/>
        </w:rPr>
        <w:t>Data Availability</w:t>
      </w:r>
    </w:p>
    <w:p>
      <w:pPr>
        <w:spacing w:after="120"/>
        <w:jc w:val="both"/>
      </w:pPr>
      <w:r>
        <w:rPr>
          <w:rFonts w:ascii="Times New Roman" w:hAnsi="Times New Roman" w:eastAsia="Times New Roman"/>
          <w:b w:val="0"/>
          <w:i w:val="0"/>
        </w:rPr>
        <w:t xml:space="preserve">The cost and duration values analysed are reported in Tables 1 to 4. </w:t>
      </w:r>
      <w:r>
        <w:rPr>
          <w:rFonts w:ascii="Times New Roman" w:hAnsi="Times New Roman" w:eastAsia="Times New Roman"/>
          <w:b w:val="0"/>
          <w:i w:val="0"/>
          <w:highlight w:val="yellow"/>
        </w:rPr>
        <w:t>[Authors to confirm: the original receipts, STL files and slicer logs were not retained by the project team.]</w:t>
      </w:r>
    </w:p>
    <w:p>
      <w:pPr>
        <w:keepNext/>
        <w:spacing w:before="240" w:after="80"/>
      </w:pPr>
      <w:r>
        <w:rPr>
          <w:rFonts w:ascii="Times New Roman" w:hAnsi="Times New Roman" w:eastAsia="Times New Roman"/>
          <w:b/>
          <w:i w:val="0"/>
          <w:sz w:val="25"/>
        </w:rPr>
        <w:t>Declaration on the Use of Generative AI</w:t>
      </w:r>
    </w:p>
    <w:p>
      <w:pPr>
        <w:spacing w:after="120"/>
        <w:jc w:val="both"/>
      </w:pPr>
      <w:r>
        <w:rPr>
          <w:rFonts w:ascii="Times New Roman" w:hAnsi="Times New Roman" w:eastAsia="Times New Roman"/>
          <w:b w:val="0"/>
          <w:i w:val="0"/>
          <w:highlight w:val="yellow"/>
        </w:rPr>
        <w:t>[To be confirmed by the authors. Draft wording: Generative AI (Claude, Anthropic) was used to support English language editing, structuring and consistency checking of the manuscript. The authors reviewed and edited all content and take full responsibility for it.]</w:t>
      </w:r>
    </w:p>
    <w:p>
      <w:pPr>
        <w:keepNext/>
        <w:spacing w:before="240" w:after="80"/>
      </w:pPr>
      <w:r>
        <w:rPr>
          <w:rFonts w:ascii="Times New Roman" w:hAnsi="Times New Roman" w:eastAsia="Times New Roman"/>
          <w:b/>
          <w:i w:val="0"/>
          <w:sz w:val="25"/>
        </w:rPr>
        <w:t>References</w:t>
      </w:r>
    </w:p>
    <w:p>
      <w:pPr>
        <w:spacing w:after="80"/>
        <w:ind w:left="567" w:hanging="567"/>
        <w:jc w:val="left"/>
      </w:pPr>
      <w:r>
        <w:rPr>
          <w:rFonts w:ascii="Times New Roman" w:hAnsi="Times New Roman" w:eastAsia="Times New Roman"/>
          <w:b w:val="0"/>
          <w:i w:val="0"/>
          <w:sz w:val="22"/>
        </w:rPr>
        <w:t xml:space="preserve">Allouzi, R., Al-Azhari, W., &amp; Allouzi, R. (2020). Conventional construction and 3D printing: A comparison study on material cost in Jordan. </w:t>
      </w:r>
      <w:r>
        <w:rPr>
          <w:rFonts w:ascii="Times New Roman" w:hAnsi="Times New Roman" w:eastAsia="Times New Roman"/>
          <w:b w:val="0"/>
          <w:i/>
          <w:sz w:val="22"/>
        </w:rPr>
        <w:t>Journal of Engineering, 2020</w:t>
      </w:r>
      <w:r>
        <w:rPr>
          <w:rFonts w:ascii="Times New Roman" w:hAnsi="Times New Roman" w:eastAsia="Times New Roman"/>
          <w:b w:val="0"/>
          <w:i w:val="0"/>
          <w:sz w:val="22"/>
        </w:rPr>
        <w:t>, Article 1424682. https://doi.org/10.1155/2020/1424682</w:t>
      </w:r>
    </w:p>
    <w:p>
      <w:pPr>
        <w:spacing w:after="80"/>
        <w:ind w:left="567" w:hanging="567"/>
        <w:jc w:val="left"/>
      </w:pPr>
      <w:r>
        <w:rPr>
          <w:rFonts w:ascii="Times New Roman" w:hAnsi="Times New Roman" w:eastAsia="Times New Roman"/>
          <w:b w:val="0"/>
          <w:i w:val="0"/>
          <w:sz w:val="22"/>
        </w:rPr>
        <w:t xml:space="preserve">Boumaraf, H., &amp; İnceoğlu, M. (2020). Integrating 3D printing technologies into architectural education as design tools. </w:t>
      </w:r>
      <w:r>
        <w:rPr>
          <w:rFonts w:ascii="Times New Roman" w:hAnsi="Times New Roman" w:eastAsia="Times New Roman"/>
          <w:b w:val="0"/>
          <w:i/>
          <w:sz w:val="22"/>
        </w:rPr>
        <w:t>Emerging Science Journal, 4</w:t>
      </w:r>
      <w:r>
        <w:rPr>
          <w:rFonts w:ascii="Times New Roman" w:hAnsi="Times New Roman" w:eastAsia="Times New Roman"/>
          <w:b w:val="0"/>
          <w:i w:val="0"/>
          <w:sz w:val="22"/>
        </w:rPr>
        <w:t>(2), 73–81. https://doi.org/10.28991/esj-2020-01211</w:t>
      </w:r>
    </w:p>
    <w:p>
      <w:pPr>
        <w:spacing w:after="80"/>
        <w:ind w:left="567" w:hanging="567"/>
        <w:jc w:val="left"/>
      </w:pPr>
      <w:r>
        <w:rPr>
          <w:rFonts w:ascii="Times New Roman" w:hAnsi="Times New Roman" w:eastAsia="Times New Roman"/>
          <w:b w:val="0"/>
          <w:i w:val="0"/>
          <w:sz w:val="22"/>
        </w:rPr>
        <w:t xml:space="preserve">Dart, S., &amp; Lim, J. B. P. (2023). Three-dimensional printed models for teaching and learning structural engineering concepts. </w:t>
      </w:r>
      <w:r>
        <w:rPr>
          <w:rFonts w:ascii="Times New Roman" w:hAnsi="Times New Roman" w:eastAsia="Times New Roman"/>
          <w:b w:val="0"/>
          <w:i/>
          <w:sz w:val="22"/>
        </w:rPr>
        <w:t>Journal of Civil Engineering Education, 149</w:t>
      </w:r>
      <w:r>
        <w:rPr>
          <w:rFonts w:ascii="Times New Roman" w:hAnsi="Times New Roman" w:eastAsia="Times New Roman"/>
          <w:b w:val="0"/>
          <w:i w:val="0"/>
          <w:sz w:val="22"/>
        </w:rPr>
        <w:t>(2), Article 05022004. https://doi.org/10.1061/(asce)ei.2643-9115.0000078</w:t>
      </w:r>
    </w:p>
    <w:p>
      <w:pPr>
        <w:spacing w:after="80"/>
        <w:ind w:left="567" w:hanging="567"/>
        <w:jc w:val="left"/>
      </w:pPr>
      <w:r>
        <w:rPr>
          <w:rFonts w:ascii="Times New Roman" w:hAnsi="Times New Roman" w:eastAsia="Times New Roman"/>
          <w:b w:val="0"/>
          <w:i w:val="0"/>
          <w:sz w:val="22"/>
        </w:rPr>
        <w:t xml:space="preserve">Eastman, C., Teicholz, P., Sacks, R., &amp; Liston, K. (2011). </w:t>
      </w:r>
      <w:r>
        <w:rPr>
          <w:rFonts w:ascii="Times New Roman" w:hAnsi="Times New Roman" w:eastAsia="Times New Roman"/>
          <w:b w:val="0"/>
          <w:i/>
          <w:sz w:val="22"/>
        </w:rPr>
        <w:t>BIM handbook: A guide to building information modeling for owners, managers, designers, engineers and contractors</w:t>
      </w:r>
      <w:r>
        <w:rPr>
          <w:rFonts w:ascii="Times New Roman" w:hAnsi="Times New Roman" w:eastAsia="Times New Roman"/>
          <w:b w:val="0"/>
          <w:i w:val="0"/>
          <w:sz w:val="22"/>
        </w:rPr>
        <w:t xml:space="preserve"> (2nd ed.). John Wiley &amp; Sons.</w:t>
      </w:r>
    </w:p>
    <w:p>
      <w:pPr>
        <w:spacing w:after="80"/>
        <w:ind w:left="567" w:hanging="567"/>
        <w:jc w:val="left"/>
      </w:pPr>
      <w:r>
        <w:rPr>
          <w:rFonts w:ascii="Times New Roman" w:hAnsi="Times New Roman" w:eastAsia="Times New Roman"/>
          <w:b w:val="0"/>
          <w:i w:val="0"/>
          <w:sz w:val="22"/>
        </w:rPr>
        <w:t xml:space="preserve">Equbal, A., Murmu, R., Kumar, V., &amp; Equbal, M. A. (2024). A recent review on advancements in dimensional accuracy in fused deposition modeling (FDM) 3D printing. </w:t>
      </w:r>
      <w:r>
        <w:rPr>
          <w:rFonts w:ascii="Times New Roman" w:hAnsi="Times New Roman" w:eastAsia="Times New Roman"/>
          <w:b w:val="0"/>
          <w:i/>
          <w:sz w:val="22"/>
        </w:rPr>
        <w:t>AIMS Materials Science, 11</w:t>
      </w:r>
      <w:r>
        <w:rPr>
          <w:rFonts w:ascii="Times New Roman" w:hAnsi="Times New Roman" w:eastAsia="Times New Roman"/>
          <w:b w:val="0"/>
          <w:i w:val="0"/>
          <w:sz w:val="22"/>
        </w:rPr>
        <w:t>(5), 950–990. https://doi.org/10.3934/matersci.2024046</w:t>
      </w:r>
    </w:p>
    <w:p>
      <w:pPr>
        <w:spacing w:after="80"/>
        <w:ind w:left="567" w:hanging="567"/>
        <w:jc w:val="left"/>
      </w:pPr>
      <w:r>
        <w:rPr>
          <w:rFonts w:ascii="Times New Roman" w:hAnsi="Times New Roman" w:eastAsia="Times New Roman"/>
          <w:b w:val="0"/>
          <w:i w:val="0"/>
          <w:sz w:val="22"/>
        </w:rPr>
        <w:t xml:space="preserve">Ford, S., &amp; Despeisse, M. (2016). Additive manufacturing and sustainability: An exploratory study of the advantages and challenges. </w:t>
      </w:r>
      <w:r>
        <w:rPr>
          <w:rFonts w:ascii="Times New Roman" w:hAnsi="Times New Roman" w:eastAsia="Times New Roman"/>
          <w:b w:val="0"/>
          <w:i/>
          <w:sz w:val="22"/>
        </w:rPr>
        <w:t>Journal of Cleaner Production, 137</w:t>
      </w:r>
      <w:r>
        <w:rPr>
          <w:rFonts w:ascii="Times New Roman" w:hAnsi="Times New Roman" w:eastAsia="Times New Roman"/>
          <w:b w:val="0"/>
          <w:i w:val="0"/>
          <w:sz w:val="22"/>
        </w:rPr>
        <w:t>, 1573–1587. https://doi.org/10.1016/j.jclepro.2016.04.150</w:t>
      </w:r>
    </w:p>
    <w:p>
      <w:pPr>
        <w:spacing w:after="80"/>
        <w:ind w:left="567" w:hanging="567"/>
        <w:jc w:val="left"/>
      </w:pPr>
      <w:r>
        <w:rPr>
          <w:rFonts w:ascii="Times New Roman" w:hAnsi="Times New Roman" w:eastAsia="Times New Roman"/>
          <w:b w:val="0"/>
          <w:i w:val="0"/>
          <w:sz w:val="22"/>
        </w:rPr>
        <w:t xml:space="preserve">García-Alvarado, R., Soza, P., Moroni, G., Pedreros, F., Avendaño, M., Banda, P., &amp; Berríos, C. (2024). From BIM model to 3D construction printing: A framework proposal. </w:t>
      </w:r>
      <w:r>
        <w:rPr>
          <w:rFonts w:ascii="Times New Roman" w:hAnsi="Times New Roman" w:eastAsia="Times New Roman"/>
          <w:b w:val="0"/>
          <w:i/>
          <w:sz w:val="22"/>
        </w:rPr>
        <w:t>Frontiers of Architectural Research, 13</w:t>
      </w:r>
      <w:r>
        <w:rPr>
          <w:rFonts w:ascii="Times New Roman" w:hAnsi="Times New Roman" w:eastAsia="Times New Roman"/>
          <w:b w:val="0"/>
          <w:i w:val="0"/>
          <w:sz w:val="22"/>
        </w:rPr>
        <w:t>(4), 912–927. https://doi.org/10.1016/j.foar.2024.03.002</w:t>
      </w:r>
    </w:p>
    <w:p>
      <w:pPr>
        <w:spacing w:after="80"/>
        <w:ind w:left="567" w:hanging="567"/>
        <w:jc w:val="left"/>
      </w:pPr>
      <w:r>
        <w:rPr>
          <w:rFonts w:ascii="Times New Roman" w:hAnsi="Times New Roman" w:eastAsia="Times New Roman"/>
          <w:b w:val="0"/>
          <w:i w:val="0"/>
          <w:sz w:val="22"/>
        </w:rPr>
        <w:t xml:space="preserve">Globa, A., Donn, M., &amp; Twose, S. (2012). Digital to physical: Comparative evaluation of three main CNC fabrication technologies adopted for physical modelling in architecture. </w:t>
      </w:r>
      <w:r>
        <w:rPr>
          <w:rFonts w:ascii="Times New Roman" w:hAnsi="Times New Roman" w:eastAsia="Times New Roman"/>
          <w:b w:val="0"/>
          <w:i/>
          <w:sz w:val="22"/>
        </w:rPr>
        <w:t>International Journal of Architectural Computing, 10</w:t>
      </w:r>
      <w:r>
        <w:rPr>
          <w:rFonts w:ascii="Times New Roman" w:hAnsi="Times New Roman" w:eastAsia="Times New Roman"/>
          <w:b w:val="0"/>
          <w:i w:val="0"/>
          <w:sz w:val="22"/>
        </w:rPr>
        <w:t>(4), 461–480. https://doi.org/10.1260/1478-0771.10.4.461</w:t>
      </w:r>
    </w:p>
    <w:p>
      <w:pPr>
        <w:spacing w:after="80"/>
        <w:ind w:left="567" w:hanging="567"/>
        <w:jc w:val="left"/>
      </w:pPr>
      <w:r>
        <w:rPr>
          <w:rFonts w:ascii="Times New Roman" w:hAnsi="Times New Roman" w:eastAsia="Times New Roman"/>
          <w:b w:val="0"/>
          <w:i w:val="0"/>
          <w:sz w:val="22"/>
        </w:rPr>
        <w:t xml:space="preserve">Griffin, C., Hale, J., &amp; Jin, M. (2022). A framework for assessing investment costs of additive manufacturing. </w:t>
      </w:r>
      <w:r>
        <w:rPr>
          <w:rFonts w:ascii="Times New Roman" w:hAnsi="Times New Roman" w:eastAsia="Times New Roman"/>
          <w:b w:val="0"/>
          <w:i/>
          <w:sz w:val="22"/>
        </w:rPr>
        <w:t>Progress in Additive Manufacturing, 7</w:t>
      </w:r>
      <w:r>
        <w:rPr>
          <w:rFonts w:ascii="Times New Roman" w:hAnsi="Times New Roman" w:eastAsia="Times New Roman"/>
          <w:b w:val="0"/>
          <w:i w:val="0"/>
          <w:sz w:val="22"/>
        </w:rPr>
        <w:t>(5), 903–915. https://doi.org/10.1007/s40964-022-00260-3</w:t>
      </w:r>
    </w:p>
    <w:p>
      <w:pPr>
        <w:spacing w:after="80"/>
        <w:ind w:left="567" w:hanging="567"/>
        <w:jc w:val="left"/>
      </w:pPr>
      <w:r>
        <w:rPr>
          <w:rFonts w:ascii="Times New Roman" w:hAnsi="Times New Roman" w:eastAsia="Times New Roman"/>
          <w:b w:val="0"/>
          <w:i w:val="0"/>
          <w:sz w:val="22"/>
        </w:rPr>
        <w:t xml:space="preserve">Hernandez Korner, M. E., Lamban, M. P., Albajez, J. A., Santolaria, J., Ng Corrales, L. C., &amp; Royo, J. (2024). Cost model framework for pieces additively manufactured in fused deposition modeling for low to medium batches. </w:t>
      </w:r>
      <w:r>
        <w:rPr>
          <w:rFonts w:ascii="Times New Roman" w:hAnsi="Times New Roman" w:eastAsia="Times New Roman"/>
          <w:b w:val="0"/>
          <w:i/>
          <w:sz w:val="22"/>
        </w:rPr>
        <w:t>3D Printing and Additive Manufacturing, 11</w:t>
      </w:r>
      <w:r>
        <w:rPr>
          <w:rFonts w:ascii="Times New Roman" w:hAnsi="Times New Roman" w:eastAsia="Times New Roman"/>
          <w:b w:val="0"/>
          <w:i w:val="0"/>
          <w:sz w:val="22"/>
        </w:rPr>
        <w:t>(1), 287–298. https://doi.org/10.1089/3dp.2022.0044</w:t>
      </w:r>
    </w:p>
    <w:p>
      <w:pPr>
        <w:spacing w:after="80"/>
        <w:ind w:left="567" w:hanging="567"/>
        <w:jc w:val="left"/>
      </w:pPr>
      <w:r>
        <w:rPr>
          <w:rFonts w:ascii="Times New Roman" w:hAnsi="Times New Roman" w:eastAsia="Times New Roman"/>
          <w:b w:val="0"/>
          <w:i w:val="0"/>
          <w:sz w:val="22"/>
        </w:rPr>
        <w:t xml:space="preserve">Kadir, A. Z. A., Yusof, Y., &amp; Wahab, M. S. (2020). Additive manufacturing cost estimation models—A classification review. </w:t>
      </w:r>
      <w:r>
        <w:rPr>
          <w:rFonts w:ascii="Times New Roman" w:hAnsi="Times New Roman" w:eastAsia="Times New Roman"/>
          <w:b w:val="0"/>
          <w:i/>
          <w:sz w:val="22"/>
        </w:rPr>
        <w:t>The International Journal of Advanced Manufacturing Technology, 107</w:t>
      </w:r>
      <w:r>
        <w:rPr>
          <w:rFonts w:ascii="Times New Roman" w:hAnsi="Times New Roman" w:eastAsia="Times New Roman"/>
          <w:b w:val="0"/>
          <w:i w:val="0"/>
          <w:sz w:val="22"/>
        </w:rPr>
        <w:t>(9), 4033–4053. https://doi.org/10.1007/s00170-020-05262-5</w:t>
      </w:r>
    </w:p>
    <w:p>
      <w:pPr>
        <w:spacing w:after="80"/>
        <w:ind w:left="567" w:hanging="567"/>
        <w:jc w:val="left"/>
      </w:pPr>
      <w:r>
        <w:rPr>
          <w:rFonts w:ascii="Times New Roman" w:hAnsi="Times New Roman" w:eastAsia="Times New Roman"/>
          <w:b w:val="0"/>
          <w:i w:val="0"/>
          <w:sz w:val="22"/>
        </w:rPr>
        <w:t xml:space="preserve">Li, Y., Molazem, A., Kuo, H.-I., Ahmadi, V., &amp; Shastri, V. P. (2025). Comparative analysis of dimensional accuracy in PLA-based 3D printing: Effects of key printing parameters and related variables. </w:t>
      </w:r>
      <w:r>
        <w:rPr>
          <w:rFonts w:ascii="Times New Roman" w:hAnsi="Times New Roman" w:eastAsia="Times New Roman"/>
          <w:b w:val="0"/>
          <w:i/>
          <w:sz w:val="22"/>
        </w:rPr>
        <w:t>Polymers, 17</w:t>
      </w:r>
      <w:r>
        <w:rPr>
          <w:rFonts w:ascii="Times New Roman" w:hAnsi="Times New Roman" w:eastAsia="Times New Roman"/>
          <w:b w:val="0"/>
          <w:i w:val="0"/>
          <w:sz w:val="22"/>
        </w:rPr>
        <w:t>(12), Article 1698. https://doi.org/10.3390/polym17121698</w:t>
      </w:r>
    </w:p>
    <w:p>
      <w:pPr>
        <w:spacing w:after="80"/>
        <w:ind w:left="567" w:hanging="567"/>
        <w:jc w:val="left"/>
      </w:pPr>
      <w:r>
        <w:rPr>
          <w:rFonts w:ascii="Times New Roman" w:hAnsi="Times New Roman" w:eastAsia="Times New Roman"/>
          <w:b w:val="0"/>
          <w:i w:val="0"/>
          <w:sz w:val="22"/>
        </w:rPr>
        <w:t xml:space="preserve">Liu, Z., Jiang, Q., Ning, F., Kim, H., Cong, W., Xu, C., &amp; Zhang, H.-C. (2018). Investigation of energy requirements and environmental performance for additive manufacturing processes. </w:t>
      </w:r>
      <w:r>
        <w:rPr>
          <w:rFonts w:ascii="Times New Roman" w:hAnsi="Times New Roman" w:eastAsia="Times New Roman"/>
          <w:b w:val="0"/>
          <w:i/>
          <w:sz w:val="22"/>
        </w:rPr>
        <w:t>Sustainability, 10</w:t>
      </w:r>
      <w:r>
        <w:rPr>
          <w:rFonts w:ascii="Times New Roman" w:hAnsi="Times New Roman" w:eastAsia="Times New Roman"/>
          <w:b w:val="0"/>
          <w:i w:val="0"/>
          <w:sz w:val="22"/>
        </w:rPr>
        <w:t>(10), Article 3606. https://doi.org/10.3390/su10103606</w:t>
      </w:r>
    </w:p>
    <w:p>
      <w:pPr>
        <w:spacing w:after="80"/>
        <w:ind w:left="567" w:hanging="567"/>
        <w:jc w:val="left"/>
      </w:pPr>
      <w:r>
        <w:rPr>
          <w:rFonts w:ascii="Times New Roman" w:hAnsi="Times New Roman" w:eastAsia="Times New Roman"/>
          <w:b w:val="0"/>
          <w:i w:val="0"/>
          <w:sz w:val="22"/>
        </w:rPr>
        <w:t xml:space="preserve">Mourad, R., Noori, F., &amp; Abd Yashooa, N. (2025). Evaluating the efficiency of different model-making techniques in the academic architectural design schools. </w:t>
      </w:r>
      <w:r>
        <w:rPr>
          <w:rFonts w:ascii="Times New Roman" w:hAnsi="Times New Roman" w:eastAsia="Times New Roman"/>
          <w:b w:val="0"/>
          <w:i/>
          <w:sz w:val="22"/>
        </w:rPr>
        <w:t>Journal of Design and Built Environment, 25</w:t>
      </w:r>
      <w:r>
        <w:rPr>
          <w:rFonts w:ascii="Times New Roman" w:hAnsi="Times New Roman" w:eastAsia="Times New Roman"/>
          <w:b w:val="0"/>
          <w:i w:val="0"/>
          <w:sz w:val="22"/>
        </w:rPr>
        <w:t>(3), 1–17. https://doi.org/10.22452/jdbe.vol25no3.1</w:t>
      </w:r>
    </w:p>
    <w:p>
      <w:pPr>
        <w:spacing w:after="80"/>
        <w:ind w:left="567" w:hanging="567"/>
        <w:jc w:val="left"/>
      </w:pPr>
      <w:r>
        <w:rPr>
          <w:rFonts w:ascii="Times New Roman" w:hAnsi="Times New Roman" w:eastAsia="Times New Roman"/>
          <w:b w:val="0"/>
          <w:i w:val="0"/>
          <w:sz w:val="22"/>
        </w:rPr>
        <w:t xml:space="preserve">Ngowtanasawan, G. (2017). A causal model of BIM adoption in the Thai architectural and engineering design industry. </w:t>
      </w:r>
      <w:r>
        <w:rPr>
          <w:rFonts w:ascii="Times New Roman" w:hAnsi="Times New Roman" w:eastAsia="Times New Roman"/>
          <w:b w:val="0"/>
          <w:i/>
          <w:sz w:val="22"/>
        </w:rPr>
        <w:t>Procedia Engineering, 180</w:t>
      </w:r>
      <w:r>
        <w:rPr>
          <w:rFonts w:ascii="Times New Roman" w:hAnsi="Times New Roman" w:eastAsia="Times New Roman"/>
          <w:b w:val="0"/>
          <w:i w:val="0"/>
          <w:sz w:val="22"/>
        </w:rPr>
        <w:t>, 793–803. https://doi.org/10.1016/j.proeng.2017.04.240</w:t>
      </w:r>
    </w:p>
    <w:p>
      <w:pPr>
        <w:spacing w:after="80"/>
        <w:ind w:left="567" w:hanging="567"/>
        <w:jc w:val="left"/>
      </w:pPr>
      <w:r>
        <w:rPr>
          <w:rFonts w:ascii="Times New Roman" w:hAnsi="Times New Roman" w:eastAsia="Times New Roman"/>
          <w:b w:val="0"/>
          <w:i w:val="0"/>
          <w:sz w:val="22"/>
        </w:rPr>
        <w:t xml:space="preserve">Ning, X., Liu, T., Wu, C., &amp; Wang, C. (2021). 3D printing in construction: Current status, implementation hindrances, and development agenda. </w:t>
      </w:r>
      <w:r>
        <w:rPr>
          <w:rFonts w:ascii="Times New Roman" w:hAnsi="Times New Roman" w:eastAsia="Times New Roman"/>
          <w:b w:val="0"/>
          <w:i/>
          <w:sz w:val="22"/>
        </w:rPr>
        <w:t>Advances in Civil Engineering, 2021</w:t>
      </w:r>
      <w:r>
        <w:rPr>
          <w:rFonts w:ascii="Times New Roman" w:hAnsi="Times New Roman" w:eastAsia="Times New Roman"/>
          <w:b w:val="0"/>
          <w:i w:val="0"/>
          <w:sz w:val="22"/>
        </w:rPr>
        <w:t>, Article 6665333. https://doi.org/10.1155/2021/6665333</w:t>
      </w:r>
    </w:p>
    <w:p>
      <w:pPr>
        <w:spacing w:after="80"/>
        <w:ind w:left="567" w:hanging="567"/>
        <w:jc w:val="left"/>
      </w:pPr>
      <w:r>
        <w:rPr>
          <w:rFonts w:ascii="Times New Roman" w:hAnsi="Times New Roman" w:eastAsia="Times New Roman"/>
          <w:b w:val="0"/>
          <w:i w:val="0"/>
          <w:sz w:val="22"/>
        </w:rPr>
        <w:t xml:space="preserve">Özeren, Ö., Özeren, E. B., Top, S. M., &amp; Qurraie, B. S. (2023). Learning-by-doing using 3D printers: Digital fabrication studio experience in architectural education. </w:t>
      </w:r>
      <w:r>
        <w:rPr>
          <w:rFonts w:ascii="Times New Roman" w:hAnsi="Times New Roman" w:eastAsia="Times New Roman"/>
          <w:b w:val="0"/>
          <w:i/>
          <w:sz w:val="22"/>
        </w:rPr>
        <w:t>Journal of Engineering Research, 11</w:t>
      </w:r>
      <w:r>
        <w:rPr>
          <w:rFonts w:ascii="Times New Roman" w:hAnsi="Times New Roman" w:eastAsia="Times New Roman"/>
          <w:b w:val="0"/>
          <w:i w:val="0"/>
          <w:sz w:val="22"/>
        </w:rPr>
        <w:t>(3), Article 100135. https://doi.org/10.1016/j.jer.2023.100135</w:t>
      </w:r>
    </w:p>
    <w:p>
      <w:pPr>
        <w:spacing w:after="80"/>
        <w:ind w:left="567" w:hanging="567"/>
        <w:jc w:val="left"/>
      </w:pPr>
      <w:r>
        <w:rPr>
          <w:rFonts w:ascii="Times New Roman" w:hAnsi="Times New Roman" w:eastAsia="Times New Roman"/>
          <w:b w:val="0"/>
          <w:i w:val="0"/>
          <w:sz w:val="22"/>
        </w:rPr>
        <w:t xml:space="preserve">Paolini, A., Kollmannsberger, S., &amp; Rank, E. (2019). Additive manufacturing in construction: A review on processes, applications, and digital planning methods. </w:t>
      </w:r>
      <w:r>
        <w:rPr>
          <w:rFonts w:ascii="Times New Roman" w:hAnsi="Times New Roman" w:eastAsia="Times New Roman"/>
          <w:b w:val="0"/>
          <w:i/>
          <w:sz w:val="22"/>
        </w:rPr>
        <w:t>Additive Manufacturing, 30</w:t>
      </w:r>
      <w:r>
        <w:rPr>
          <w:rFonts w:ascii="Times New Roman" w:hAnsi="Times New Roman" w:eastAsia="Times New Roman"/>
          <w:b w:val="0"/>
          <w:i w:val="0"/>
          <w:sz w:val="22"/>
        </w:rPr>
        <w:t>, Article 100894. https://doi.org/10.1016/j.addma.2019.100894</w:t>
      </w:r>
    </w:p>
    <w:p>
      <w:pPr>
        <w:spacing w:after="80"/>
        <w:ind w:left="567" w:hanging="567"/>
        <w:jc w:val="left"/>
      </w:pPr>
      <w:r>
        <w:rPr>
          <w:rFonts w:ascii="Times New Roman" w:hAnsi="Times New Roman" w:eastAsia="Times New Roman"/>
          <w:b w:val="0"/>
          <w:i w:val="0"/>
          <w:sz w:val="22"/>
        </w:rPr>
        <w:t xml:space="preserve">Petersen, E. E., &amp; Pearce, J. (2017). Emergence of home manufacturing in the developed world: Return on investment for open-source 3-D printers. </w:t>
      </w:r>
      <w:r>
        <w:rPr>
          <w:rFonts w:ascii="Times New Roman" w:hAnsi="Times New Roman" w:eastAsia="Times New Roman"/>
          <w:b w:val="0"/>
          <w:i/>
          <w:sz w:val="22"/>
        </w:rPr>
        <w:t>Technologies, 5</w:t>
      </w:r>
      <w:r>
        <w:rPr>
          <w:rFonts w:ascii="Times New Roman" w:hAnsi="Times New Roman" w:eastAsia="Times New Roman"/>
          <w:b w:val="0"/>
          <w:i w:val="0"/>
          <w:sz w:val="22"/>
        </w:rPr>
        <w:t>(1), Article 7. https://doi.org/10.3390/technologies5010007</w:t>
      </w:r>
    </w:p>
    <w:p>
      <w:pPr>
        <w:spacing w:after="80"/>
        <w:ind w:left="567" w:hanging="567"/>
        <w:jc w:val="left"/>
      </w:pPr>
      <w:r>
        <w:rPr>
          <w:rFonts w:ascii="Times New Roman" w:hAnsi="Times New Roman" w:eastAsia="Times New Roman"/>
          <w:b w:val="0"/>
          <w:i w:val="0"/>
          <w:sz w:val="22"/>
        </w:rPr>
        <w:t xml:space="preserve">Petruse, R. E., Simion, C., &amp; Bondrea, I. (2024). Geometrical and dimensional deviations of fused deposition modelling (FDM) additive-manufactured parts. </w:t>
      </w:r>
      <w:r>
        <w:rPr>
          <w:rFonts w:ascii="Times New Roman" w:hAnsi="Times New Roman" w:eastAsia="Times New Roman"/>
          <w:b w:val="0"/>
          <w:i/>
          <w:sz w:val="22"/>
        </w:rPr>
        <w:t>Metrology, 4</w:t>
      </w:r>
      <w:r>
        <w:rPr>
          <w:rFonts w:ascii="Times New Roman" w:hAnsi="Times New Roman" w:eastAsia="Times New Roman"/>
          <w:b w:val="0"/>
          <w:i w:val="0"/>
          <w:sz w:val="22"/>
        </w:rPr>
        <w:t>(3), Article 25. https://doi.org/10.3390/metrology4030025</w:t>
      </w:r>
    </w:p>
    <w:p>
      <w:pPr>
        <w:spacing w:after="80"/>
        <w:ind w:left="567" w:hanging="567"/>
        <w:jc w:val="left"/>
      </w:pPr>
      <w:r>
        <w:rPr>
          <w:rFonts w:ascii="Times New Roman" w:hAnsi="Times New Roman" w:eastAsia="Times New Roman"/>
          <w:b w:val="0"/>
          <w:i w:val="0"/>
          <w:sz w:val="22"/>
        </w:rPr>
        <w:t xml:space="preserve">Schuldt, S. J., Jagoda, J. A., Hoisington, A. J., &amp; Delorit, J. D. (2021). A systematic review and analysis of the viability of 3D-printed construction in remote environments. </w:t>
      </w:r>
      <w:r>
        <w:rPr>
          <w:rFonts w:ascii="Times New Roman" w:hAnsi="Times New Roman" w:eastAsia="Times New Roman"/>
          <w:b w:val="0"/>
          <w:i/>
          <w:sz w:val="22"/>
        </w:rPr>
        <w:t>Automation in Construction, 125</w:t>
      </w:r>
      <w:r>
        <w:rPr>
          <w:rFonts w:ascii="Times New Roman" w:hAnsi="Times New Roman" w:eastAsia="Times New Roman"/>
          <w:b w:val="0"/>
          <w:i w:val="0"/>
          <w:sz w:val="22"/>
        </w:rPr>
        <w:t>, Article 103642. https://doi.org/10.1016/j.autcon.2021.103642</w:t>
      </w:r>
    </w:p>
    <w:p>
      <w:pPr>
        <w:spacing w:after="80"/>
        <w:ind w:left="567" w:hanging="567"/>
        <w:jc w:val="left"/>
      </w:pPr>
      <w:r>
        <w:rPr>
          <w:rFonts w:ascii="Times New Roman" w:hAnsi="Times New Roman" w:eastAsia="Times New Roman"/>
          <w:b w:val="0"/>
          <w:i w:val="0"/>
          <w:sz w:val="22"/>
        </w:rPr>
        <w:t xml:space="preserve">Seregi, B. L., &amp; Ficzere, P. (2025). Refined cost calculation framework for FDM parts. </w:t>
      </w:r>
      <w:r>
        <w:rPr>
          <w:rFonts w:ascii="Times New Roman" w:hAnsi="Times New Roman" w:eastAsia="Times New Roman"/>
          <w:b w:val="0"/>
          <w:i/>
          <w:sz w:val="22"/>
        </w:rPr>
        <w:t>Journal of Manufacturing and Materials Processing, 9</w:t>
      </w:r>
      <w:r>
        <w:rPr>
          <w:rFonts w:ascii="Times New Roman" w:hAnsi="Times New Roman" w:eastAsia="Times New Roman"/>
          <w:b w:val="0"/>
          <w:i w:val="0"/>
          <w:sz w:val="22"/>
        </w:rPr>
        <w:t>(9), Article 321. https://doi.org/10.3390/jmmp9090321</w:t>
      </w:r>
    </w:p>
    <w:p>
      <w:pPr>
        <w:spacing w:after="80"/>
        <w:ind w:left="567" w:hanging="567"/>
        <w:jc w:val="left"/>
      </w:pPr>
      <w:r>
        <w:rPr>
          <w:rFonts w:ascii="Times New Roman" w:hAnsi="Times New Roman" w:eastAsia="Times New Roman"/>
          <w:b w:val="0"/>
          <w:i w:val="0"/>
          <w:sz w:val="22"/>
        </w:rPr>
        <w:t xml:space="preserve">Sierra, F., &amp; Rodboonpha, C. (2023). Building information modelling implementation models in Thailand: Drivers, benefits, barriers, and lessons learned. </w:t>
      </w:r>
      <w:r>
        <w:rPr>
          <w:rFonts w:ascii="Times New Roman" w:hAnsi="Times New Roman" w:eastAsia="Times New Roman"/>
          <w:b w:val="0"/>
          <w:i/>
          <w:sz w:val="22"/>
        </w:rPr>
        <w:t>Journal of Construction in Developing Countries, 28</w:t>
      </w:r>
      <w:r>
        <w:rPr>
          <w:rFonts w:ascii="Times New Roman" w:hAnsi="Times New Roman" w:eastAsia="Times New Roman"/>
          <w:b w:val="0"/>
          <w:i w:val="0"/>
          <w:sz w:val="22"/>
        </w:rPr>
        <w:t>(2), 37–55. https://doi.org/10.21315/jcdc-05-22-0091</w:t>
      </w:r>
    </w:p>
    <w:p>
      <w:pPr>
        <w:spacing w:after="80"/>
        <w:ind w:left="567" w:hanging="567"/>
        <w:jc w:val="left"/>
      </w:pPr>
      <w:r>
        <w:rPr>
          <w:rFonts w:ascii="Times New Roman" w:hAnsi="Times New Roman" w:eastAsia="Times New Roman"/>
          <w:b w:val="0"/>
          <w:i w:val="0"/>
          <w:sz w:val="22"/>
        </w:rPr>
        <w:t xml:space="preserve">Tapan, A., et al. (2020). </w:t>
      </w:r>
      <w:r>
        <w:rPr>
          <w:rFonts w:ascii="Times New Roman" w:hAnsi="Times New Roman" w:eastAsia="Times New Roman"/>
          <w:b w:val="0"/>
          <w:i/>
          <w:sz w:val="22"/>
        </w:rPr>
        <w:t>Increasing value using BIM and 3D printing in the design and construction process</w:t>
      </w:r>
      <w:r>
        <w:rPr>
          <w:rFonts w:ascii="Times New Roman" w:hAnsi="Times New Roman" w:eastAsia="Times New Roman"/>
          <w:b w:val="0"/>
          <w:i w:val="0"/>
          <w:sz w:val="22"/>
        </w:rPr>
        <w:t xml:space="preserve"> (Paper CEM06) [Conference paper, in Thai]. The 25th National Convention on Civil Engineering (NCCE25), Thailand. </w:t>
      </w:r>
      <w:r>
        <w:rPr>
          <w:rFonts w:ascii="Times New Roman" w:hAnsi="Times New Roman" w:eastAsia="Times New Roman"/>
          <w:b w:val="0"/>
          <w:i w:val="0"/>
          <w:sz w:val="22"/>
          <w:highlight w:val="yellow"/>
        </w:rPr>
        <w:t>[Complete author list, proceedings details and URL from the conference site before submission]</w:t>
      </w:r>
    </w:p>
    <w:p>
      <w:pPr>
        <w:spacing w:after="80"/>
        <w:ind w:left="567" w:hanging="567"/>
        <w:jc w:val="left"/>
      </w:pPr>
      <w:r>
        <w:rPr>
          <w:rFonts w:ascii="Times New Roman" w:hAnsi="Times New Roman" w:eastAsia="Times New Roman"/>
          <w:b w:val="0"/>
          <w:i w:val="0"/>
          <w:sz w:val="22"/>
        </w:rPr>
        <w:t xml:space="preserve">Tay, Y. W. D., Panda, B., Paul, S. C., Noor Mohamed, N. A., Tan, M. J., &amp; Leong, K. F. (2017). 3D printing trends in building and construction industry: A review. </w:t>
      </w:r>
      <w:r>
        <w:rPr>
          <w:rFonts w:ascii="Times New Roman" w:hAnsi="Times New Roman" w:eastAsia="Times New Roman"/>
          <w:b w:val="0"/>
          <w:i/>
          <w:sz w:val="22"/>
        </w:rPr>
        <w:t>Virtual and Physical Prototyping, 12</w:t>
      </w:r>
      <w:r>
        <w:rPr>
          <w:rFonts w:ascii="Times New Roman" w:hAnsi="Times New Roman" w:eastAsia="Times New Roman"/>
          <w:b w:val="0"/>
          <w:i w:val="0"/>
          <w:sz w:val="22"/>
        </w:rPr>
        <w:t>(3), 261–276. https://doi.org/10.1080/17452759.2017.1326724</w:t>
      </w:r>
    </w:p>
    <w:p>
      <w:pPr>
        <w:spacing w:after="80"/>
        <w:ind w:left="567" w:hanging="567"/>
        <w:jc w:val="left"/>
      </w:pPr>
      <w:r>
        <w:rPr>
          <w:rFonts w:ascii="Times New Roman" w:hAnsi="Times New Roman" w:eastAsia="Times New Roman"/>
          <w:b w:val="0"/>
          <w:i w:val="0"/>
          <w:sz w:val="22"/>
        </w:rPr>
        <w:t xml:space="preserve">Teizer, J., Blickle, A., King, T., Leitzbach, O., Guenther, D., Mattern, H., &amp; König, M. (2018). BIM for 3D printing in construction. In A. Borrmann et al. (Eds.), </w:t>
      </w:r>
      <w:r>
        <w:rPr>
          <w:rFonts w:ascii="Times New Roman" w:hAnsi="Times New Roman" w:eastAsia="Times New Roman"/>
          <w:b w:val="0"/>
          <w:i/>
          <w:sz w:val="22"/>
        </w:rPr>
        <w:t>Building information modeling</w:t>
      </w:r>
      <w:r>
        <w:rPr>
          <w:rFonts w:ascii="Times New Roman" w:hAnsi="Times New Roman" w:eastAsia="Times New Roman"/>
          <w:b w:val="0"/>
          <w:i w:val="0"/>
          <w:sz w:val="22"/>
        </w:rPr>
        <w:t xml:space="preserve"> (pp. 421–446). Springer. https://doi.org/10.1007/978-3-319-92862-3_26 </w:t>
      </w:r>
      <w:r>
        <w:rPr>
          <w:rFonts w:ascii="Times New Roman" w:hAnsi="Times New Roman" w:eastAsia="Times New Roman"/>
          <w:b w:val="0"/>
          <w:i w:val="0"/>
          <w:sz w:val="22"/>
          <w:highlight w:val="yellow"/>
        </w:rPr>
        <w:t>[Expand editor list from the publisher page]</w:t>
      </w:r>
    </w:p>
    <w:p>
      <w:pPr>
        <w:spacing w:after="80"/>
        <w:ind w:left="567" w:hanging="567"/>
        <w:jc w:val="left"/>
      </w:pPr>
      <w:r>
        <w:rPr>
          <w:rFonts w:ascii="Times New Roman" w:hAnsi="Times New Roman" w:eastAsia="Times New Roman"/>
          <w:b w:val="0"/>
          <w:i w:val="0"/>
          <w:sz w:val="22"/>
        </w:rPr>
        <w:t xml:space="preserve">Tuvayanond, W., &amp; Prasittisopin, L. (2023). Design for manufacture and assembly of digital fabrication and additive manufacturing in construction: A review. </w:t>
      </w:r>
      <w:r>
        <w:rPr>
          <w:rFonts w:ascii="Times New Roman" w:hAnsi="Times New Roman" w:eastAsia="Times New Roman"/>
          <w:b w:val="0"/>
          <w:i/>
          <w:sz w:val="22"/>
        </w:rPr>
        <w:t>Buildings, 13</w:t>
      </w:r>
      <w:r>
        <w:rPr>
          <w:rFonts w:ascii="Times New Roman" w:hAnsi="Times New Roman" w:eastAsia="Times New Roman"/>
          <w:b w:val="0"/>
          <w:i w:val="0"/>
          <w:sz w:val="22"/>
        </w:rPr>
        <w:t>(2), Article 429. https://doi.org/10.3390/buildings13020429</w:t>
      </w:r>
    </w:p>
    <w:p>
      <w:pPr>
        <w:spacing w:after="80"/>
        <w:ind w:left="567" w:hanging="567"/>
        <w:jc w:val="left"/>
      </w:pPr>
      <w:r>
        <w:rPr>
          <w:rFonts w:ascii="Times New Roman" w:hAnsi="Times New Roman" w:eastAsia="Times New Roman"/>
          <w:b w:val="0"/>
          <w:i w:val="0"/>
          <w:sz w:val="22"/>
        </w:rPr>
        <w:t>Wages Committee. (2023). Notification of the Wages Committee re: Wage rate according to skill standards (No. 13), dated 29 September 2023 [Official notification, in Thai]. Ministry of Labour, Thailand. [Royal Gazette citation and URL to be added from the primary source before submission]</w:t>
      </w:r>
    </w:p>
    <w:p>
      <w:pPr>
        <w:spacing w:after="80"/>
        <w:ind w:left="567" w:hanging="567"/>
        <w:jc w:val="left"/>
      </w:pPr>
      <w:r>
        <w:rPr>
          <w:rFonts w:ascii="Times New Roman" w:hAnsi="Times New Roman" w:eastAsia="Times New Roman"/>
          <w:b w:val="0"/>
          <w:i w:val="0"/>
          <w:sz w:val="22"/>
        </w:rPr>
        <w:t>Wages Committee. (2026). [Notification on the minimum wage rates in force in 2026] [Official notification, in Thai]. Ministry of Labour, Thailand. [Notification number, Royal Gazette citation, effective date and URL to be added from the primary source before submission]</w:t>
      </w:r>
    </w:p>
    <w:p>
      <w:pPr>
        <w:spacing w:after="80"/>
        <w:ind w:left="567" w:hanging="567"/>
        <w:jc w:val="left"/>
      </w:pPr>
      <w:r>
        <w:rPr>
          <w:rFonts w:ascii="Times New Roman" w:hAnsi="Times New Roman" w:eastAsia="Times New Roman"/>
          <w:b w:val="0"/>
          <w:i w:val="0"/>
          <w:sz w:val="22"/>
        </w:rPr>
        <w:t xml:space="preserve">Wang, K.-C., &amp; Skibniewski, M. J. (2019). Feasibility study of integrating BIM and 3D printing to support building construction. In </w:t>
      </w:r>
      <w:r>
        <w:rPr>
          <w:rFonts w:ascii="Times New Roman" w:hAnsi="Times New Roman" w:eastAsia="Times New Roman"/>
          <w:b w:val="0"/>
          <w:i/>
          <w:sz w:val="22"/>
        </w:rPr>
        <w:t>Proceedings of the Creative Construction Conference 2019</w:t>
      </w:r>
      <w:r>
        <w:rPr>
          <w:rFonts w:ascii="Times New Roman" w:hAnsi="Times New Roman" w:eastAsia="Times New Roman"/>
          <w:b w:val="0"/>
          <w:i w:val="0"/>
          <w:sz w:val="22"/>
        </w:rPr>
        <w:t xml:space="preserve"> (pp. 845–850). Budapest University of Technology and Economics. https://doi.org/10.3311/ccc2019-116</w:t>
      </w:r>
    </w:p>
    <w:p>
      <w:pPr>
        <w:spacing w:after="80"/>
        <w:ind w:left="567" w:hanging="567"/>
        <w:jc w:val="left"/>
      </w:pPr>
      <w:r>
        <w:rPr>
          <w:rFonts w:ascii="Times New Roman" w:hAnsi="Times New Roman" w:eastAsia="Times New Roman"/>
          <w:b w:val="0"/>
          <w:i w:val="0"/>
          <w:sz w:val="22"/>
        </w:rPr>
        <w:t xml:space="preserve">Wittbrodt, B. T., Glover, A. G., Laureto, J., Anzalone, G. C., Oppliger, D., Irwin, J. L., &amp; Pearce, J. M. (2013). Life-cycle economic analysis of distributed manufacturing with open-source 3-D printers. </w:t>
      </w:r>
      <w:r>
        <w:rPr>
          <w:rFonts w:ascii="Times New Roman" w:hAnsi="Times New Roman" w:eastAsia="Times New Roman"/>
          <w:b w:val="0"/>
          <w:i/>
          <w:sz w:val="22"/>
        </w:rPr>
        <w:t>Mechatronics, 23</w:t>
      </w:r>
      <w:r>
        <w:rPr>
          <w:rFonts w:ascii="Times New Roman" w:hAnsi="Times New Roman" w:eastAsia="Times New Roman"/>
          <w:b w:val="0"/>
          <w:i w:val="0"/>
          <w:sz w:val="22"/>
        </w:rPr>
        <w:t>(6), 713–726. https://doi.org/10.1016/j.mechatronics.2013.06.002</w:t>
      </w:r>
    </w:p>
    <w:p>
      <w:pPr>
        <w:spacing w:after="80"/>
        <w:ind w:left="567" w:hanging="567"/>
        <w:jc w:val="left"/>
      </w:pPr>
      <w:r>
        <w:rPr>
          <w:rFonts w:ascii="Times New Roman" w:hAnsi="Times New Roman" w:eastAsia="Times New Roman"/>
          <w:b w:val="0"/>
          <w:i w:val="0"/>
          <w:sz w:val="22"/>
        </w:rPr>
        <w:t xml:space="preserve">Žujović, M., Obradović, R., Rakonjac, I., &amp; Milošević, J. (2022). 3D printing technologies in architectural design and construction: A systematic literature review. </w:t>
      </w:r>
      <w:r>
        <w:rPr>
          <w:rFonts w:ascii="Times New Roman" w:hAnsi="Times New Roman" w:eastAsia="Times New Roman"/>
          <w:b w:val="0"/>
          <w:i/>
          <w:sz w:val="22"/>
        </w:rPr>
        <w:t>Buildings, 12</w:t>
      </w:r>
      <w:r>
        <w:rPr>
          <w:rFonts w:ascii="Times New Roman" w:hAnsi="Times New Roman" w:eastAsia="Times New Roman"/>
          <w:b w:val="0"/>
          <w:i w:val="0"/>
          <w:sz w:val="22"/>
        </w:rPr>
        <w:t>(9), Article 1319. https://doi.org/10.3390/buildings12091319</w:t>
      </w:r>
    </w:p>
    <w:sectPr w:rsidR="00FC693F" w:rsidRPr="0006063C" w:rsidSect="00034616">
      <w:footerReference w:type="default" r:id="rId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 Id="rId11" Type="http://schemas.openxmlformats.org/officeDocument/2006/relationships/image" Target="media/image2.jpg"/><Relationship Id="rId12" Type="http://schemas.openxmlformats.org/officeDocument/2006/relationships/image" Target="media/image3.jpg"/><Relationship Id="rId13" Type="http://schemas.openxmlformats.org/officeDocument/2006/relationships/image" Target="media/image4.jpg"/><Relationship Id="rId14" Type="http://schemas.openxmlformats.org/officeDocument/2006/relationships/image" Target="media/image5.jpg"/><Relationship Id="rId15" Type="http://schemas.openxmlformats.org/officeDocument/2006/relationships/image" Target="media/image6.jpg"/><Relationship Id="rId16"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Cost and Time Comparison of a BIM-to-FDM Printing Workflow and Manual Fabrication of a 1:60 Architectural Model of a Two-Storey House</dc:title>
  <dc:subject/>
  <dc:creator>Authors</dc:creator>
  <cp:keywords/>
  <dc:description/>
  <cp:lastModifiedBy/>
  <cp:revision>1</cp:revision>
  <dcterms:created xsi:type="dcterms:W3CDTF">2013-12-23T23:15:00Z</dcterms:created>
  <dcterms:modified xsi:type="dcterms:W3CDTF">2013-12-23T23:15:00Z</dcterms:modified>
  <cp:category/>
</cp:coreProperties>
</file>