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ToothGrowth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Pier</w:t>
      </w:r>
      <w:r>
        <w:t xml:space="preserve"> </w:t>
      </w:r>
      <w:r>
        <w:t xml:space="preserve">Lorenzo</w:t>
      </w:r>
      <w:r>
        <w:t xml:space="preserve"> </w:t>
      </w:r>
      <w:r>
        <w:t xml:space="preserve">Paracchini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r>
        <w:t xml:space="preserve">The goal is to analyze the ToothGrowth data in the R datasets package, performing some exploratory analysis, and then use confidence intervals and/or hypothesis tests to compare tooth growth by</w:t>
      </w:r>
      <w:r>
        <w:t xml:space="preserve"> </w:t>
      </w:r>
      <w:r>
        <w:rPr>
          <w:rStyle w:val="VerbatimChar"/>
        </w:rPr>
        <w:t xml:space="preserve">supp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dose</w:t>
      </w:r>
      <w:r>
        <w:t xml:space="preserve">.</w:t>
      </w:r>
    </w:p>
    <w:p>
      <w:r>
        <w:t xml:space="preserve">Description of the data from the documentation</w:t>
      </w:r>
      <w:r>
        <w:t xml:space="preserve"> </w:t>
      </w:r>
      <w:r>
        <w:rPr>
          <w:i/>
        </w:rPr>
        <w:t xml:space="preserve">"The response is the length of odontoblasts (teeth) in each of 10 guinea pigs at each of three dose levels of Vitamin C (0.5, 1, and 2 mg) with each of two delivery methods (orange juice or ascorbic acid)."</w:t>
      </w:r>
    </w:p>
    <w:p>
      <w:pPr>
        <w:pStyle w:val="Heading2"/>
      </w:pPr>
      <w:bookmarkStart w:id="22" w:name="getting-and-exploring-the-data"/>
      <w:bookmarkEnd w:id="22"/>
      <w:r>
        <w:t xml:space="preserve">Getting and Exploring the data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r>
        <w:t xml:space="preserve">The rawdata includes 60 obs. of 3 features. Features are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the tooth length (</w:t>
      </w:r>
      <w:r>
        <w:rPr>
          <w:rStyle w:val="VerbatimChar"/>
        </w:rPr>
        <w:t xml:space="preserve">numeric</w:t>
      </w:r>
      <w:r>
        <w:t xml:space="preserve">),</w:t>
      </w:r>
      <w:r>
        <w:t xml:space="preserve"> </w:t>
      </w:r>
      <w:r>
        <w:rPr>
          <w:rStyle w:val="VerbatimChar"/>
        </w:rPr>
        <w:t xml:space="preserve">supp</w:t>
      </w:r>
      <w:r>
        <w:t xml:space="preserve"> </w:t>
      </w:r>
      <w:r>
        <w:t xml:space="preserve">the supplement type (</w:t>
      </w:r>
      <w:r>
        <w:rPr>
          <w:rStyle w:val="VerbatimChar"/>
        </w:rPr>
        <w:t xml:space="preserve">factor</w:t>
      </w:r>
      <w:r>
        <w:t xml:space="preserve">) and finally</w:t>
      </w:r>
      <w:r>
        <w:t xml:space="preserve"> </w:t>
      </w:r>
      <w:r>
        <w:rPr>
          <w:rStyle w:val="VerbatimChar"/>
        </w:rPr>
        <w:t xml:space="preserve">dose</w:t>
      </w:r>
      <w:r>
        <w:t xml:space="preserve">, the dose in milligrams (</w:t>
      </w:r>
      <w:r>
        <w:rPr>
          <w:rStyle w:val="VerbatimChar"/>
        </w:rPr>
        <w:t xml:space="preserve">numeric</w:t>
      </w:r>
      <w:r>
        <w:t xml:space="preserve">). There are 6 possible groups by</w:t>
      </w:r>
      <w:r>
        <w:t xml:space="preserve"> </w:t>
      </w:r>
      <w:r>
        <w:rPr>
          <w:rStyle w:val="VerbatimChar"/>
        </w:rPr>
        <w:t xml:space="preserve">supp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(see the plot below). For each supplement</w:t>
      </w:r>
      <w:r>
        <w:t xml:space="preserve"> </w:t>
      </w:r>
      <w:r>
        <w:rPr>
          <w:rStyle w:val="VerbatimChar"/>
        </w:rPr>
        <w:t xml:space="preserve">supp</w:t>
      </w:r>
      <w:r>
        <w:t xml:space="preserve"> </w:t>
      </w:r>
      <w:r>
        <w:t xml:space="preserve">("OJ" and "VC"), there are three different groups based on the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values - 0.5mg, 1mg, 2mg.</w:t>
      </w:r>
    </w:p>
    <w:p>
      <w:r>
        <w:t xml:space="preserve">Here some basic statics about the sample tooth length for each group.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of 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 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"OJ"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13.23</w:t>
            </w:r>
          </w:p>
        </w:tc>
        <w:tc>
          <w:p>
            <w:pPr>
              <w:pStyle w:val="Compact"/>
              <w:jc w:val="left"/>
            </w:pPr>
            <w:r>
              <w:t xml:space="preserve">4.46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"OJ"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3.911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"OJ"</w:t>
            </w:r>
          </w:p>
        </w:tc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26.06</w:t>
            </w:r>
          </w:p>
        </w:tc>
        <w:tc>
          <w:p>
            <w:pPr>
              <w:pStyle w:val="Compact"/>
              <w:jc w:val="left"/>
            </w:pPr>
            <w:r>
              <w:t xml:space="preserve">2.655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"VC"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7.98</w:t>
            </w:r>
          </w:p>
        </w:tc>
        <w:tc>
          <w:p>
            <w:pPr>
              <w:pStyle w:val="Compact"/>
              <w:jc w:val="left"/>
            </w:pPr>
            <w:r>
              <w:t xml:space="preserve">2.747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"VC"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16.77</w:t>
            </w:r>
          </w:p>
        </w:tc>
        <w:tc>
          <w:p>
            <w:pPr>
              <w:pStyle w:val="Compact"/>
              <w:jc w:val="left"/>
            </w:pPr>
            <w:r>
              <w:t xml:space="preserve">2.515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"VC"</w:t>
            </w:r>
          </w:p>
        </w:tc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26.14</w:t>
            </w:r>
          </w:p>
        </w:tc>
        <w:tc>
          <w:p>
            <w:pPr>
              <w:pStyle w:val="Compact"/>
              <w:jc w:val="left"/>
            </w:pPr>
            <w:r>
              <w:t xml:space="preserve">4.798</w:t>
            </w:r>
          </w:p>
        </w:tc>
      </w:tr>
    </w:tbl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onfidence-intervals-hypothesis-testing"/>
      <w:bookmarkEnd w:id="24"/>
      <w:r>
        <w:t xml:space="preserve">Confidence Intervals &amp; Hypothesis Testing</w:t>
      </w:r>
    </w:p>
    <w:p>
      <w:pPr>
        <w:pStyle w:val="Heading3"/>
      </w:pPr>
      <w:bookmarkStart w:id="25" w:name="basic-assumptions"/>
      <w:bookmarkEnd w:id="25"/>
      <w:r>
        <w:t xml:space="preserve">Basic Assumptions</w:t>
      </w:r>
    </w:p>
    <w:p>
      <w:r>
        <w:t xml:space="preserve">Having</w:t>
      </w:r>
      <w:r>
        <w:t xml:space="preserve"> </w:t>
      </w:r>
      <w:r>
        <w:rPr>
          <w:b/>
        </w:rPr>
        <w:t xml:space="preserve">each group has a limited number of sample (10 sample)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  <w:b/>
        </w:rPr>
        <w:t xml:space="preserve">t distribution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t confidence intervals</w:t>
      </w:r>
      <w:r>
        <w:t xml:space="preserve"> </w:t>
      </w:r>
      <w:r>
        <w:t xml:space="preserve">are going to be used. Being the guinea pigs used for each measurement distinct from each other within a group and between the groups then the</w:t>
      </w:r>
      <w:r>
        <w:t xml:space="preserve"> </w:t>
      </w:r>
      <w:r>
        <w:rPr>
          <w:b/>
        </w:rPr>
        <w:t xml:space="preserve">groups can be considered independent from each other</w:t>
      </w:r>
      <w:r>
        <w:t xml:space="preserve"> </w:t>
      </w:r>
      <w:r>
        <w:t xml:space="preserve">and each guinea pig can be considered</w:t>
      </w:r>
      <w:r>
        <w:t xml:space="preserve"> </w:t>
      </w:r>
      <w:r>
        <w:rPr>
          <w:b/>
        </w:rPr>
        <w:t xml:space="preserve">iid</w:t>
      </w:r>
      <w:r>
        <w:t xml:space="preserve">. Finally looking at the</w:t>
      </w:r>
      <w:r>
        <w:t xml:space="preserve"> </w:t>
      </w:r>
      <w:r>
        <w:rPr>
          <w:b/>
        </w:rPr>
        <w:t xml:space="preserve">sample standard deviation</w:t>
      </w:r>
      <w:r>
        <w:t xml:space="preserve"> </w:t>
      </w:r>
      <w:r>
        <w:t xml:space="preserve">for the different groups the assumption can be made to consider the</w:t>
      </w:r>
      <w:r>
        <w:t xml:space="preserve"> </w:t>
      </w:r>
      <w:r>
        <w:rPr>
          <w:b/>
        </w:rPr>
        <w:t xml:space="preserve">diffent variances as equals</w:t>
      </w:r>
      <w:r>
        <w:t xml:space="preserve">.</w:t>
      </w:r>
    </w:p>
    <w:p>
      <w:pPr>
        <w:pStyle w:val="Heading3"/>
      </w:pPr>
      <w:bookmarkStart w:id="26" w:name="independent-group-t-confidence-intervals"/>
      <w:bookmarkEnd w:id="26"/>
      <w:r>
        <w:t xml:space="preserve">Independent group t confidence intervals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 confidence interval (g1, g2)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1.0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0.5</w:t>
            </w:r>
          </w:p>
        </w:tc>
        <w:tc>
          <w:p>
            <w:pPr>
              <w:pStyle w:val="Compact"/>
              <w:jc w:val="left"/>
            </w:pPr>
            <w:r>
              <w:t xml:space="preserve">5.5291857, 13.4108143</w:t>
            </w:r>
            <w:r>
              <w:t xml:space="preserve"> </w:t>
            </w:r>
            <w:r>
              <w:rPr>
                <w:b/>
              </w:rPr>
              <w:t xml:space="preserve">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2.0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1.0</w:t>
            </w:r>
          </w:p>
        </w:tc>
        <w:tc>
          <w:p>
            <w:pPr>
              <w:pStyle w:val="Compact"/>
              <w:jc w:val="left"/>
            </w:pPr>
            <w:r>
              <w:t xml:space="preserve">0.2194983, 6.5005017</w:t>
            </w:r>
            <w:r>
              <w:t xml:space="preserve"> </w:t>
            </w:r>
            <w:r>
              <w:rPr>
                <w:b/>
              </w:rPr>
              <w:t xml:space="preserve">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1.0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0.5</w:t>
            </w:r>
          </w:p>
        </w:tc>
        <w:tc>
          <w:p>
            <w:pPr>
              <w:pStyle w:val="Compact"/>
              <w:jc w:val="left"/>
            </w:pPr>
            <w:r>
              <w:t xml:space="preserve">6.3156545, 11.2643455</w:t>
            </w:r>
            <w:r>
              <w:t xml:space="preserve"> </w:t>
            </w:r>
            <w:r>
              <w:rPr>
                <w:b/>
              </w:rPr>
              <w:t xml:space="preserve">(3)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2.0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1.0</w:t>
            </w:r>
          </w:p>
        </w:tc>
        <w:tc>
          <w:p>
            <w:pPr>
              <w:pStyle w:val="Compact"/>
              <w:jc w:val="left"/>
            </w:pPr>
            <w:r>
              <w:t xml:space="preserve">5.7710402, 12.9689598</w:t>
            </w:r>
            <w:r>
              <w:t xml:space="preserve"> </w:t>
            </w:r>
            <w:r>
              <w:rPr>
                <w:b/>
              </w:rPr>
              <w:t xml:space="preserve">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all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all</w:t>
            </w:r>
          </w:p>
        </w:tc>
        <w:tc>
          <w:p>
            <w:pPr>
              <w:pStyle w:val="Compact"/>
              <w:jc w:val="left"/>
            </w:pPr>
            <w:r>
              <w:t xml:space="preserve">-0.1670064, 7.5670064</w:t>
            </w:r>
            <w:r>
              <w:t xml:space="preserve"> </w:t>
            </w:r>
            <w:r>
              <w:rPr>
                <w:b/>
              </w:rPr>
              <w:t xml:space="preserve">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0.5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0.5</w:t>
            </w:r>
          </w:p>
        </w:tc>
        <w:tc>
          <w:p>
            <w:pPr>
              <w:pStyle w:val="Compact"/>
              <w:jc w:val="left"/>
            </w:pPr>
            <w:r>
              <w:t xml:space="preserve">6.3156545, 11.2643455</w:t>
            </w:r>
            <w:r>
              <w:t xml:space="preserve"> </w:t>
            </w:r>
            <w:r>
              <w:rPr>
                <w:b/>
              </w:rPr>
              <w:t xml:space="preserve">(6)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1.0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1.0</w:t>
            </w:r>
          </w:p>
        </w:tc>
        <w:tc>
          <w:p>
            <w:pPr>
              <w:pStyle w:val="Compact"/>
              <w:jc w:val="left"/>
            </w:pPr>
            <w:r>
              <w:t xml:space="preserve">14.4871567, 21.8328433</w:t>
            </w:r>
            <w:r>
              <w:t xml:space="preserve"> </w:t>
            </w:r>
            <w:r>
              <w:rPr>
                <w:b/>
              </w:rPr>
              <w:t xml:space="preserve">(7)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2.0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2.0</w:t>
            </w:r>
          </w:p>
        </w:tc>
        <w:tc>
          <w:p>
            <w:pPr>
              <w:pStyle w:val="Compact"/>
              <w:jc w:val="left"/>
            </w:pPr>
            <w:r>
              <w:t xml:space="preserve">5.7710402, 12.9689598</w:t>
            </w:r>
            <w:r>
              <w:t xml:space="preserve"> </w:t>
            </w:r>
            <w:r>
              <w:rPr>
                <w:b/>
              </w:rPr>
              <w:t xml:space="preserve">(8)</w:t>
            </w:r>
          </w:p>
        </w:tc>
      </w:tr>
    </w:tbl>
    <w:p>
      <w:r>
        <w:rPr>
          <w:b/>
        </w:rPr>
        <w:t xml:space="preserve">Interpretation</w:t>
      </w:r>
    </w:p>
    <w:p>
      <w:pPr>
        <w:numPr>
          <w:numId w:val="1001"/>
          <w:ilvl w:val="0"/>
        </w:numPr>
      </w:pPr>
      <w:r>
        <w:rPr>
          <w:b/>
        </w:rPr>
        <w:t xml:space="preserve">Supplement</w:t>
      </w:r>
      <w:r>
        <w:rPr>
          <w:b/>
        </w:rPr>
        <w:t xml:space="preserve"> </w:t>
      </w:r>
      <w:r>
        <w:rPr>
          <w:rStyle w:val="VerbatimChar"/>
          <w:b/>
        </w:rPr>
        <w:t xml:space="preserve">OJ</w:t>
      </w:r>
      <w:r>
        <w:rPr>
          <w:b/>
        </w:rPr>
        <w:t xml:space="preserve"> </w:t>
      </w:r>
      <w:r>
        <w:rPr>
          <w:b/>
        </w:rPr>
        <w:t xml:space="preserve">only</w:t>
      </w:r>
      <w:r>
        <w:t xml:space="preserve">, since the intervals (1)(2) are entirely above zero it suggest that groups with a higher dose have more tooth length than groups with a lower dose (at 95% confidence). The same cosideration can be done considering</w:t>
      </w:r>
      <w:r>
        <w:t xml:space="preserve"> </w:t>
      </w:r>
      <w:r>
        <w:rPr>
          <w:b/>
        </w:rPr>
        <w:t xml:space="preserve">supplement</w:t>
      </w:r>
      <w:r>
        <w:rPr>
          <w:b/>
        </w:rPr>
        <w:t xml:space="preserve"> </w:t>
      </w:r>
      <w:r>
        <w:rPr>
          <w:rStyle w:val="VerbatimChar"/>
          <w:b/>
        </w:rPr>
        <w:t xml:space="preserve">VC</w:t>
      </w:r>
      <w:r>
        <w:rPr>
          <w:b/>
        </w:rP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see (3)(4).</w:t>
      </w:r>
    </w:p>
    <w:p>
      <w:pPr>
        <w:pStyle w:val="Compact"/>
        <w:numPr>
          <w:numId w:val="1001"/>
          <w:ilvl w:val="0"/>
        </w:numPr>
      </w:pPr>
      <w:r>
        <w:t xml:space="preserve">Comparing the</w:t>
      </w:r>
      <w:r>
        <w:t xml:space="preserve"> </w:t>
      </w:r>
      <w:r>
        <w:rPr>
          <w:b/>
        </w:rPr>
        <w:t xml:space="preserve">supplement</w:t>
      </w:r>
      <w:r>
        <w:rPr>
          <w:b/>
        </w:rPr>
        <w:t xml:space="preserve"> </w:t>
      </w:r>
      <w:r>
        <w:rPr>
          <w:rStyle w:val="VerbatimChar"/>
          <w:b/>
        </w:rPr>
        <w:t xml:space="preserve">OJ</w:t>
      </w:r>
      <w:r>
        <w:rPr>
          <w:b/>
        </w:rPr>
        <w:t xml:space="preserve"> </w:t>
      </w:r>
      <w:r>
        <w:rPr>
          <w:b/>
        </w:rPr>
        <w:t xml:space="preserve">vs.</w:t>
      </w:r>
      <w:r>
        <w:rPr>
          <w:b/>
        </w:rPr>
        <w:t xml:space="preserve"> </w:t>
      </w:r>
      <w:r>
        <w:rPr>
          <w:rStyle w:val="VerbatimChar"/>
          <w:b/>
        </w:rPr>
        <w:t xml:space="preserve">VC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overall</w:t>
      </w:r>
      <w:r>
        <w:t xml:space="preserve"> </w:t>
      </w:r>
      <w:r>
        <w:t xml:space="preserve">data, the confidence interval (5) contains zero (with most on the interval above zero) and makes it difficult to interpret the data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data</w:t>
      </w:r>
      <w:r>
        <w:t xml:space="preserve"> </w:t>
      </w:r>
      <w:r>
        <w:t xml:space="preserve">for the same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level (e.g 0.5 mg</w:t>
      </w:r>
      <w:r>
        <w:t xml:space="preserve"> </w:t>
      </w:r>
      <w:r>
        <w:rPr>
          <w:rStyle w:val="VerbatimChar"/>
        </w:rPr>
        <w:t xml:space="preserve">OJ</w:t>
      </w:r>
      <w:r>
        <w:t xml:space="preserve"> </w:t>
      </w:r>
      <w:r>
        <w:t xml:space="preserve">vs. 0.5 mg</w:t>
      </w:r>
      <w:r>
        <w:t xml:space="preserve"> </w:t>
      </w:r>
      <w:r>
        <w:rPr>
          <w:rStyle w:val="VerbatimChar"/>
        </w:rPr>
        <w:t xml:space="preserve">VC</w:t>
      </w:r>
      <w:r>
        <w:t xml:space="preserve">), the intervals (6)(7)(8) are entirely above zero suggesting again that groups treated with</w:t>
      </w:r>
      <w:r>
        <w:t xml:space="preserve"> </w:t>
      </w:r>
      <w:r>
        <w:rPr>
          <w:rStyle w:val="VerbatimChar"/>
        </w:rPr>
        <w:t xml:space="preserve">OJ</w:t>
      </w:r>
      <w:r>
        <w:t xml:space="preserve"> </w:t>
      </w:r>
      <w:r>
        <w:t xml:space="preserve">have more tooth length than groups treated with</w:t>
      </w:r>
      <w:r>
        <w:t xml:space="preserve"> </w:t>
      </w:r>
      <w:r>
        <w:rPr>
          <w:rStyle w:val="VerbatimChar"/>
        </w:rPr>
        <w:t xml:space="preserve">VC</w:t>
      </w:r>
      <w:r>
        <w:t xml:space="preserve"> </w:t>
      </w:r>
      <w:r>
        <w:t xml:space="preserve">(at 95% confidence)</w:t>
      </w:r>
    </w:p>
    <w:p>
      <w:pPr>
        <w:pStyle w:val="Heading3"/>
      </w:pPr>
      <w:bookmarkStart w:id="27" w:name="hypothesis-testing"/>
      <w:bookmarkEnd w:id="27"/>
      <w:r>
        <w:t xml:space="preserve">Hypothesis Testing</w:t>
      </w:r>
    </w:p>
    <w:p>
      <w:r>
        <w:t xml:space="preserve">Let</w:t>
      </w:r>
      <w:r>
        <w:t xml:space="preserve">s perform (two sided) hypothesis testing focusing on the comparison of the 2 different supplements</w:t>
      </w:r>
      <w:r>
        <w:t xml:space="preserve"> </w:t>
      </w:r>
      <w:r>
        <w:rPr>
          <w:rStyle w:val="VerbatimChar"/>
        </w:rPr>
        <w:t xml:space="preserve">OJ vs VC</w:t>
      </w:r>
      <w:r>
        <w:t xml:space="preserve"> </w:t>
      </w:r>
      <w:r>
        <w:t xml:space="preserve">and considering the following hypothesis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2</m:t>
            </m:r>
          </m:sub>
        </m:sSub>
      </m:oMath>
    </w:p>
    <w:p>
      <w:pPr>
        <w:pStyle w:val="Compact"/>
        <w:numPr>
          <w:numId w:val="1003"/>
          <w:ilvl w:val="0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: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≠</m:t>
        </m:r>
        <m:sSub>
          <m:e>
            <m:r>
              <m:rPr>
                <m:sty m:val="p"/>
              </m:rPr>
              <m:t>μ</m:t>
            </m:r>
          </m:e>
          <m:sub>
            <m:r>
              <m:rPr>
                <m:sty m:val="p"/>
              </m:rPr>
              <m:t>2</m:t>
            </m:r>
          </m:sub>
        </m:sSub>
      </m:oMath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all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all</w:t>
            </w:r>
          </w:p>
        </w:tc>
        <w:tc>
          <w:p>
            <w:pPr>
              <w:pStyle w:val="Compact"/>
              <w:jc w:val="left"/>
            </w:pPr>
            <w:r>
              <w:t xml:space="preserve">1.9152683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0.0603934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0.5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0.5</w:t>
            </w:r>
          </w:p>
        </w:tc>
        <w:tc>
          <w:p>
            <w:pPr>
              <w:pStyle w:val="Compact"/>
              <w:jc w:val="left"/>
            </w:pPr>
            <w:r>
              <w:t xml:space="preserve">7.4634301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6.4922646</w:t>
            </w:r>
            <w:r>
              <w:t xml:space="preserve">10^{-7}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1.0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1.0</w:t>
            </w:r>
          </w:p>
        </w:tc>
        <w:tc>
          <w:p>
            <w:pPr>
              <w:pStyle w:val="Compact"/>
              <w:jc w:val="left"/>
            </w:pPr>
            <w:r>
              <w:t xml:space="preserve">10.3877952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4.9572857</w:t>
            </w:r>
            <w:r>
              <w:t xml:space="preserve">10^{-9}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OJ, 2.0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VC, 2.0</w:t>
            </w:r>
          </w:p>
        </w:tc>
        <w:tc>
          <w:p>
            <w:pPr>
              <w:pStyle w:val="Compact"/>
              <w:jc w:val="left"/>
            </w:pPr>
            <w:r>
              <w:t xml:space="preserve">5.4698137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3.3975779</w:t>
            </w:r>
            <w:r>
              <w:t xml:space="preserve">10^{-5}</w:t>
            </w:r>
          </w:p>
        </w:tc>
      </w:tr>
    </w:tbl>
    <w:p>
      <w:r>
        <w:rPr>
          <w:b/>
        </w:rPr>
        <w:t xml:space="preserve">Interpretation</w:t>
      </w:r>
      <w:r>
        <w:br w:type="textWrapping"/>
      </w:r>
      <w:r>
        <w:t xml:space="preserve">Remember the</w:t>
      </w:r>
      <w:r>
        <w:t xml:space="preserve"> </w:t>
      </w:r>
      <w:r>
        <w:rPr>
          <w:b/>
        </w:rPr>
        <w:t xml:space="preserve">p-value</w:t>
      </w:r>
      <w:r>
        <w:t xml:space="preserve"> </w:t>
      </w:r>
      <w:r>
        <w:t xml:space="preserve">represents the probability of seeing evidence as extreme or more extreme than the one obtained under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Comparing the</w:t>
      </w:r>
      <w:r>
        <w:t xml:space="preserve"> </w:t>
      </w:r>
      <w:r>
        <w:rPr>
          <w:b/>
        </w:rPr>
        <w:t xml:space="preserve">supplement</w:t>
      </w:r>
      <w:r>
        <w:rPr>
          <w:b/>
        </w:rPr>
        <w:t xml:space="preserve"> </w:t>
      </w:r>
      <w:r>
        <w:rPr>
          <w:rStyle w:val="VerbatimChar"/>
          <w:b/>
        </w:rPr>
        <w:t xml:space="preserve">OJ</w:t>
      </w:r>
      <w:r>
        <w:rPr>
          <w:b/>
        </w:rPr>
        <w:t xml:space="preserve"> </w:t>
      </w:r>
      <w:r>
        <w:rPr>
          <w:b/>
        </w:rPr>
        <w:t xml:space="preserve">vs.</w:t>
      </w:r>
      <w:r>
        <w:rPr>
          <w:b/>
        </w:rPr>
        <w:t xml:space="preserve"> </w:t>
      </w:r>
      <w:r>
        <w:rPr>
          <w:rStyle w:val="VerbatimChar"/>
          <w:b/>
        </w:rPr>
        <w:t xml:space="preserve">VC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overall</w:t>
      </w:r>
      <w:r>
        <w:t xml:space="preserve"> </w:t>
      </w:r>
      <w:r>
        <w:t xml:space="preserve">data, the __t__value is relevant so</w:t>
      </w:r>
      <w:r>
        <w:t xml:space="preserve"> </w:t>
      </w:r>
      <w:r>
        <w:rPr>
          <w:b/>
        </w:rPr>
        <w:t xml:space="preserve">"the</w:t>
      </w:r>
      <w:r>
        <w:rPr>
          <w:b/>
        </w:rP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hypothesis can be rejected"</w:t>
      </w:r>
      <w:r>
        <w:t xml:space="preserve"> </w:t>
      </w:r>
      <w:r>
        <w:t xml:space="preserve">with a</w:t>
      </w:r>
      <w:r>
        <w:t xml:space="preserve"> </w:t>
      </w:r>
      <w:r>
        <w:rPr>
          <w:b/>
        </w:rPr>
        <w:t xml:space="preserve">p-value</w:t>
      </w:r>
      <w:r>
        <w:t xml:space="preserve"> </w:t>
      </w:r>
      <w:r>
        <w:t xml:space="preserve">around 6%.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data</w:t>
      </w:r>
      <w:r>
        <w:t xml:space="preserve"> </w:t>
      </w:r>
      <w:r>
        <w:t xml:space="preserve">for the same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level (e.g 0.5 mg</w:t>
      </w:r>
      <w:r>
        <w:t xml:space="preserve"> </w:t>
      </w:r>
      <w:r>
        <w:rPr>
          <w:rStyle w:val="VerbatimChar"/>
        </w:rPr>
        <w:t xml:space="preserve">OJ</w:t>
      </w:r>
      <w:r>
        <w:t xml:space="preserve"> </w:t>
      </w:r>
      <w:r>
        <w:t xml:space="preserve">vs. 0.5 mg</w:t>
      </w:r>
      <w:r>
        <w:t xml:space="preserve"> </w:t>
      </w:r>
      <w:r>
        <w:rPr>
          <w:rStyle w:val="VerbatimChar"/>
        </w:rPr>
        <w:t xml:space="preserve">VC</w:t>
      </w:r>
      <w:r>
        <w:t xml:space="preserve">),</w:t>
      </w:r>
      <w:r>
        <w:t xml:space="preserve"> </w:t>
      </w:r>
      <w:r>
        <w:rPr>
          <w:b/>
        </w:rPr>
        <w:t xml:space="preserve">t</w:t>
      </w:r>
      <w:r>
        <w:t xml:space="preserve"> </w:t>
      </w:r>
      <w:r>
        <w:t xml:space="preserve">values are quite big so it could be said that</w:t>
      </w:r>
      <w:r>
        <w:t xml:space="preserve"> </w:t>
      </w:r>
      <w:r>
        <w:rPr>
          <w:b/>
        </w:rPr>
        <w:t xml:space="preserve">"the</w:t>
      </w:r>
      <w:r>
        <w:rPr>
          <w:b/>
        </w:rP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hypothesis can be rejected"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p-values</w:t>
      </w:r>
      <w:r>
        <w:t xml:space="preserve"> </w:t>
      </w:r>
      <w:r>
        <w:t xml:space="preserve">are very very low therefore a very unlikely event has been observed or, again, the</w:t>
      </w:r>
      <w:r>
        <w:t xml:space="preserve"> </w:t>
      </w:r>
      <w:r>
        <w:rPr>
          <w:b/>
        </w:rPr>
        <w:t xml:space="preserve">"the</w:t>
      </w:r>
      <w:r>
        <w:rPr>
          <w:b/>
        </w:rP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hypothesis is false"</w:t>
      </w:r>
      <w:r>
        <w:t xml:space="preserve">.</w:t>
      </w:r>
    </w:p>
    <w:p>
      <w:pPr>
        <w:pStyle w:val="Heading2"/>
      </w:pPr>
      <w:bookmarkStart w:id="28" w:name="appendix"/>
      <w:bookmarkEnd w:id="28"/>
      <w:r>
        <w:t xml:space="preserve">Appendix</w:t>
      </w:r>
    </w:p>
    <w:p>
      <w:r>
        <w:rPr>
          <w:b/>
        </w:rPr>
        <w:t xml:space="preserve">Code used to create the basic plot to visualize basic information of the rawData.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(graphics)</w:t>
      </w:r>
      <w:r>
        <w:br w:type="textWrapping"/>
      </w:r>
      <w:r>
        <w:rPr>
          <w:rStyle w:val="NormalTok"/>
        </w:rPr>
        <w:t xml:space="preserve">rawData_OJ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rawData_OJ$doseF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(rawData_OJ$dose)</w:t>
      </w:r>
      <w:r>
        <w:br w:type="textWrapping"/>
      </w:r>
      <w:r>
        <w:rPr>
          <w:rStyle w:val="NormalTok"/>
        </w:rPr>
        <w:t xml:space="preserve">rawData_VC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rawData_VC$doseF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(rawData_VC$dose)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(rawData_OJ$dose, rawData_OJ$len,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(rawData_OJ$doseF),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"Length vs. Dose for Orange Juice Supplement"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(mg)"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"0.5mg"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"2mg"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(rawData_VC$dose, rawData_VC$len,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(rawData_VC$doseF),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"Length vs. Dose for Ascorbic Acid Supplement"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(mg)"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"0.5mg"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"1mg"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"2mg"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2_files/figure-docx/basic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Code used to prepare the data of the different groups</w:t>
      </w:r>
    </w:p>
    <w:p>
      <w:pPr>
        <w:pStyle w:val="SourceCode"/>
      </w:pPr>
      <w:r>
        <w:rPr>
          <w:rStyle w:val="NormalTok"/>
        </w:rPr>
        <w:t xml:space="preserve">len_OJ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len_OJ_05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len_OJ_10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len_OJ_20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,]$len</w:t>
      </w:r>
      <w:r>
        <w:br w:type="textWrapping"/>
      </w:r>
      <w:r>
        <w:br w:type="textWrapping"/>
      </w:r>
      <w:r>
        <w:rPr>
          <w:rStyle w:val="NormalTok"/>
        </w:rPr>
        <w:t xml:space="preserve">len_VC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len_VC_05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len_VC_10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,]$len</w:t>
      </w:r>
      <w:r>
        <w:br w:type="textWrapping"/>
      </w:r>
      <w:r>
        <w:rPr>
          <w:rStyle w:val="NormalTok"/>
        </w:rPr>
        <w:t xml:space="preserve">len_VC_20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rawData[rawData$supp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,]$len</w:t>
      </w:r>
    </w:p>
    <w:p>
      <w:r>
        <w:rPr>
          <w:b/>
        </w:rPr>
        <w:t xml:space="preserve">Code used to calculate basic statistics for the different groups</w:t>
      </w:r>
    </w:p>
    <w:p>
      <w:pPr>
        <w:pStyle w:val="SourceCode"/>
      </w:pPr>
      <w:r>
        <w:rPr>
          <w:rStyle w:val="NormalTok"/>
        </w:rPr>
        <w:t xml:space="preserve">getStatistics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##OJ Statistics</w:t>
      </w:r>
      <w:r>
        <w:br w:type="textWrapping"/>
      </w:r>
      <w:r>
        <w:rPr>
          <w:rStyle w:val="NormalTok"/>
        </w:rPr>
        <w:t xml:space="preserve">stats_OJ_05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(len_OJ_05)</w:t>
      </w:r>
      <w:r>
        <w:br w:type="textWrapping"/>
      </w:r>
      <w:r>
        <w:rPr>
          <w:rStyle w:val="NormalTok"/>
        </w:rPr>
        <w:t xml:space="preserve">stats_OJ_10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(len_OJ_10)</w:t>
      </w:r>
      <w:r>
        <w:br w:type="textWrapping"/>
      </w:r>
      <w:r>
        <w:rPr>
          <w:rStyle w:val="NormalTok"/>
        </w:rPr>
        <w:t xml:space="preserve">stats_OJ_20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(len_OJ_20)</w:t>
      </w:r>
      <w:r>
        <w:br w:type="textWrapping"/>
      </w:r>
      <w:r>
        <w:br w:type="textWrapping"/>
      </w:r>
      <w:r>
        <w:rPr>
          <w:rStyle w:val="NormalTok"/>
        </w:rPr>
        <w:t xml:space="preserve">##VC Statistics</w:t>
      </w:r>
      <w:r>
        <w:br w:type="textWrapping"/>
      </w:r>
      <w:r>
        <w:rPr>
          <w:rStyle w:val="NormalTok"/>
        </w:rPr>
        <w:t xml:space="preserve">stats_VC_05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(len_VC_05)</w:t>
      </w:r>
      <w:r>
        <w:br w:type="textWrapping"/>
      </w:r>
      <w:r>
        <w:rPr>
          <w:rStyle w:val="NormalTok"/>
        </w:rPr>
        <w:t xml:space="preserve">stats_VC_10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(len_VC_10)</w:t>
      </w:r>
      <w:r>
        <w:br w:type="textWrapping"/>
      </w:r>
      <w:r>
        <w:rPr>
          <w:rStyle w:val="NormalTok"/>
        </w:rPr>
        <w:t xml:space="preserve">stats_VC_20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getStatistics</w:t>
      </w:r>
      <w:r>
        <w:rPr>
          <w:rStyle w:val="NormalTok"/>
        </w:rPr>
        <w:t xml:space="preserve">(len_VC_20)</w:t>
      </w:r>
    </w:p>
    <w:p>
      <w:r>
        <w:rPr>
          <w:b/>
        </w:rPr>
        <w:t xml:space="preserve">Code used to calculate t test data (confidence intervals and hypothesis testing) between the different groups</w:t>
      </w:r>
    </w:p>
    <w:p>
      <w:pPr>
        <w:pStyle w:val="SourceCode"/>
      </w:pPr>
      <w:r>
        <w:rPr>
          <w:rStyle w:val="NormalTok"/>
        </w:rPr>
        <w:t xml:space="preserve">t.testOJ_10_vs_05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(len_OJ_10, len_OJ_05,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t.testOJ_20_vs_05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(len_OJ_20, len_OJ_05,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t.testOJ_20_vs_10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(len_OJ_20, len_OJ_10,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t.testVC_10_vs_05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(len_VC_10, len_VC_05,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t.testVC_20_vs_05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(len_VC_20, len_VC_05,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t.testVC_20_vs_10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(len_VC_20, len_VC_10,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t.testOJ_05_vs_VC_05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(len_OJ_05, len_VC_05,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t.testOJ_10_vs_VC_10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(len_OJ_10, len_VC_10,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t.testOJ_20_vs_VC_20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(len_OJ_20, len_VC_20,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t.testOJ_vs_VC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(len_OJ, len_VC,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rPr>
          <w:b/>
        </w:rPr>
        <w:t xml:space="preserve">Markdown used for the generation of the different tables</w:t>
      </w:r>
      <w:r>
        <w:br w:type="textWrapping"/>
      </w:r>
      <w:r>
        <w:t xml:space="preserve">Note in the following markdown the</w:t>
      </w:r>
      <w:r>
        <w:t xml:space="preserve"> </w:t>
      </w:r>
      <w:r>
        <w:rPr>
          <w:b/>
        </w:rPr>
        <w:t xml:space="preserve">`</w:t>
      </w:r>
      <w:r>
        <w:t xml:space="preserve"> </w:t>
      </w:r>
      <w:r>
        <w:t xml:space="preserve">has been changed to</w:t>
      </w:r>
      <w:r>
        <w:t xml:space="preserve"> </w:t>
      </w:r>
      <w:r>
        <w:rPr>
          <w:b/>
        </w:rPr>
        <w:t xml:space="preserve">'</w:t>
      </w:r>
      <w:r>
        <w:t xml:space="preserve"> </w:t>
      </w:r>
      <w:r>
        <w:t xml:space="preserve">in the inline code, in order to be able to show the code itself.</w:t>
      </w:r>
    </w:p>
    <w:p>
      <w:r>
        <w:t xml:space="preserve">Table of Sample statistics</w:t>
      </w:r>
    </w:p>
    <w:p>
      <w:pPr>
        <w:pStyle w:val="SourceCode"/>
      </w:pPr>
      <w:r>
        <w:rPr>
          <w:rStyle w:val="VerbatimChar"/>
        </w:rPr>
        <w:t xml:space="preserve">Supp | Dose | No of Sample | Sample mean | Sample SD </w:t>
      </w:r>
      <w:r>
        <w:br w:type="textWrapping"/>
      </w:r>
      <w:r>
        <w:rPr>
          <w:rStyle w:val="VerbatimChar"/>
        </w:rPr>
        <w:t xml:space="preserve">---- | ---- | ---- | ---- | ----</w:t>
      </w:r>
      <w:r>
        <w:br w:type="textWrapping"/>
      </w:r>
      <w:r>
        <w:rPr>
          <w:rStyle w:val="VerbatimChar"/>
        </w:rPr>
        <w:t xml:space="preserve">"OJ" | 0.5 | 'r stats_OJ_05$n' | 'r stats_OJ_05$mean' | 'r stats_OJ_05$sd' </w:t>
      </w:r>
      <w:r>
        <w:br w:type="textWrapping"/>
      </w:r>
      <w:r>
        <w:rPr>
          <w:rStyle w:val="VerbatimChar"/>
        </w:rPr>
        <w:t xml:space="preserve">...</w:t>
      </w:r>
    </w:p>
    <w:p>
      <w:r>
        <w:t xml:space="preserve">Table of Confidence Intervals</w:t>
      </w:r>
    </w:p>
    <w:p>
      <w:pPr>
        <w:pStyle w:val="SourceCode"/>
      </w:pPr>
      <w:r>
        <w:rPr>
          <w:rStyle w:val="VerbatimChar"/>
        </w:rPr>
        <w:t xml:space="preserve">__Group1__ | __Group2__ | __t confidence interval (g1, g2)__  </w:t>
      </w:r>
      <w:r>
        <w:br w:type="textWrapping"/>
      </w:r>
      <w:r>
        <w:rPr>
          <w:rStyle w:val="VerbatimChar"/>
        </w:rPr>
        <w:t xml:space="preserve">---- | ---- | ----</w:t>
      </w:r>
      <w:r>
        <w:br w:type="textWrapping"/>
      </w:r>
      <w:r>
        <w:rPr>
          <w:rStyle w:val="VerbatimChar"/>
        </w:rPr>
        <w:t xml:space="preserve">__OJ, 1.0__ | __OJ, 0.5__ | 'r t.testOJ_10_vs_05$conf' __(1)__ </w:t>
      </w:r>
      <w:r>
        <w:br w:type="textWrapping"/>
      </w:r>
      <w:r>
        <w:rPr>
          <w:rStyle w:val="VerbatimChar"/>
        </w:rPr>
        <w:t xml:space="preserve">...</w:t>
      </w:r>
    </w:p>
    <w:p>
      <w:r>
        <w:t xml:space="preserve">Table of Hypothesis Testing</w:t>
      </w:r>
    </w:p>
    <w:p>
      <w:pPr>
        <w:pStyle w:val="SourceCode"/>
      </w:pPr>
      <w:r>
        <w:rPr>
          <w:rStyle w:val="VerbatimChar"/>
        </w:rPr>
        <w:t xml:space="preserve">__Group1__ | __Group2__ | __t__ | __df__ | __p-value__</w:t>
      </w:r>
      <w:r>
        <w:br w:type="textWrapping"/>
      </w:r>
      <w:r>
        <w:rPr>
          <w:rStyle w:val="VerbatimChar"/>
        </w:rPr>
        <w:t xml:space="preserve">---- | ---- | ---- | ---- | ----</w:t>
      </w:r>
      <w:r>
        <w:br w:type="textWrapping"/>
      </w:r>
      <w:r>
        <w:rPr>
          <w:rStyle w:val="VerbatimChar"/>
        </w:rPr>
        <w:t xml:space="preserve">__OJ, all__ | __VC, all__ | 'r t.testOJ_vs_VC$statistic' | 'r t.testOJ_vs_VC$parameter' | 'r t.testOJ_vs_VC$p.value'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2856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714d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ToothGrowth Data Analysis</dc:title>
  <dc:creator>Pier Lorenzo Paracchini</dc:creator>
</cp:coreProperties>
</file>