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019D" w14:textId="542ABFF9" w:rsidR="0012512B" w:rsidRPr="0012512B" w:rsidRDefault="0012512B" w:rsidP="0012512B">
      <w:pPr>
        <w:jc w:val="both"/>
        <w:rPr>
          <w:rFonts w:ascii="Times New Roman" w:hAnsi="Times New Roman" w:cs="Times New Roman"/>
          <w:b/>
          <w:bCs/>
        </w:rPr>
      </w:pPr>
      <w:r w:rsidRPr="0012512B">
        <w:rPr>
          <w:rFonts w:ascii="Times New Roman" w:hAnsi="Times New Roman" w:cs="Times New Roman"/>
          <w:b/>
          <w:bCs/>
        </w:rPr>
        <w:t>Planned Approach</w:t>
      </w:r>
      <w:r w:rsidRPr="0012512B">
        <w:rPr>
          <w:rFonts w:ascii="Times New Roman" w:hAnsi="Times New Roman" w:cs="Times New Roman"/>
          <w:b/>
          <w:bCs/>
        </w:rPr>
        <w:t>:</w:t>
      </w:r>
    </w:p>
    <w:p w14:paraId="03F9AA19" w14:textId="3E84C9B7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The proposed research builds upon the recently published Episodic Memory Large Language Model (EM-LLM) framework, which introduces human-inspired event segmentation and retrieval</w:t>
      </w:r>
      <w:r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mechanisms</w:t>
      </w:r>
      <w:r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to enable infinite-context reasoning.</w:t>
      </w:r>
      <w:r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While the EM-LLM effectively segments long text streams into discrete “events” and retrieves relevant ones during inference, the retrieved events are processed independently, with no explicit reasoning or communication between them.</w:t>
      </w:r>
      <w:r w:rsidRPr="0012512B">
        <w:rPr>
          <w:rFonts w:ascii="Times New Roman" w:hAnsi="Times New Roman" w:cs="Times New Roman"/>
        </w:rPr>
        <w:br/>
        <w:t xml:space="preserve">This design limits the model’s ability to handle multi-hop and narrative reasoning tasks, where evidence is distributed across multiple events and must be connected logically (for example, linking </w:t>
      </w:r>
      <w:r w:rsidRPr="0012512B">
        <w:rPr>
          <w:rFonts w:ascii="Times New Roman" w:hAnsi="Times New Roman" w:cs="Times New Roman"/>
          <w:i/>
          <w:iCs/>
        </w:rPr>
        <w:t>“Alice met Bob at Café Central”</w:t>
      </w:r>
      <w:r w:rsidRPr="0012512B">
        <w:rPr>
          <w:rFonts w:ascii="Times New Roman" w:hAnsi="Times New Roman" w:cs="Times New Roman"/>
        </w:rPr>
        <w:t xml:space="preserve"> with </w:t>
      </w:r>
      <w:r w:rsidRPr="0012512B">
        <w:rPr>
          <w:rFonts w:ascii="Times New Roman" w:hAnsi="Times New Roman" w:cs="Times New Roman"/>
          <w:i/>
          <w:iCs/>
        </w:rPr>
        <w:t>“Café Central is on Baker Street”</w:t>
      </w:r>
      <w:r w:rsidRPr="0012512B">
        <w:rPr>
          <w:rFonts w:ascii="Times New Roman" w:hAnsi="Times New Roman" w:cs="Times New Roman"/>
        </w:rPr>
        <w:t xml:space="preserve"> to infer </w:t>
      </w:r>
      <w:r w:rsidRPr="0012512B">
        <w:rPr>
          <w:rFonts w:ascii="Times New Roman" w:hAnsi="Times New Roman" w:cs="Times New Roman"/>
          <w:i/>
          <w:iCs/>
        </w:rPr>
        <w:t>“Alice met Bob on Baker Street”</w:t>
      </w:r>
      <w:r w:rsidRPr="0012512B">
        <w:rPr>
          <w:rFonts w:ascii="Times New Roman" w:hAnsi="Times New Roman" w:cs="Times New Roman"/>
        </w:rPr>
        <w:t>).</w:t>
      </w:r>
    </w:p>
    <w:p w14:paraId="1BFF2E31" w14:textId="678393D6" w:rsid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To address this limitation, the proposed work aims to reconstruct the full EM-LLM pipeline as described in the paper and then introduce a novel Cross-Event Reasoning Layer (CXR) that allows retrieved memory events to interact before being passed to the base model.</w:t>
      </w:r>
      <w:r w:rsidRPr="0012512B">
        <w:rPr>
          <w:rFonts w:ascii="Times New Roman" w:hAnsi="Times New Roman" w:cs="Times New Roman"/>
        </w:rPr>
        <w:br/>
        <w:t>This enhancement transforms EM-LLM from a static memory retriever into a dynamic, reasoning-capable memory system that can explicitly combine evidence across events</w:t>
      </w:r>
      <w:r w:rsidR="00447E11">
        <w:rPr>
          <w:rFonts w:ascii="Times New Roman" w:hAnsi="Times New Roman" w:cs="Times New Roman"/>
        </w:rPr>
        <w:t>,</w:t>
      </w:r>
      <w:r w:rsidRPr="0012512B">
        <w:rPr>
          <w:rFonts w:ascii="Times New Roman" w:hAnsi="Times New Roman" w:cs="Times New Roman"/>
        </w:rPr>
        <w:t xml:space="preserve"> analogous to pattern completion in human episodic recall.</w:t>
      </w:r>
    </w:p>
    <w:p w14:paraId="5C1E3FD5" w14:textId="77777777" w:rsidR="00C76F52" w:rsidRDefault="00C76F52" w:rsidP="0012512B">
      <w:pPr>
        <w:jc w:val="both"/>
        <w:rPr>
          <w:rFonts w:ascii="Times New Roman" w:hAnsi="Times New Roman" w:cs="Times New Roman"/>
        </w:rPr>
      </w:pPr>
    </w:p>
    <w:p w14:paraId="4C4E962F" w14:textId="61EBB480" w:rsidR="00C76F52" w:rsidRPr="00C76F52" w:rsidRDefault="00C76F52" w:rsidP="0012512B">
      <w:pPr>
        <w:jc w:val="both"/>
        <w:rPr>
          <w:rFonts w:ascii="Times New Roman" w:hAnsi="Times New Roman" w:cs="Times New Roman"/>
          <w:b/>
          <w:bCs/>
        </w:rPr>
      </w:pPr>
      <w:r w:rsidRPr="00C76F52">
        <w:rPr>
          <w:rFonts w:ascii="Times New Roman" w:hAnsi="Times New Roman" w:cs="Times New Roman"/>
          <w:b/>
          <w:bCs/>
        </w:rPr>
        <w:t>Event Segmentation:</w:t>
      </w:r>
    </w:p>
    <w:p w14:paraId="6948929F" w14:textId="5F7F9FDC" w:rsidR="00C76F52" w:rsidRPr="0012512B" w:rsidRDefault="00C76F52" w:rsidP="0012512B">
      <w:pPr>
        <w:jc w:val="both"/>
        <w:rPr>
          <w:rFonts w:ascii="Times New Roman" w:hAnsi="Times New Roman" w:cs="Times New Roman"/>
        </w:rPr>
      </w:pPr>
      <w:r w:rsidRPr="00C76F52">
        <w:rPr>
          <w:rFonts w:ascii="Times New Roman" w:hAnsi="Times New Roman" w:cs="Times New Roman"/>
        </w:rPr>
        <w:t>[Input stream] → Event Segmentation → Store in Memory → Retrieve Relevant Events → Feed to LLM → Generate output → Repeat</w:t>
      </w:r>
    </w:p>
    <w:p w14:paraId="279BCE9E" w14:textId="1BE8B486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</w:p>
    <w:p w14:paraId="1F523B72" w14:textId="77777777" w:rsidR="0012512B" w:rsidRPr="0012512B" w:rsidRDefault="0012512B" w:rsidP="0012512B">
      <w:pPr>
        <w:jc w:val="both"/>
        <w:rPr>
          <w:rFonts w:ascii="Times New Roman" w:hAnsi="Times New Roman" w:cs="Times New Roman"/>
          <w:b/>
          <w:bCs/>
        </w:rPr>
      </w:pPr>
      <w:r w:rsidRPr="0012512B">
        <w:rPr>
          <w:rFonts w:ascii="Times New Roman" w:hAnsi="Times New Roman" w:cs="Times New Roman"/>
          <w:b/>
          <w:bCs/>
        </w:rPr>
        <w:t>Step 1: Re-enable and Validate the Paper-Faithful EM-LLM</w:t>
      </w:r>
    </w:p>
    <w:p w14:paraId="30BF5929" w14:textId="77777777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The first step involves restoring two essential modules that are currently disabled in the public implementation but described as core contributions in the original paper:</w:t>
      </w:r>
    </w:p>
    <w:p w14:paraId="37CC3E15" w14:textId="17BAF477" w:rsidR="0012512B" w:rsidRPr="0012512B" w:rsidRDefault="0012512B" w:rsidP="00A130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Graph-Theoretic Boundary Refinement (M):</w:t>
      </w:r>
      <w:r w:rsidRPr="0012512B">
        <w:rPr>
          <w:rFonts w:ascii="Times New Roman" w:hAnsi="Times New Roman" w:cs="Times New Roman"/>
        </w:rPr>
        <w:br/>
        <w:t>Refines the surprise-based event boundaries using modularity and conductance metrics</w:t>
      </w:r>
      <w:r w:rsidR="00525DBA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derived from activation adjacency graphs across layers 20</w:t>
      </w:r>
      <w:r w:rsidR="00397C51">
        <w:rPr>
          <w:rFonts w:ascii="Times New Roman" w:hAnsi="Times New Roman" w:cs="Times New Roman"/>
        </w:rPr>
        <w:t>-</w:t>
      </w:r>
      <w:r w:rsidRPr="0012512B">
        <w:rPr>
          <w:rFonts w:ascii="Times New Roman" w:hAnsi="Times New Roman" w:cs="Times New Roman"/>
        </w:rPr>
        <w:t>31.</w:t>
      </w:r>
      <w:r w:rsidR="00525DBA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This step ensures semantically coherent event segmentation aligned with topic transitions in the input stream.</w:t>
      </w:r>
      <w:r w:rsidR="00831812">
        <w:rPr>
          <w:rFonts w:ascii="Times New Roman" w:hAnsi="Times New Roman" w:cs="Times New Roman"/>
        </w:rPr>
        <w:t xml:space="preserve"> ---- References from the paper to be added.</w:t>
      </w:r>
    </w:p>
    <w:p w14:paraId="31766A58" w14:textId="5C80E938" w:rsidR="0012512B" w:rsidRPr="0012512B" w:rsidRDefault="0012512B" w:rsidP="00A130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Contiguity Buffer (C):</w:t>
      </w:r>
      <w:r w:rsidRPr="0012512B">
        <w:rPr>
          <w:rFonts w:ascii="Times New Roman" w:hAnsi="Times New Roman" w:cs="Times New Roman"/>
        </w:rPr>
        <w:br/>
        <w:t>Implements temporal adjacency recall by retrieving a small percentage (≈30%) of</w:t>
      </w:r>
      <w:r w:rsidR="00A13074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neighboring events along with the most similar ones.</w:t>
      </w:r>
      <w:r w:rsidR="00A13074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This reflects the human tendency to recall temporally close experiences when one memory is triggered.</w:t>
      </w:r>
      <w:r w:rsidR="00831812">
        <w:rPr>
          <w:rFonts w:ascii="Times New Roman" w:hAnsi="Times New Roman" w:cs="Times New Roman"/>
        </w:rPr>
        <w:t xml:space="preserve"> </w:t>
      </w:r>
      <w:r w:rsidR="00831812">
        <w:rPr>
          <w:rFonts w:ascii="Times New Roman" w:hAnsi="Times New Roman" w:cs="Times New Roman"/>
        </w:rPr>
        <w:t>---- References from the paper to be added.</w:t>
      </w:r>
    </w:p>
    <w:p w14:paraId="0DFB961D" w14:textId="1C78F213" w:rsidR="00D92772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lastRenderedPageBreak/>
        <w:t>Activating both modules will reproduce the paper-faithful EM-LLM variant (S+M+C) and serve as a strong experimental baseline.</w:t>
      </w:r>
      <w:r w:rsidR="00FA6D51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 xml:space="preserve">This step also verifies the model’s performance alignment with the reported </w:t>
      </w:r>
      <w:proofErr w:type="spellStart"/>
      <w:r w:rsidRPr="0012512B">
        <w:rPr>
          <w:rFonts w:ascii="Times New Roman" w:hAnsi="Times New Roman" w:cs="Times New Roman"/>
        </w:rPr>
        <w:t>LongBench</w:t>
      </w:r>
      <w:proofErr w:type="spellEnd"/>
      <w:r w:rsidRPr="0012512B">
        <w:rPr>
          <w:rFonts w:ascii="Times New Roman" w:hAnsi="Times New Roman" w:cs="Times New Roman"/>
        </w:rPr>
        <w:t xml:space="preserve"> results (≈51.5 average score).</w:t>
      </w:r>
    </w:p>
    <w:p w14:paraId="5DC22D8A" w14:textId="6C1C5CBB" w:rsidR="0012512B" w:rsidRPr="0012512B" w:rsidRDefault="0012512B" w:rsidP="0012512B">
      <w:pPr>
        <w:jc w:val="both"/>
        <w:rPr>
          <w:rFonts w:ascii="Times New Roman" w:hAnsi="Times New Roman" w:cs="Times New Roman"/>
          <w:b/>
          <w:bCs/>
        </w:rPr>
      </w:pPr>
      <w:r w:rsidRPr="0012512B">
        <w:rPr>
          <w:rFonts w:ascii="Times New Roman" w:hAnsi="Times New Roman" w:cs="Times New Roman"/>
          <w:b/>
          <w:bCs/>
        </w:rPr>
        <w:t xml:space="preserve">Step 2: Novel Contribution </w:t>
      </w:r>
      <w:r w:rsidR="00FA6D51">
        <w:rPr>
          <w:rFonts w:ascii="Times New Roman" w:hAnsi="Times New Roman" w:cs="Times New Roman"/>
          <w:b/>
          <w:bCs/>
        </w:rPr>
        <w:t>-</w:t>
      </w:r>
      <w:r w:rsidRPr="0012512B">
        <w:rPr>
          <w:rFonts w:ascii="Times New Roman" w:hAnsi="Times New Roman" w:cs="Times New Roman"/>
          <w:b/>
          <w:bCs/>
        </w:rPr>
        <w:t xml:space="preserve"> Cross-Event Reasoning Layer (CXR)</w:t>
      </w:r>
      <w:r w:rsidR="00D92772">
        <w:rPr>
          <w:rFonts w:ascii="Times New Roman" w:hAnsi="Times New Roman" w:cs="Times New Roman"/>
          <w:b/>
          <w:bCs/>
        </w:rPr>
        <w:t>:</w:t>
      </w:r>
    </w:p>
    <w:p w14:paraId="7D5A0216" w14:textId="5554B3A8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  <w:b/>
          <w:bCs/>
        </w:rPr>
        <w:t>Motivation</w:t>
      </w:r>
      <w:r w:rsidRPr="0012512B">
        <w:rPr>
          <w:rFonts w:ascii="Times New Roman" w:hAnsi="Times New Roman" w:cs="Times New Roman"/>
        </w:rPr>
        <w:t>:</w:t>
      </w:r>
      <w:r w:rsidRPr="0012512B">
        <w:rPr>
          <w:rFonts w:ascii="Times New Roman" w:hAnsi="Times New Roman" w:cs="Times New Roman"/>
        </w:rPr>
        <w:br/>
        <w:t>Even after retrieving relevant events, the current EM-LLM treats each memory block as an isolated context segment.</w:t>
      </w:r>
      <w:r w:rsidR="008464CC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Complex questions, however, often require reasoning across events</w:t>
      </w:r>
      <w:r w:rsidR="007A1AB3">
        <w:rPr>
          <w:rFonts w:ascii="Times New Roman" w:hAnsi="Times New Roman" w:cs="Times New Roman"/>
        </w:rPr>
        <w:t>,</w:t>
      </w:r>
      <w:r w:rsidRPr="0012512B">
        <w:rPr>
          <w:rFonts w:ascii="Times New Roman" w:hAnsi="Times New Roman" w:cs="Times New Roman"/>
        </w:rPr>
        <w:t xml:space="preserve"> combining partial evidence, resolving references, or connecting causes and effects.</w:t>
      </w:r>
      <w:r w:rsidR="004D6885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The Cross-Event Reasoning Layer explicitly models these inter-event relationships before the final integration step.</w:t>
      </w:r>
    </w:p>
    <w:p w14:paraId="010F08F9" w14:textId="52CA0AAA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  <w:b/>
          <w:bCs/>
        </w:rPr>
        <w:t>Concept</w:t>
      </w:r>
      <w:r w:rsidRPr="0012512B">
        <w:rPr>
          <w:rFonts w:ascii="Times New Roman" w:hAnsi="Times New Roman" w:cs="Times New Roman"/>
        </w:rPr>
        <w:t>:</w:t>
      </w:r>
      <w:r w:rsidRPr="0012512B">
        <w:rPr>
          <w:rFonts w:ascii="Times New Roman" w:hAnsi="Times New Roman" w:cs="Times New Roman"/>
        </w:rPr>
        <w:br/>
        <w:t>The CXR module introduces a lightweight attention-based reasoning mechanism among retrieved events.</w:t>
      </w:r>
      <w:r w:rsidR="008464CC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Each event contributes a small set of representative tokens (key sentences or embeddings summarizing that event).</w:t>
      </w:r>
      <w:r w:rsidR="008464CC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 xml:space="preserve">The module then </w:t>
      </w:r>
      <w:r w:rsidR="00966EA0" w:rsidRPr="0012512B">
        <w:rPr>
          <w:rFonts w:ascii="Times New Roman" w:hAnsi="Times New Roman" w:cs="Times New Roman"/>
        </w:rPr>
        <w:t>applies to</w:t>
      </w:r>
      <w:r w:rsidRPr="0012512B">
        <w:rPr>
          <w:rFonts w:ascii="Times New Roman" w:hAnsi="Times New Roman" w:cs="Times New Roman"/>
        </w:rPr>
        <w:t xml:space="preserve"> one of two reasoning modes:</w:t>
      </w:r>
    </w:p>
    <w:p w14:paraId="38D7D90D" w14:textId="77777777" w:rsidR="0012512B" w:rsidRPr="0012512B" w:rsidRDefault="0012512B" w:rsidP="001251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Self-Attention Mode: Events attend to one another, discovering semantic links (e.g., shared entities or topics).</w:t>
      </w:r>
    </w:p>
    <w:p w14:paraId="4BAEA216" w14:textId="6DEECD3A" w:rsidR="0012512B" w:rsidRPr="0012512B" w:rsidRDefault="0012512B" w:rsidP="0012512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Query-Conditioned Mode: The current query acts as the attention query (Q</w:t>
      </w:r>
      <w:r w:rsidR="00966EA0" w:rsidRPr="0012512B">
        <w:rPr>
          <w:rFonts w:ascii="Times New Roman" w:hAnsi="Times New Roman" w:cs="Times New Roman"/>
        </w:rPr>
        <w:t>) and</w:t>
      </w:r>
      <w:r w:rsidRPr="0012512B">
        <w:rPr>
          <w:rFonts w:ascii="Times New Roman" w:hAnsi="Times New Roman" w:cs="Times New Roman"/>
        </w:rPr>
        <w:t xml:space="preserve"> retrieved event representations serve as keys (K) and values (V).</w:t>
      </w:r>
      <w:r w:rsidR="00966EA0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This enables the model to emphasize events most relevant to the user’s question.</w:t>
      </w:r>
    </w:p>
    <w:p w14:paraId="058D0D8C" w14:textId="61EE135C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The resulting attention scores are converted into per-event weights, re-ranking the retrieved memories according to their contextual importance.</w:t>
      </w:r>
      <w:r w:rsidR="00895A13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These weights are then blended with the existing similarity scores and used to construct the final input context for the LLM.</w:t>
      </w:r>
    </w:p>
    <w:p w14:paraId="0CF1505B" w14:textId="77777777" w:rsidR="00D071E0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  <w:b/>
          <w:bCs/>
        </w:rPr>
        <w:t>Technical integration:</w:t>
      </w:r>
      <w:r w:rsidR="00D071E0">
        <w:rPr>
          <w:rFonts w:ascii="Times New Roman" w:hAnsi="Times New Roman" w:cs="Times New Roman"/>
        </w:rPr>
        <w:t xml:space="preserve"> </w:t>
      </w:r>
    </w:p>
    <w:p w14:paraId="0F4D6863" w14:textId="5E32251D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 xml:space="preserve">The module will be implemented in a new file, cross_event.py, and integrated directly after the retrieval step in </w:t>
      </w:r>
      <w:proofErr w:type="spellStart"/>
      <w:r w:rsidRPr="0012512B">
        <w:rPr>
          <w:rFonts w:ascii="Times New Roman" w:hAnsi="Times New Roman" w:cs="Times New Roman"/>
        </w:rPr>
        <w:t>em_llm</w:t>
      </w:r>
      <w:proofErr w:type="spellEnd"/>
      <w:r w:rsidRPr="0012512B">
        <w:rPr>
          <w:rFonts w:ascii="Times New Roman" w:hAnsi="Times New Roman" w:cs="Times New Roman"/>
        </w:rPr>
        <w:t>/attention/em_llm.py.</w:t>
      </w:r>
      <w:r w:rsidR="00D071E0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Minimal changes will be required to the existing pipeline:</w:t>
      </w:r>
    </w:p>
    <w:p w14:paraId="27AA5E1B" w14:textId="77777777" w:rsidR="0012512B" w:rsidRPr="0012512B" w:rsidRDefault="0012512B" w:rsidP="001251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em_llm/attention/context_manager.py will provide access to each event’s representative tokens.</w:t>
      </w:r>
    </w:p>
    <w:p w14:paraId="4DE8F7DE" w14:textId="77777777" w:rsidR="0012512B" w:rsidRPr="0012512B" w:rsidRDefault="0012512B" w:rsidP="001251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em_llm/attention/em_llm.py will call the CXR module, receive the new event weights, and re-order or prune events accordingly.</w:t>
      </w:r>
    </w:p>
    <w:p w14:paraId="7D79D31D" w14:textId="77777777" w:rsidR="0012512B" w:rsidRPr="0012512B" w:rsidRDefault="0012512B" w:rsidP="0012512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config/*.</w:t>
      </w:r>
      <w:proofErr w:type="spellStart"/>
      <w:r w:rsidRPr="0012512B">
        <w:rPr>
          <w:rFonts w:ascii="Times New Roman" w:hAnsi="Times New Roman" w:cs="Times New Roman"/>
        </w:rPr>
        <w:t>yaml</w:t>
      </w:r>
      <w:proofErr w:type="spellEnd"/>
      <w:r w:rsidRPr="0012512B">
        <w:rPr>
          <w:rFonts w:ascii="Times New Roman" w:hAnsi="Times New Roman" w:cs="Times New Roman"/>
        </w:rPr>
        <w:t xml:space="preserve"> will include new configuration flags controlling CXR behavior (mode, token count, attention heads, pruning ratio).</w:t>
      </w:r>
    </w:p>
    <w:p w14:paraId="09CAD9BE" w14:textId="77777777" w:rsidR="00F57F3D" w:rsidRPr="00F57F3D" w:rsidRDefault="0012512B" w:rsidP="0012512B">
      <w:pPr>
        <w:jc w:val="both"/>
        <w:rPr>
          <w:rFonts w:ascii="Times New Roman" w:hAnsi="Times New Roman" w:cs="Times New Roman"/>
          <w:b/>
          <w:bCs/>
        </w:rPr>
      </w:pPr>
      <w:r w:rsidRPr="0012512B">
        <w:rPr>
          <w:rFonts w:ascii="Times New Roman" w:hAnsi="Times New Roman" w:cs="Times New Roman"/>
          <w:b/>
          <w:bCs/>
        </w:rPr>
        <w:t>Expected impact:</w:t>
      </w:r>
    </w:p>
    <w:p w14:paraId="45A50D13" w14:textId="1B7244EC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The CXR introduces explicit multi-event composition, enabling EM-LLM to:</w:t>
      </w:r>
    </w:p>
    <w:p w14:paraId="67F37063" w14:textId="77777777" w:rsidR="0012512B" w:rsidRPr="0012512B" w:rsidRDefault="0012512B" w:rsidP="0012512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Combine evidence spread across multiple events,</w:t>
      </w:r>
    </w:p>
    <w:p w14:paraId="57D18706" w14:textId="730353FB" w:rsidR="008E4A4F" w:rsidRPr="0012512B" w:rsidRDefault="0012512B" w:rsidP="008E4A4F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lastRenderedPageBreak/>
        <w:t>Resolve co-references and causal chains, and</w:t>
      </w:r>
    </w:p>
    <w:p w14:paraId="784F1046" w14:textId="77777777" w:rsidR="0012512B" w:rsidRPr="0012512B" w:rsidRDefault="0012512B" w:rsidP="0012512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Improve accuracy on multi-hop QA and narrative reasoning benchmarks (</w:t>
      </w:r>
      <w:proofErr w:type="spellStart"/>
      <w:r w:rsidRPr="0012512B">
        <w:rPr>
          <w:rFonts w:ascii="Times New Roman" w:hAnsi="Times New Roman" w:cs="Times New Roman"/>
        </w:rPr>
        <w:t>HotpotQA</w:t>
      </w:r>
      <w:proofErr w:type="spellEnd"/>
      <w:r w:rsidRPr="0012512B">
        <w:rPr>
          <w:rFonts w:ascii="Times New Roman" w:hAnsi="Times New Roman" w:cs="Times New Roman"/>
        </w:rPr>
        <w:t xml:space="preserve">, 2WikiMultihopQA, </w:t>
      </w:r>
      <w:proofErr w:type="spellStart"/>
      <w:r w:rsidRPr="0012512B">
        <w:rPr>
          <w:rFonts w:ascii="Times New Roman" w:hAnsi="Times New Roman" w:cs="Times New Roman"/>
        </w:rPr>
        <w:t>NarrativeQA</w:t>
      </w:r>
      <w:proofErr w:type="spellEnd"/>
      <w:r w:rsidRPr="0012512B">
        <w:rPr>
          <w:rFonts w:ascii="Times New Roman" w:hAnsi="Times New Roman" w:cs="Times New Roman"/>
        </w:rPr>
        <w:t xml:space="preserve">, </w:t>
      </w:r>
      <w:proofErr w:type="spellStart"/>
      <w:r w:rsidRPr="0012512B">
        <w:rPr>
          <w:rFonts w:ascii="Times New Roman" w:hAnsi="Times New Roman" w:cs="Times New Roman"/>
        </w:rPr>
        <w:t>QMSum</w:t>
      </w:r>
      <w:proofErr w:type="spellEnd"/>
      <w:r w:rsidRPr="0012512B">
        <w:rPr>
          <w:rFonts w:ascii="Times New Roman" w:hAnsi="Times New Roman" w:cs="Times New Roman"/>
        </w:rPr>
        <w:t>).</w:t>
      </w:r>
    </w:p>
    <w:p w14:paraId="0C3032E3" w14:textId="77777777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Performance improvements of +2–3 F1 points are expected over the re-enabled baseline (S+M+C), with minimal runtime overhead (&lt;15%).</w:t>
      </w:r>
    </w:p>
    <w:p w14:paraId="301CEB3C" w14:textId="2FEDFCFF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</w:p>
    <w:p w14:paraId="60791C2F" w14:textId="77777777" w:rsidR="0012512B" w:rsidRPr="0012512B" w:rsidRDefault="0012512B" w:rsidP="0012512B">
      <w:pPr>
        <w:jc w:val="both"/>
        <w:rPr>
          <w:rFonts w:ascii="Times New Roman" w:hAnsi="Times New Roman" w:cs="Times New Roman"/>
          <w:b/>
          <w:bCs/>
        </w:rPr>
      </w:pPr>
      <w:r w:rsidRPr="0012512B">
        <w:rPr>
          <w:rFonts w:ascii="Times New Roman" w:hAnsi="Times New Roman" w:cs="Times New Roman"/>
          <w:b/>
          <w:bCs/>
        </w:rPr>
        <w:t>Step 3: Efficiency Enhancements (Optional)</w:t>
      </w:r>
    </w:p>
    <w:p w14:paraId="213B2A8A" w14:textId="77777777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To complement the reasoning improvement, the project will evaluate lightweight efficiency optimizations proposed in the official enhancement plan:</w:t>
      </w:r>
    </w:p>
    <w:p w14:paraId="75DBC672" w14:textId="77777777" w:rsidR="0012512B" w:rsidRPr="0012512B" w:rsidRDefault="0012512B" w:rsidP="0012512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Adaptive Memory Budgeting: Dynamically adjust retrieval size (</w:t>
      </w:r>
      <w:proofErr w:type="spellStart"/>
      <w:r w:rsidRPr="0012512B">
        <w:rPr>
          <w:rFonts w:ascii="Times New Roman" w:hAnsi="Times New Roman" w:cs="Times New Roman"/>
        </w:rPr>
        <w:t>n_mem</w:t>
      </w:r>
      <w:proofErr w:type="spellEnd"/>
      <w:r w:rsidRPr="0012512B">
        <w:rPr>
          <w:rFonts w:ascii="Times New Roman" w:hAnsi="Times New Roman" w:cs="Times New Roman"/>
        </w:rPr>
        <w:t>) based on query uncertainty or perplexity.</w:t>
      </w:r>
    </w:p>
    <w:p w14:paraId="0B590D36" w14:textId="77777777" w:rsidR="0012512B" w:rsidRPr="0012512B" w:rsidRDefault="0012512B" w:rsidP="0012512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Chunk Size Optimization: Increase processing chunk size (512 → 1024) to reduce retrieval frequency by up to 40%.</w:t>
      </w:r>
    </w:p>
    <w:p w14:paraId="725C8597" w14:textId="77777777" w:rsidR="0012512B" w:rsidRPr="0012512B" w:rsidRDefault="0012512B" w:rsidP="0012512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Importance-Weighted Forgetting: Replace FIFO cache eviction with an access-frequency-based policy to retain important events longer.</w:t>
      </w:r>
    </w:p>
    <w:p w14:paraId="627DDBCD" w14:textId="77777777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These optimizations will support scalability analysis and establish cost–benefit trade-offs for practical deployment.</w:t>
      </w:r>
    </w:p>
    <w:p w14:paraId="18779DDE" w14:textId="414F2838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</w:p>
    <w:p w14:paraId="3FF01C79" w14:textId="14C6D2C6" w:rsidR="0012512B" w:rsidRPr="0012512B" w:rsidRDefault="0012512B" w:rsidP="0012512B">
      <w:pPr>
        <w:jc w:val="both"/>
        <w:rPr>
          <w:rFonts w:ascii="Times New Roman" w:hAnsi="Times New Roman" w:cs="Times New Roman"/>
          <w:b/>
          <w:bCs/>
        </w:rPr>
      </w:pPr>
      <w:r w:rsidRPr="0012512B">
        <w:rPr>
          <w:rFonts w:ascii="Times New Roman" w:hAnsi="Times New Roman" w:cs="Times New Roman"/>
          <w:b/>
          <w:bCs/>
        </w:rPr>
        <w:t>Advantages of the Proposed Approach</w:t>
      </w:r>
      <w:r w:rsidR="00EC776C">
        <w:rPr>
          <w:rFonts w:ascii="Times New Roman" w:hAnsi="Times New Roman" w:cs="Times New Roman"/>
          <w:b/>
          <w:bCs/>
        </w:rPr>
        <w:t>:</w:t>
      </w:r>
    </w:p>
    <w:p w14:paraId="2F465A10" w14:textId="77777777" w:rsidR="00EC776C" w:rsidRDefault="0012512B" w:rsidP="0012512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Novel and Cognitively Grounded:</w:t>
      </w:r>
      <w:r w:rsidR="00EC776C">
        <w:rPr>
          <w:rFonts w:ascii="Times New Roman" w:hAnsi="Times New Roman" w:cs="Times New Roman"/>
        </w:rPr>
        <w:t xml:space="preserve"> </w:t>
      </w:r>
    </w:p>
    <w:p w14:paraId="79812B17" w14:textId="3FB57495" w:rsidR="0012512B" w:rsidRPr="0012512B" w:rsidRDefault="0012512B" w:rsidP="00EC776C">
      <w:pPr>
        <w:ind w:left="720"/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The Cross-Event Reasoning Layer explicitly models relationships among retrieved events, addressing a well-known limitation in existing long-context models and aligning with cognitive theories of associative recall.</w:t>
      </w:r>
    </w:p>
    <w:p w14:paraId="4A92DE05" w14:textId="77777777" w:rsidR="00EC776C" w:rsidRDefault="0012512B" w:rsidP="0012512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Feasible and Modular:</w:t>
      </w:r>
      <w:r w:rsidR="00EC776C">
        <w:rPr>
          <w:rFonts w:ascii="Times New Roman" w:hAnsi="Times New Roman" w:cs="Times New Roman"/>
        </w:rPr>
        <w:t xml:space="preserve"> </w:t>
      </w:r>
    </w:p>
    <w:p w14:paraId="6B5F0917" w14:textId="46306B58" w:rsidR="0012512B" w:rsidRPr="0012512B" w:rsidRDefault="0012512B" w:rsidP="00EC776C">
      <w:pPr>
        <w:ind w:left="720"/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The proposed extension requires only localized code modifications within EM-LLM’s attention modules and adds minimal computational overhead.</w:t>
      </w:r>
    </w:p>
    <w:p w14:paraId="4CD9636E" w14:textId="77777777" w:rsidR="00EC776C" w:rsidRDefault="0012512B" w:rsidP="0012512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Experimentally Rich:</w:t>
      </w:r>
      <w:r w:rsidR="00EC776C">
        <w:rPr>
          <w:rFonts w:ascii="Times New Roman" w:hAnsi="Times New Roman" w:cs="Times New Roman"/>
        </w:rPr>
        <w:t xml:space="preserve"> </w:t>
      </w:r>
    </w:p>
    <w:p w14:paraId="37EC9B63" w14:textId="4C9D6285" w:rsidR="0012512B" w:rsidRPr="0012512B" w:rsidRDefault="0012512B" w:rsidP="00EC776C">
      <w:pPr>
        <w:ind w:left="720"/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The work enables both quantitative (accuracy, latency) and qualitative (reasoning visualization) evaluations on established benchmarks.</w:t>
      </w:r>
    </w:p>
    <w:p w14:paraId="5DF9D6A0" w14:textId="77777777" w:rsidR="00EC776C" w:rsidRDefault="0012512B" w:rsidP="0012512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Publishable Contribution:</w:t>
      </w:r>
      <w:r w:rsidR="00EC776C">
        <w:rPr>
          <w:rFonts w:ascii="Times New Roman" w:hAnsi="Times New Roman" w:cs="Times New Roman"/>
        </w:rPr>
        <w:t xml:space="preserve"> </w:t>
      </w:r>
    </w:p>
    <w:p w14:paraId="0B11EB53" w14:textId="2A24B9D4" w:rsidR="0012512B" w:rsidRPr="0012512B" w:rsidRDefault="0012512B" w:rsidP="00EC776C">
      <w:pPr>
        <w:ind w:left="720"/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The method extends an ICLR-2025 paper with a clearly defined improvement and can be submitted as a short paper or workshop contribution upon completion.</w:t>
      </w:r>
    </w:p>
    <w:p w14:paraId="497D9822" w14:textId="59316F90" w:rsidR="0012512B" w:rsidRDefault="0012512B" w:rsidP="0012512B">
      <w:pPr>
        <w:jc w:val="both"/>
        <w:rPr>
          <w:rFonts w:ascii="Times New Roman" w:hAnsi="Times New Roman" w:cs="Times New Roman"/>
        </w:rPr>
      </w:pPr>
    </w:p>
    <w:p w14:paraId="7DF54175" w14:textId="77777777" w:rsidR="006169AB" w:rsidRPr="0012512B" w:rsidRDefault="006169AB" w:rsidP="0012512B">
      <w:pPr>
        <w:jc w:val="both"/>
        <w:rPr>
          <w:rFonts w:ascii="Times New Roman" w:hAnsi="Times New Roman" w:cs="Times New Roman"/>
        </w:rPr>
      </w:pPr>
    </w:p>
    <w:p w14:paraId="7242270A" w14:textId="0381C6F4" w:rsidR="0012512B" w:rsidRPr="0012512B" w:rsidRDefault="0012512B" w:rsidP="0012512B">
      <w:pPr>
        <w:jc w:val="both"/>
        <w:rPr>
          <w:rFonts w:ascii="Times New Roman" w:hAnsi="Times New Roman" w:cs="Times New Roman"/>
          <w:b/>
          <w:bCs/>
        </w:rPr>
      </w:pPr>
      <w:r w:rsidRPr="0012512B">
        <w:rPr>
          <w:rFonts w:ascii="Times New Roman" w:hAnsi="Times New Roman" w:cs="Times New Roman"/>
          <w:b/>
          <w:bCs/>
        </w:rPr>
        <w:t>Expected Outcome</w:t>
      </w:r>
      <w:r w:rsidR="00EC776C">
        <w:rPr>
          <w:rFonts w:ascii="Times New Roman" w:hAnsi="Times New Roman" w:cs="Times New Roman"/>
          <w:b/>
          <w:bCs/>
        </w:rPr>
        <w:t>:</w:t>
      </w:r>
    </w:p>
    <w:p w14:paraId="6EE0B0E7" w14:textId="77777777" w:rsidR="0012512B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The final system will demonstrate:</w:t>
      </w:r>
    </w:p>
    <w:p w14:paraId="3CEF7AF0" w14:textId="77777777" w:rsidR="0012512B" w:rsidRPr="0012512B" w:rsidRDefault="0012512B" w:rsidP="0012512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Improved reasoning accuracy on multi-hop and narrative QA tasks.</w:t>
      </w:r>
    </w:p>
    <w:p w14:paraId="4A4C2E1E" w14:textId="77777777" w:rsidR="0012512B" w:rsidRPr="0012512B" w:rsidRDefault="0012512B" w:rsidP="0012512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Transparent memory reasoning, visualized through inter-event attention heatmaps.</w:t>
      </w:r>
    </w:p>
    <w:p w14:paraId="67667030" w14:textId="548A9805" w:rsidR="0012512B" w:rsidRPr="0012512B" w:rsidRDefault="0012512B" w:rsidP="0012512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Balanced performance–efficiency trade-offs, showing how reasoning depth can be increased without heavy compute cost.</w:t>
      </w:r>
    </w:p>
    <w:p w14:paraId="2CBC99AD" w14:textId="4CE1BAB3" w:rsidR="00C15252" w:rsidRPr="0012512B" w:rsidRDefault="0012512B" w:rsidP="0012512B">
      <w:pPr>
        <w:jc w:val="both"/>
        <w:rPr>
          <w:rFonts w:ascii="Times New Roman" w:hAnsi="Times New Roman" w:cs="Times New Roman"/>
        </w:rPr>
      </w:pPr>
      <w:r w:rsidRPr="0012512B">
        <w:rPr>
          <w:rFonts w:ascii="Times New Roman" w:hAnsi="Times New Roman" w:cs="Times New Roman"/>
        </w:rPr>
        <w:t>This planned approach combines replication, enhancement, and original contribution in a way that is technically solid</w:t>
      </w:r>
      <w:r w:rsidR="00AF721F">
        <w:rPr>
          <w:rFonts w:ascii="Times New Roman" w:hAnsi="Times New Roman" w:cs="Times New Roman"/>
        </w:rPr>
        <w:t xml:space="preserve"> and</w:t>
      </w:r>
      <w:r w:rsidRPr="0012512B">
        <w:rPr>
          <w:rFonts w:ascii="Times New Roman" w:hAnsi="Times New Roman" w:cs="Times New Roman"/>
        </w:rPr>
        <w:t xml:space="preserve"> cognitively motivated</w:t>
      </w:r>
      <w:r w:rsidR="000A7A3A">
        <w:rPr>
          <w:rFonts w:ascii="Times New Roman" w:hAnsi="Times New Roman" w:cs="Times New Roman"/>
        </w:rPr>
        <w:t xml:space="preserve">, </w:t>
      </w:r>
      <w:r w:rsidRPr="0012512B">
        <w:rPr>
          <w:rFonts w:ascii="Times New Roman" w:hAnsi="Times New Roman" w:cs="Times New Roman"/>
        </w:rPr>
        <w:t xml:space="preserve">directly </w:t>
      </w:r>
      <w:r w:rsidR="00AF721F">
        <w:rPr>
          <w:rFonts w:ascii="Times New Roman" w:hAnsi="Times New Roman" w:cs="Times New Roman"/>
        </w:rPr>
        <w:t>addressing</w:t>
      </w:r>
      <w:r w:rsidRPr="0012512B">
        <w:rPr>
          <w:rFonts w:ascii="Times New Roman" w:hAnsi="Times New Roman" w:cs="Times New Roman"/>
        </w:rPr>
        <w:t xml:space="preserve"> a recognized limitation in long-context LLMs and </w:t>
      </w:r>
      <w:r w:rsidR="00AF721F">
        <w:rPr>
          <w:rFonts w:ascii="Times New Roman" w:hAnsi="Times New Roman" w:cs="Times New Roman"/>
        </w:rPr>
        <w:t>proposing</w:t>
      </w:r>
      <w:r w:rsidRPr="0012512B">
        <w:rPr>
          <w:rFonts w:ascii="Times New Roman" w:hAnsi="Times New Roman" w:cs="Times New Roman"/>
        </w:rPr>
        <w:t xml:space="preserve"> a clear, measurable</w:t>
      </w:r>
      <w:r w:rsidR="00ED172C">
        <w:rPr>
          <w:rFonts w:ascii="Times New Roman" w:hAnsi="Times New Roman" w:cs="Times New Roman"/>
        </w:rPr>
        <w:t xml:space="preserve"> </w:t>
      </w:r>
      <w:r w:rsidRPr="0012512B">
        <w:rPr>
          <w:rFonts w:ascii="Times New Roman" w:hAnsi="Times New Roman" w:cs="Times New Roman"/>
        </w:rPr>
        <w:t>solution.</w:t>
      </w:r>
    </w:p>
    <w:sectPr w:rsidR="00C15252" w:rsidRPr="0012512B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CDC"/>
    <w:multiLevelType w:val="multilevel"/>
    <w:tmpl w:val="58B2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20D6F"/>
    <w:multiLevelType w:val="multilevel"/>
    <w:tmpl w:val="1FA2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063D10"/>
    <w:multiLevelType w:val="multilevel"/>
    <w:tmpl w:val="915E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DF38BF"/>
    <w:multiLevelType w:val="multilevel"/>
    <w:tmpl w:val="4A6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023B0"/>
    <w:multiLevelType w:val="multilevel"/>
    <w:tmpl w:val="7FE8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BB4B7B"/>
    <w:multiLevelType w:val="multilevel"/>
    <w:tmpl w:val="EAE0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6270F"/>
    <w:multiLevelType w:val="multilevel"/>
    <w:tmpl w:val="4CA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811380">
    <w:abstractNumId w:val="1"/>
  </w:num>
  <w:num w:numId="2" w16cid:durableId="1254434343">
    <w:abstractNumId w:val="4"/>
  </w:num>
  <w:num w:numId="3" w16cid:durableId="22679322">
    <w:abstractNumId w:val="3"/>
  </w:num>
  <w:num w:numId="4" w16cid:durableId="572547168">
    <w:abstractNumId w:val="0"/>
  </w:num>
  <w:num w:numId="5" w16cid:durableId="1890535724">
    <w:abstractNumId w:val="6"/>
  </w:num>
  <w:num w:numId="6" w16cid:durableId="200285545">
    <w:abstractNumId w:val="2"/>
  </w:num>
  <w:num w:numId="7" w16cid:durableId="1964190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2B"/>
    <w:rsid w:val="000A7A3A"/>
    <w:rsid w:val="000C019F"/>
    <w:rsid w:val="0012512B"/>
    <w:rsid w:val="00244C6D"/>
    <w:rsid w:val="00397C51"/>
    <w:rsid w:val="003D020F"/>
    <w:rsid w:val="00447E11"/>
    <w:rsid w:val="004D6885"/>
    <w:rsid w:val="00505339"/>
    <w:rsid w:val="00525DBA"/>
    <w:rsid w:val="00611E74"/>
    <w:rsid w:val="006169AB"/>
    <w:rsid w:val="00795CBF"/>
    <w:rsid w:val="007A1AB3"/>
    <w:rsid w:val="00831812"/>
    <w:rsid w:val="008464CC"/>
    <w:rsid w:val="00895A13"/>
    <w:rsid w:val="008E4A4F"/>
    <w:rsid w:val="00966EA0"/>
    <w:rsid w:val="00A13074"/>
    <w:rsid w:val="00AF721F"/>
    <w:rsid w:val="00BA5CA2"/>
    <w:rsid w:val="00C15252"/>
    <w:rsid w:val="00C76F52"/>
    <w:rsid w:val="00D071E0"/>
    <w:rsid w:val="00D359D4"/>
    <w:rsid w:val="00D92772"/>
    <w:rsid w:val="00EC776C"/>
    <w:rsid w:val="00ED172C"/>
    <w:rsid w:val="00F57F3D"/>
    <w:rsid w:val="00FA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CFB84"/>
  <w15:chartTrackingRefBased/>
  <w15:docId w15:val="{9A4B69EE-3F6B-45B2-82F2-428ED72F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929</Words>
  <Characters>5990</Characters>
  <Application>Microsoft Office Word</Application>
  <DocSecurity>0</DocSecurity>
  <Lines>113</Lines>
  <Paragraphs>55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Paraskar, Poonam Dashrath</dc:creator>
  <cp:keywords/>
  <dc:description/>
  <cp:lastModifiedBy>Paraskar, Poonam Dashrath</cp:lastModifiedBy>
  <cp:revision>28</cp:revision>
  <dcterms:created xsi:type="dcterms:W3CDTF">2025-10-10T11:17:00Z</dcterms:created>
  <dcterms:modified xsi:type="dcterms:W3CDTF">2025-10-10T13:04:00Z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92c8efee-c4f3-4ec1-8725-676e2aae3f97</vt:lpwstr>
  </property>
</Properties>
</file>