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4F27" w14:textId="4FFF8562" w:rsidR="00AB6FA7" w:rsidRDefault="002305A1">
      <w:r>
        <w:rPr>
          <w:rFonts w:hint="eastAsia"/>
        </w:rPr>
        <w:t>BBVA</w:t>
      </w:r>
    </w:p>
    <w:p w14:paraId="7E80D25B" w14:textId="77777777" w:rsidR="002305A1" w:rsidRDefault="002305A1" w:rsidP="002305A1">
      <w:pPr>
        <w:pStyle w:val="p1"/>
      </w:pPr>
      <w:r>
        <w:rPr>
          <w:b/>
          <w:bCs/>
        </w:rPr>
        <w:t>BBVA’s Operations in Mexico: Labor Risk, Transparency Gaps, and Internal Labor Practices</w:t>
      </w:r>
    </w:p>
    <w:p w14:paraId="385688F8" w14:textId="4A2AA606" w:rsidR="002305A1" w:rsidRDefault="002305A1" w:rsidP="002305A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cale of </w:t>
      </w:r>
      <w:r>
        <w:t>operation</w:t>
      </w:r>
    </w:p>
    <w:p w14:paraId="7C41BDF1" w14:textId="77777777" w:rsidR="002305A1" w:rsidRDefault="002305A1" w:rsidP="002305A1">
      <w:pPr>
        <w:pStyle w:val="p1"/>
        <w:ind w:left="720"/>
      </w:pPr>
      <w:r>
        <w:t xml:space="preserve">As of the end of 2024, </w:t>
      </w:r>
      <w:r>
        <w:rPr>
          <w:rStyle w:val="s1"/>
          <w:rFonts w:eastAsiaTheme="majorEastAsia"/>
          <w:b/>
          <w:bCs/>
        </w:rPr>
        <w:t>BBVA Mexico employed 44,196 people</w:t>
      </w:r>
      <w:r>
        <w:t xml:space="preserve">, an increase of 2,361 compared to the previous year. The company operates </w:t>
      </w:r>
      <w:r>
        <w:rPr>
          <w:rStyle w:val="s1"/>
          <w:rFonts w:eastAsiaTheme="majorEastAsia"/>
          <w:b/>
          <w:bCs/>
        </w:rPr>
        <w:t>1,693 branches</w:t>
      </w:r>
      <w:r>
        <w:t xml:space="preserve"> and </w:t>
      </w:r>
      <w:r>
        <w:rPr>
          <w:rStyle w:val="s1"/>
          <w:rFonts w:eastAsiaTheme="majorEastAsia"/>
          <w:b/>
          <w:bCs/>
        </w:rPr>
        <w:t>14,612 ATMs</w:t>
      </w:r>
      <w:r>
        <w:t xml:space="preserve"> throughout the country, making Mexico the </w:t>
      </w:r>
      <w:r>
        <w:rPr>
          <w:rStyle w:val="s1"/>
          <w:rFonts w:eastAsiaTheme="majorEastAsia"/>
          <w:b/>
          <w:bCs/>
        </w:rPr>
        <w:t>largest contributor to BBVA Group’s workforce</w:t>
      </w:r>
      <w:r>
        <w:t xml:space="preserve"> and a cornerstone of its operations.</w:t>
      </w:r>
    </w:p>
    <w:p w14:paraId="1040A030" w14:textId="77777777" w:rsidR="002305A1" w:rsidRDefault="002305A1" w:rsidP="002305A1">
      <w:pPr>
        <w:pStyle w:val="p1"/>
        <w:numPr>
          <w:ilvl w:val="0"/>
          <w:numId w:val="1"/>
        </w:numPr>
      </w:pPr>
      <w:r>
        <w:rPr>
          <w:b/>
          <w:bCs/>
        </w:rPr>
        <w:t>Employee Support and Internal Labor Practices</w:t>
      </w:r>
    </w:p>
    <w:p w14:paraId="4B7C2DEF" w14:textId="77777777" w:rsidR="002305A1" w:rsidRDefault="002305A1" w:rsidP="002305A1">
      <w:pPr>
        <w:pStyle w:val="p1"/>
        <w:ind w:left="720"/>
      </w:pPr>
      <w:r>
        <w:t xml:space="preserve">Despite limited external </w:t>
      </w:r>
      <w:proofErr w:type="spellStart"/>
      <w:r>
        <w:t>labor</w:t>
      </w:r>
      <w:proofErr w:type="spellEnd"/>
      <w:r>
        <w:t xml:space="preserve"> risk disclosures, BBVA provides </w:t>
      </w:r>
      <w:r>
        <w:rPr>
          <w:rStyle w:val="s1"/>
          <w:rFonts w:eastAsiaTheme="majorEastAsia"/>
          <w:b/>
          <w:bCs/>
        </w:rPr>
        <w:t xml:space="preserve">detailed reporting on internal </w:t>
      </w:r>
      <w:proofErr w:type="spellStart"/>
      <w:r>
        <w:rPr>
          <w:rStyle w:val="s1"/>
          <w:rFonts w:eastAsiaTheme="majorEastAsia"/>
          <w:b/>
          <w:bCs/>
        </w:rPr>
        <w:t>labor</w:t>
      </w:r>
      <w:proofErr w:type="spellEnd"/>
      <w:r>
        <w:rPr>
          <w:rStyle w:val="s1"/>
          <w:rFonts w:eastAsiaTheme="majorEastAsia"/>
          <w:b/>
          <w:bCs/>
        </w:rPr>
        <w:t xml:space="preserve"> policies and employee well-being</w:t>
      </w:r>
      <w:r>
        <w:t>, particularly in high-impact markets like Mexico.</w:t>
      </w:r>
    </w:p>
    <w:p w14:paraId="509CE64A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BBVA reports that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of employees in Mexico are covered by collective agreements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or employment contracts aligned with national and internal </w:t>
      </w:r>
      <w:proofErr w:type="spellStart"/>
      <w:r w:rsidRPr="002305A1">
        <w:rPr>
          <w:rFonts w:ascii="Times New Roman" w:eastAsia="Times New Roman" w:hAnsi="Times New Roman" w:cs="Times New Roman"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policies.</w:t>
      </w:r>
    </w:p>
    <w:p w14:paraId="2E3B7C07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>• Employees receive benefits beyond legal requirements, including:</w:t>
      </w:r>
    </w:p>
    <w:p w14:paraId="3B11D589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insurance</w:t>
      </w:r>
    </w:p>
    <w:p w14:paraId="3639BD11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 insurance</w:t>
      </w:r>
    </w:p>
    <w:p w14:paraId="6016F5EA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Retirement savings plans</w:t>
      </w:r>
    </w:p>
    <w:p w14:paraId="6BE4E972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working models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parental leave</w:t>
      </w:r>
    </w:p>
    <w:p w14:paraId="47DCB9A4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CAB2C0" w14:textId="245B4555" w:rsidR="002305A1" w:rsidRPr="002305A1" w:rsidRDefault="002305A1" w:rsidP="002305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Diversity and Inclusion</w:t>
      </w:r>
    </w:p>
    <w:p w14:paraId="70385859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Women make up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42.3% of total management positions in Mexico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>, with a focus on developing female leadership.</w:t>
      </w:r>
    </w:p>
    <w:p w14:paraId="3CA23E0D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BBVA has implemented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pay equity reviews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and set up tracking systems to reduce disparities.</w:t>
      </w:r>
    </w:p>
    <w:p w14:paraId="37334BF8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F63B5D" w14:textId="2AAED9FC" w:rsidR="002305A1" w:rsidRPr="002305A1" w:rsidRDefault="002305A1" w:rsidP="002305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Well-being and Work-Life Balance</w:t>
      </w:r>
    </w:p>
    <w:p w14:paraId="12504990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BBVA introduced well-being programs that include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mental health support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workplace ergonomics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on emotional resilience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2C692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The group reported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work-related fatalities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in 2024, indicating a strong safety culture.</w:t>
      </w:r>
    </w:p>
    <w:p w14:paraId="2A289DCA" w14:textId="77777777" w:rsidR="002305A1" w:rsidRPr="002305A1" w:rsidRDefault="0003795A" w:rsidP="002305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795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EA3E5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3A248C" w14:textId="3D2E4DA6" w:rsidR="002305A1" w:rsidRPr="002305A1" w:rsidRDefault="002305A1" w:rsidP="002305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Gaps in Labor Rights Risk (External Supply Chain)</w:t>
      </w:r>
    </w:p>
    <w:p w14:paraId="18990AB8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3CF20F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While BBVA excels in employee support, it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fails to adequately disclose potential </w:t>
      </w:r>
      <w:proofErr w:type="spellStart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rights risks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in its extended operations and value chain, especially in Mexico:</w:t>
      </w:r>
    </w:p>
    <w:p w14:paraId="371F12A6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The report does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mention “forced </w:t>
      </w:r>
      <w:proofErr w:type="spellStart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” or “child </w:t>
      </w:r>
      <w:proofErr w:type="spellStart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</w:p>
    <w:p w14:paraId="3E1B450B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There is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reference to GRI 408 (Child Labor), GRI 409 (Forced Labor), or GRI 414 (Supplier Assessment)</w:t>
      </w:r>
    </w:p>
    <w:p w14:paraId="37348F90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• No indication of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third-party </w:t>
      </w:r>
      <w:proofErr w:type="spellStart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audits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rights due diligence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 in outsourced services such as security, facility services, or call </w:t>
      </w:r>
      <w:proofErr w:type="spellStart"/>
      <w:r w:rsidRPr="002305A1">
        <w:rPr>
          <w:rFonts w:ascii="Times New Roman" w:eastAsia="Times New Roman" w:hAnsi="Times New Roman" w:cs="Times New Roman"/>
          <w:kern w:val="0"/>
          <w14:ligatures w14:val="none"/>
        </w:rPr>
        <w:t>centers</w:t>
      </w:r>
      <w:proofErr w:type="spellEnd"/>
    </w:p>
    <w:p w14:paraId="7674559C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53AC1" w14:textId="77777777" w:rsidR="002305A1" w:rsidRPr="002305A1" w:rsidRDefault="002305A1" w:rsidP="0023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Given Mexico’s known vulnerabilities—including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weak enforcement of </w:t>
      </w:r>
      <w:proofErr w:type="spellStart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</w:t>
      </w:r>
      <w:proofErr w:type="spellEnd"/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laws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, widespread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outsourcing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 xml:space="preserve">, and high rates of </w:t>
      </w:r>
      <w:r w:rsidRPr="002305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informal employment</w:t>
      </w:r>
      <w:r w:rsidRPr="002305A1">
        <w:rPr>
          <w:rFonts w:ascii="Times New Roman" w:eastAsia="Times New Roman" w:hAnsi="Times New Roman" w:cs="Times New Roman"/>
          <w:kern w:val="0"/>
          <w14:ligatures w14:val="none"/>
        </w:rPr>
        <w:t>—this absence is a notable transparency gap.</w:t>
      </w:r>
    </w:p>
    <w:p w14:paraId="0158D4A3" w14:textId="77777777" w:rsidR="002305A1" w:rsidRDefault="002305A1" w:rsidP="002305A1">
      <w:pPr>
        <w:pStyle w:val="ListParagraph"/>
        <w:rPr>
          <w:rFonts w:hint="eastAsia"/>
        </w:rPr>
      </w:pPr>
    </w:p>
    <w:p w14:paraId="7BC56669" w14:textId="5F55D19A" w:rsidR="00AB6FA7" w:rsidRDefault="00AB6FA7">
      <w:hyperlink r:id="rId5" w:history="1">
        <w:r w:rsidRPr="004434A3">
          <w:rPr>
            <w:rStyle w:val="Hyperlink"/>
          </w:rPr>
          <w:t>https://shareholdersandinvestors.bbva.com/microsites/cuentasanuales2024/en/#page=244</w:t>
        </w:r>
      </w:hyperlink>
    </w:p>
    <w:p w14:paraId="256D6BAE" w14:textId="73CB7BC3" w:rsidR="00AB6FA7" w:rsidRDefault="00AB6FA7">
      <w:r w:rsidRPr="00AB6FA7">
        <w:lastRenderedPageBreak/>
        <w:drawing>
          <wp:inline distT="0" distB="0" distL="0" distR="0" wp14:anchorId="6057EC63" wp14:editId="7DC26D2E">
            <wp:extent cx="5731510" cy="7825740"/>
            <wp:effectExtent l="0" t="0" r="0" b="0"/>
            <wp:docPr id="166792506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5062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89E" w14:textId="67E31E04" w:rsidR="00AB6FA7" w:rsidRDefault="00AB6FA7">
      <w:hyperlink r:id="rId7" w:history="1">
        <w:r w:rsidRPr="004434A3">
          <w:rPr>
            <w:rStyle w:val="Hyperlink"/>
          </w:rPr>
          <w:t>https://shareholdersandinvestors.bbva.com/microsites/cuentasanuales2024/en/#page=252</w:t>
        </w:r>
      </w:hyperlink>
    </w:p>
    <w:p w14:paraId="5FC0CA4C" w14:textId="70FFBFFE" w:rsidR="00AB6FA7" w:rsidRDefault="00AB6FA7">
      <w:r>
        <w:rPr>
          <w:rFonts w:hint="eastAsia"/>
        </w:rPr>
        <w:t>employee development</w:t>
      </w:r>
    </w:p>
    <w:p w14:paraId="1AFE5F85" w14:textId="4C70A2C0" w:rsidR="00AB6FA7" w:rsidRPr="00AB6FA7" w:rsidRDefault="00AB6FA7">
      <w:pPr>
        <w:rPr>
          <w:rFonts w:hint="eastAsia"/>
        </w:rPr>
      </w:pPr>
      <w:r w:rsidRPr="00AB6FA7">
        <w:lastRenderedPageBreak/>
        <w:drawing>
          <wp:inline distT="0" distB="0" distL="0" distR="0" wp14:anchorId="18206E6D" wp14:editId="4628C0FA">
            <wp:extent cx="5731510" cy="3175000"/>
            <wp:effectExtent l="0" t="0" r="0" b="0"/>
            <wp:docPr id="148513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32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A7" w:rsidRPr="00AB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B3BD4"/>
    <w:multiLevelType w:val="hybridMultilevel"/>
    <w:tmpl w:val="AEC8D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22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7"/>
    <w:rsid w:val="0003795A"/>
    <w:rsid w:val="002305A1"/>
    <w:rsid w:val="00AB6FA7"/>
    <w:rsid w:val="00DF09AB"/>
    <w:rsid w:val="00E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405"/>
  <w15:chartTrackingRefBased/>
  <w15:docId w15:val="{596534A5-65D5-8B4E-A606-B9FBAD05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F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A7"/>
    <w:rPr>
      <w:color w:val="605E5C"/>
      <w:shd w:val="clear" w:color="auto" w:fill="E1DFDD"/>
    </w:rPr>
  </w:style>
  <w:style w:type="paragraph" w:customStyle="1" w:styleId="p1">
    <w:name w:val="p1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305A1"/>
  </w:style>
  <w:style w:type="character" w:customStyle="1" w:styleId="apple-tab-span">
    <w:name w:val="apple-tab-span"/>
    <w:basedOn w:val="DefaultParagraphFont"/>
    <w:rsid w:val="002305A1"/>
  </w:style>
  <w:style w:type="paragraph" w:customStyle="1" w:styleId="p2">
    <w:name w:val="p2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305A1"/>
  </w:style>
  <w:style w:type="paragraph" w:customStyle="1" w:styleId="p3">
    <w:name w:val="p3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305A1"/>
  </w:style>
  <w:style w:type="paragraph" w:customStyle="1" w:styleId="p7">
    <w:name w:val="p7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23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hareholdersandinvestors.bbva.com/microsites/cuentasanuales2024/en/#page=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areholdersandinvestors.bbva.com/microsites/cuentasanuales2024/en/#page=2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Yanxuan Li</dc:creator>
  <cp:keywords/>
  <dc:description/>
  <cp:lastModifiedBy>Yanxuan Li</cp:lastModifiedBy>
  <cp:revision>1</cp:revision>
  <dcterms:created xsi:type="dcterms:W3CDTF">2025-04-22T11:12:00Z</dcterms:created>
  <dcterms:modified xsi:type="dcterms:W3CDTF">2025-04-22T11:37:00Z</dcterms:modified>
</cp:coreProperties>
</file>