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4DA" w:rsidRDefault="009424DA" w:rsidP="009424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>Ministro Márcio Eurico Vitral Amaro</w:t>
      </w:r>
    </w:p>
    <w:p w:rsidR="009424DA" w:rsidRPr="00B71A7C" w:rsidRDefault="009424DA" w:rsidP="009424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Tema: Estabilidade de dirigente sindical em função de confiança </w:t>
      </w:r>
    </w:p>
    <w:p w:rsidR="009424DA" w:rsidRDefault="009424DA" w:rsidP="009424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Márcio Eurico Vitral Amaro ingressou como </w:t>
      </w:r>
      <w:r>
        <w:rPr>
          <w:rFonts w:ascii="Times New Roman" w:hAnsi="Times New Roman" w:cs="Times New Roman"/>
          <w:sz w:val="24"/>
          <w:szCs w:val="24"/>
          <w:lang w:val="pt-BR"/>
        </w:rPr>
        <w:t>m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inistro do Tribunal Superior do Trabalho em 2007. Neste acórdão da SDI-1 de 15/05/2014, decidiu-se acerca da estabilidade do dirigente sindical quando da ocupação da função de confiança, no Serviço Nacional de Aprendizagem do Cooperativismo no Estado do Piauí – SESCOOP/PI. Embora o dirigente sindical tenha o direito à </w:t>
      </w:r>
      <w:proofErr w:type="gramStart"/>
      <w:r w:rsidRPr="00B71A7C">
        <w:rPr>
          <w:rFonts w:ascii="Times New Roman" w:hAnsi="Times New Roman" w:cs="Times New Roman"/>
          <w:sz w:val="24"/>
          <w:szCs w:val="24"/>
          <w:lang w:val="pt-BR"/>
        </w:rPr>
        <w:t>estabilidade garantido</w:t>
      </w:r>
      <w:proofErr w:type="gramEnd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pela Constituição Federal de 1988 e pela Consolidação das Leis de Trabalho (CLT), esse acórdão chama atenção para o fato de que a função de livre nomeação reverte-se de caráter precário e alicerça-se a confiança depositada pelo empregador no empregado, a fim de que este defenda os interesses daquele. Sendo assim, o reconhecimento de garantir ade emprego, ainda que decorrente da estabilidade sindical assegurada no art. 8º, inciso VIII, da Constituição Federal, implicaria perpetuar o trabalhador no cargo que exerce função de confiança. Isso afronta o art. 499 da CLT, que prevê a não garantia de estabilidade no exercício dos cargos de diretoria, gerência ou outros de confiança imediata do empregador. Nessa perspectiva, o eminente acórdão estabelece um </w:t>
      </w:r>
      <w:r w:rsidRPr="00AC3A30">
        <w:rPr>
          <w:rFonts w:ascii="Times New Roman" w:hAnsi="Times New Roman" w:cs="Times New Roman"/>
          <w:sz w:val="24"/>
          <w:szCs w:val="24"/>
          <w:lang w:val="pt-BR"/>
        </w:rPr>
        <w:t>entendimento claro quanto à função de confiança. Sendo uma função de livre nomeação e livre exoneração, justamente por ser função baseada na confiabilidade do empregador em relação às funções desempenhadas pelo empregado em função específica, não há porque reconhecer a estabilidade do empregado em tal posto, mesmo que este tenha garantida a estabilidade de seu emprego em virtude de exercer cargo de direção sindical.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4DC"/>
    <w:rsid w:val="003936FD"/>
    <w:rsid w:val="009424DA"/>
    <w:rsid w:val="00A374DC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4DA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42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24DA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4DA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42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24DA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1407</Characters>
  <Application>Microsoft Office Word</Application>
  <DocSecurity>0</DocSecurity>
  <Lines>11</Lines>
  <Paragraphs>3</Paragraphs>
  <ScaleCrop>false</ScaleCrop>
  <Company>Microsoft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2018-03-08T19:11:00Z</dcterms:created>
  <dcterms:modified xsi:type="dcterms:W3CDTF">2018-03-08T19:12:00Z</dcterms:modified>
</cp:coreProperties>
</file>