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CF" w:rsidRPr="00E078AB" w:rsidRDefault="00E078AB" w:rsidP="00E078AB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acórdãos aqui selecionados demonstram um pouco da história, da importância e da formação da jurisprudência do Tribunal Superior do Trabalho ao longo do tempo, reunindo</w:t>
      </w:r>
      <w:r w:rsidRPr="005E56A7">
        <w:rPr>
          <w:rFonts w:ascii="Times New Roman" w:hAnsi="Times New Roman" w:cs="Times New Roman"/>
          <w:sz w:val="24"/>
          <w:szCs w:val="24"/>
          <w:lang w:val="pt-BR"/>
        </w:rPr>
        <w:t xml:space="preserve"> as principais decisões do TST nas últimas décadas.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As informações são baseadas no livro institucional intitulado “Tribunal Superior do Trabalho – 70 anos em acórdãos”. A publicação foi coordenada pelo ministro Alexandre Agra Belmonte em 2016, na qual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destacam-se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algumas participações por meio de acórdãos representativos aos 70 anos da Corte superior trabalhista. Foi </w:t>
      </w:r>
      <w:r w:rsidRPr="005E56A7">
        <w:rPr>
          <w:rFonts w:ascii="Times New Roman" w:hAnsi="Times New Roman" w:cs="Times New Roman"/>
          <w:sz w:val="24"/>
          <w:szCs w:val="24"/>
          <w:lang w:val="pt-BR"/>
        </w:rPr>
        <w:t>produzida pela Editora JC e pelo Instituto Justiça e Cidadania</w:t>
      </w:r>
      <w:r>
        <w:rPr>
          <w:rFonts w:ascii="Times New Roman" w:hAnsi="Times New Roman" w:cs="Times New Roman"/>
          <w:sz w:val="24"/>
          <w:szCs w:val="24"/>
          <w:lang w:val="pt-BR"/>
        </w:rPr>
        <w:t>. O</w:t>
      </w:r>
      <w:r w:rsidRPr="005E56A7">
        <w:rPr>
          <w:rFonts w:ascii="Times New Roman" w:hAnsi="Times New Roman" w:cs="Times New Roman"/>
          <w:sz w:val="24"/>
          <w:szCs w:val="24"/>
          <w:lang w:val="pt-BR"/>
        </w:rPr>
        <w:t xml:space="preserve">rganizada por ministros do TST antigos e atuais. A compilação retrata, por meio das decisões, a evolução na interpretação das questões trabalhistas, revelando o papel da Justiça do Trabalho na consolidação e na harmonização dos princípios fundamentais do valor social do trabalho e da livre iniciativa, que informam </w:t>
      </w:r>
      <w:r>
        <w:rPr>
          <w:rFonts w:ascii="Times New Roman" w:hAnsi="Times New Roman" w:cs="Times New Roman"/>
          <w:sz w:val="24"/>
          <w:szCs w:val="24"/>
          <w:lang w:val="pt-BR"/>
        </w:rPr>
        <w:t>o Estado Democrático de Direito.</w:t>
      </w:r>
      <w:bookmarkStart w:id="0" w:name="_GoBack"/>
      <w:bookmarkEnd w:id="0"/>
    </w:p>
    <w:sectPr w:rsidR="00C313CF" w:rsidRPr="00E0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AF"/>
    <w:rsid w:val="001730AF"/>
    <w:rsid w:val="003936FD"/>
    <w:rsid w:val="00C313CF"/>
    <w:rsid w:val="00E0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078A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078A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2018-03-08T18:25:00Z</dcterms:created>
  <dcterms:modified xsi:type="dcterms:W3CDTF">2018-03-08T18:26:00Z</dcterms:modified>
</cp:coreProperties>
</file>