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6F6" w:rsidRPr="00B71A7C" w:rsidRDefault="004A06F6" w:rsidP="004A06F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B71A7C">
        <w:rPr>
          <w:rFonts w:ascii="Times New Roman" w:hAnsi="Times New Roman" w:cs="Times New Roman"/>
          <w:b/>
          <w:sz w:val="24"/>
          <w:szCs w:val="24"/>
          <w:lang w:val="pt-BR"/>
        </w:rPr>
        <w:t>Ministro Emmanoel Pereira</w:t>
      </w:r>
      <w:bookmarkStart w:id="0" w:name="_GoBack"/>
      <w:bookmarkEnd w:id="0"/>
    </w:p>
    <w:p w:rsidR="004A06F6" w:rsidRPr="00B71A7C" w:rsidRDefault="004A06F6" w:rsidP="004A06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Tema: Desnecessidade de cumprimento de prazo para comunicação de gestação </w:t>
      </w:r>
    </w:p>
    <w:p w:rsidR="004A06F6" w:rsidRDefault="004A06F6" w:rsidP="004A06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O </w:t>
      </w:r>
      <w:r>
        <w:rPr>
          <w:rFonts w:ascii="Times New Roman" w:hAnsi="Times New Roman" w:cs="Times New Roman"/>
          <w:sz w:val="24"/>
          <w:szCs w:val="24"/>
          <w:lang w:val="pt-BR"/>
        </w:rPr>
        <w:t>m</w:t>
      </w:r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inistro Emmanoel Prereira ingressou no Tribunal Superior do Trabalho em 2002. Neste acórdão da 1ª Turma de 30/06/2004, decidiu-se que o não cumprimento pela funcionária do prazo fixado em norma coletiva a respeito da obrigatoriedade de comunicação ao empregador do estado gravídico não se constituiu em fator impeditivo ao direito à estabilidade provisória. No caso em análise, a empresa afirmou que tomou ciência da gravidez da empregada quando houve a reclamação trabalhista (nove meses após o desligamento da empresa). Requereu, alternativamente, que a estabilidade fosse contada a partir da propositura da referida reclamação, afirmando que houve desrespeito de cláusula de convenção coletiva de trabalho da categoria, que impõe à empregada o dever de comunicar </w:t>
      </w:r>
      <w:proofErr w:type="gramStart"/>
      <w:r w:rsidRPr="00B71A7C">
        <w:rPr>
          <w:rFonts w:ascii="Times New Roman" w:hAnsi="Times New Roman" w:cs="Times New Roman"/>
          <w:sz w:val="24"/>
          <w:szCs w:val="24"/>
          <w:lang w:val="pt-BR"/>
        </w:rPr>
        <w:t>à</w:t>
      </w:r>
      <w:proofErr w:type="gramEnd"/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 empregadora o seu estado de gravidez dentro de 60 dias após a concessão do aviso prévio. Nesse sentido, o eminente acórdão observou o disposto no art. 10, inciso II, “b”, do ADCT da Constituição Federal de 1988, que prevê o direito da gestante à estabilidade provisória no emprego, desde a data da confirmação da gravidez (e não da ciência por parte da empresa) até cinco meses após o parto. Sendo assim, o disposto na convenção coletiva não vai ao encontro da estabilidade assegurada pelo Texto Constitucional, que possui não só a finalidade de resguardar o direito da trabalhadora, mas, preci</w:t>
      </w:r>
      <w:r>
        <w:rPr>
          <w:rFonts w:ascii="Times New Roman" w:hAnsi="Times New Roman" w:cs="Times New Roman"/>
          <w:sz w:val="24"/>
          <w:szCs w:val="24"/>
          <w:lang w:val="pt-BR"/>
        </w:rPr>
        <w:t>puamente, proteger o nascituro.</w:t>
      </w:r>
    </w:p>
    <w:p w:rsidR="00C313CF" w:rsidRDefault="00C313CF"/>
    <w:sectPr w:rsidR="00C31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1D3"/>
    <w:rsid w:val="003936FD"/>
    <w:rsid w:val="004A06F6"/>
    <w:rsid w:val="00C313CF"/>
    <w:rsid w:val="00D2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6F6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A06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06F6"/>
    <w:rPr>
      <w:rFonts w:ascii="Tahoma" w:eastAsiaTheme="minorHAnsi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6F6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A06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06F6"/>
    <w:rPr>
      <w:rFonts w:ascii="Tahoma" w:eastAsiaTheme="minorHAnsi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1265</Characters>
  <Application>Microsoft Office Word</Application>
  <DocSecurity>0</DocSecurity>
  <Lines>10</Lines>
  <Paragraphs>2</Paragraphs>
  <ScaleCrop>false</ScaleCrop>
  <Company>Microsoft</Company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2018-03-08T19:00:00Z</dcterms:created>
  <dcterms:modified xsi:type="dcterms:W3CDTF">2018-03-08T19:00:00Z</dcterms:modified>
</cp:coreProperties>
</file>