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05" w:rsidRPr="00B71A7C" w:rsidRDefault="00F25E05" w:rsidP="00F25E0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Nelso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n Tapajós</w:t>
      </w:r>
      <w:bookmarkStart w:id="0" w:name="_GoBack"/>
      <w:bookmarkEnd w:id="0"/>
    </w:p>
    <w:p w:rsidR="00F25E05" w:rsidRPr="00B71A7C" w:rsidRDefault="00F25E05" w:rsidP="00F25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Unicidade contratual na prestação simultânea de serviços ao grupo econômico </w:t>
      </w:r>
    </w:p>
    <w:p w:rsidR="00F25E05" w:rsidRPr="00B71A7C" w:rsidRDefault="00F25E05" w:rsidP="00F25E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07E8C">
        <w:rPr>
          <w:rFonts w:ascii="Times New Roman" w:hAnsi="Times New Roman" w:cs="Times New Roman"/>
          <w:sz w:val="24"/>
          <w:szCs w:val="24"/>
          <w:lang w:val="pt-BR"/>
        </w:rPr>
        <w:t>Nelson Tapajós ingressou como ministro do Tribunal Superior do Trabalho em 1978, atuando até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1987. Neste acórdão da 2ª Turma de 10/12/1979, decidiu-se que a prestação de serviços a empresas integrantes do mesmo grupo econômico, a um só tempo, no mesmo local e no mesmo horário, indistintamente, não configura a existência de mais de um contrato de trabalho. Configura-se um bloco econômico quando uma ou mais empresas estão sob a direção, controle ou administração de outra. No Brasil, a existência dos blocos mereceu atenção especial do legislador, no que concerne à existência e à manutenção dos direitos trabalhistas. Reza a CLT que para os efeitos da relação empregatícia são solidariamente responsáveis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empresa principal e cada uma das subordinadas pertencentes ao mesmo bloco. Desta forma, protege-se o empregado na qualidade de parte hipossuficiente do vínculo trabalhista.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DD"/>
    <w:rsid w:val="003936FD"/>
    <w:rsid w:val="00515EDD"/>
    <w:rsid w:val="00C313CF"/>
    <w:rsid w:val="00F2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0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05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2018-03-08T19:46:00Z</dcterms:created>
  <dcterms:modified xsi:type="dcterms:W3CDTF">2018-03-08T19:47:00Z</dcterms:modified>
</cp:coreProperties>
</file>