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F6" w:rsidRDefault="001552F6" w:rsidP="001552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Alexandre de Souza Agra Belmonte</w:t>
      </w:r>
    </w:p>
    <w:p w:rsidR="001552F6" w:rsidRPr="008D12A1" w:rsidRDefault="001552F6" w:rsidP="001552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A5FC0">
        <w:rPr>
          <w:rFonts w:ascii="Times New Roman" w:hAnsi="Times New Roman" w:cs="Times New Roman"/>
          <w:b/>
          <w:sz w:val="24"/>
          <w:szCs w:val="24"/>
          <w:lang w:val="pt-BR"/>
        </w:rPr>
        <w:t>Tema</w:t>
      </w:r>
      <w:r>
        <w:rPr>
          <w:rFonts w:ascii="Times New Roman" w:hAnsi="Times New Roman" w:cs="Times New Roman"/>
          <w:sz w:val="24"/>
          <w:szCs w:val="24"/>
          <w:lang w:val="pt-BR"/>
        </w:rPr>
        <w:t>: Licença da mãe adotante</w:t>
      </w:r>
    </w:p>
    <w:p w:rsidR="00C313CF" w:rsidRPr="0020581A" w:rsidRDefault="001552F6" w:rsidP="0020581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Alexandre de Souza Agra Belmonte ingressou como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do Tribunal Superior do Trabalho em 2012. Neste acórdão da 3ª Turma de 10/06/2015, decidiu-se acerca do usufruto de licença maternidade no caso em que a mãe é adotante. O art. 7º, XVIII, do texto constitucional concede licença de cento e vinte dias à gestante, sem prejuízo do emprego e do salário. Para possibilitar o exercício do direito, o art. 10, II, “b”, do Ato das Disposições Institucionais Transitórias – ADCT – da Constituição Federal de 1988 veda a despedida arbitrária ou sem justa causa da empregada gestante, desde a confirmação da gravidez até cinco meses após o parto. A Constituição utiliza o termo “gestante”, mas a licença de cento e vinte dias abrange, nos termos da parte final do art. 7º, caput, da Constituição, o direito social destinado à melhoria das condições de trabalho das mães adotantes, previsto no art. 392-A, da CLT. Daí que a utilização da expressão licença maternidade abrange a licença gestante e a licença adotante. Nesse sentido, a estabilidade da mãe adotante tem, evidentemente, marcos inicial e final distintos da mãe gestante. Enquanto a desta tem início a partir da confirmação da gravidez e se estende até cinco meses após o parto, a daquela se situa no período de cinco meses após a concretização do interesse na adoção, em que inserido o período de licença adotante, de cento e vinte dias. Sendo assim, decidiu-se que não merecia prosperar a dispensa de empregada sem justa causa, por ter sido efetivada durante o período que corresponderia aos direitos à estabilidade e à fruição da licença adotante. A Lei nº 10.421/2002 estendeu à mãe adotiva o direito à licença-maternidade e ao salário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maternidade, alterando a CLT e 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a Lei nº 8.123/1991, que dispõe sobre os planos de benefícios da Previdência Social. O eminente acórdão, além de reconhecer esses direitos, garantiu também à mãe adotante o direito à estabilidade da empregada gestante, no sentido de proteger a empregada que adota uma criança de uma eventual demissão sem justa causa, não restando distinção entre a empregada que adota ou dá luz à criança – o que se observa, portanto, é a valorização da maternidade e a proteção social à trabalhadora e à criança. </w:t>
      </w:r>
      <w:bookmarkStart w:id="0" w:name="_GoBack"/>
      <w:bookmarkEnd w:id="0"/>
    </w:p>
    <w:sectPr w:rsidR="00C313CF" w:rsidRPr="00205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B2A"/>
    <w:rsid w:val="001552F6"/>
    <w:rsid w:val="0020581A"/>
    <w:rsid w:val="00215B2A"/>
    <w:rsid w:val="003936FD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F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F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1939</Characters>
  <Application>Microsoft Office Word</Application>
  <DocSecurity>0</DocSecurity>
  <Lines>16</Lines>
  <Paragraphs>4</Paragraphs>
  <ScaleCrop>false</ScaleCrop>
  <Company>Microsoft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2018-03-08T18:40:00Z</dcterms:created>
  <dcterms:modified xsi:type="dcterms:W3CDTF">2018-03-08T18:42:00Z</dcterms:modified>
</cp:coreProperties>
</file>