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1AF" w:rsidRPr="004D4E63" w:rsidRDefault="009D71AF" w:rsidP="009D71A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D4E63">
        <w:rPr>
          <w:rFonts w:ascii="Times New Roman" w:hAnsi="Times New Roman" w:cs="Times New Roman"/>
          <w:b/>
          <w:sz w:val="24"/>
          <w:szCs w:val="24"/>
          <w:lang w:val="pt-BR"/>
        </w:rPr>
        <w:t>Ministro Orlando Coutinho</w:t>
      </w:r>
      <w:bookmarkStart w:id="0" w:name="_GoBack"/>
      <w:bookmarkEnd w:id="0"/>
    </w:p>
    <w:p w:rsidR="009D71AF" w:rsidRPr="00B71A7C" w:rsidRDefault="009D71AF" w:rsidP="009D71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Tema: Limites do Regulamento empresarial para aplicação de pena disciplinar </w:t>
      </w:r>
    </w:p>
    <w:p w:rsidR="009D71AF" w:rsidRPr="00B71A7C" w:rsidRDefault="009D71AF" w:rsidP="009D71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7E8C">
        <w:rPr>
          <w:rFonts w:ascii="Times New Roman" w:hAnsi="Times New Roman" w:cs="Times New Roman"/>
          <w:sz w:val="24"/>
          <w:szCs w:val="24"/>
          <w:lang w:val="pt-BR"/>
        </w:rPr>
        <w:t xml:space="preserve">Orlando Coutinho ingressou como ministro do TST em 1973, atuando na Corte até 1982. Neste acórdão da 2ª Turma de 06/12/1977, decidiu-se que não é </w:t>
      </w:r>
      <w:proofErr w:type="gramStart"/>
      <w:r w:rsidRPr="00107E8C">
        <w:rPr>
          <w:rFonts w:ascii="Times New Roman" w:hAnsi="Times New Roman" w:cs="Times New Roman"/>
          <w:sz w:val="24"/>
          <w:szCs w:val="24"/>
          <w:lang w:val="pt-BR"/>
        </w:rPr>
        <w:t>válida a pena disciplinar aplicada</w:t>
      </w:r>
      <w:proofErr w:type="gramEnd"/>
      <w:r w:rsidRPr="00107E8C">
        <w:rPr>
          <w:rFonts w:ascii="Times New Roman" w:hAnsi="Times New Roman" w:cs="Times New Roman"/>
          <w:sz w:val="24"/>
          <w:szCs w:val="24"/>
          <w:lang w:val="pt-BR"/>
        </w:rPr>
        <w:t xml:space="preserve"> pelo empregador que, contratualmente, obriga-se a assim não proceder sem prévio inquérito ou sindicância em que se assegure ao empregado o direito a ampla defesa. O direito a ampla defesa é um dos alicerces do devido processo legal. É conferida ao acusado a oportunidade de questionar acusações imputadas a ele. Para a administrativa Maria Sylvia Zanella </w:t>
      </w:r>
      <w:proofErr w:type="spellStart"/>
      <w:r w:rsidRPr="00107E8C">
        <w:rPr>
          <w:rFonts w:ascii="Times New Roman" w:hAnsi="Times New Roman" w:cs="Times New Roman"/>
          <w:sz w:val="24"/>
          <w:szCs w:val="24"/>
          <w:lang w:val="pt-BR"/>
        </w:rPr>
        <w:t>di</w:t>
      </w:r>
      <w:proofErr w:type="spellEnd"/>
      <w:r w:rsidRPr="00107E8C">
        <w:rPr>
          <w:rFonts w:ascii="Times New Roman" w:hAnsi="Times New Roman" w:cs="Times New Roman"/>
          <w:sz w:val="24"/>
          <w:szCs w:val="24"/>
          <w:lang w:val="pt-BR"/>
        </w:rPr>
        <w:t xml:space="preserve"> Pietro “o princípio da ampla defesa é aplicável em qualquer tipo de processo que envolva situações de litígio ou o poder sancionatório do Estado sobre pessoas físicas e jurídicas”. As relações trabalhistas também são amparadas pela ampla defesa, conforme verificado na súmula 77 do Tribunal Superior do Trabalho e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nos acórdãos precedentes.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434"/>
    <w:rsid w:val="003936FD"/>
    <w:rsid w:val="009D71AF"/>
    <w:rsid w:val="00BE0434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1AF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1AF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830</Characters>
  <Application>Microsoft Office Word</Application>
  <DocSecurity>0</DocSecurity>
  <Lines>6</Lines>
  <Paragraphs>1</Paragraphs>
  <ScaleCrop>false</ScaleCrop>
  <Company>Microsoft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2018-03-08T19:47:00Z</dcterms:created>
  <dcterms:modified xsi:type="dcterms:W3CDTF">2018-03-08T19:47:00Z</dcterms:modified>
</cp:coreProperties>
</file>