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20" w:rsidRDefault="00086B20" w:rsidP="00086B2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A5FC0">
        <w:rPr>
          <w:rFonts w:ascii="Times New Roman" w:hAnsi="Times New Roman" w:cs="Times New Roman"/>
          <w:b/>
          <w:sz w:val="24"/>
          <w:szCs w:val="24"/>
          <w:lang w:val="pt-BR"/>
        </w:rPr>
        <w:t>Ministro Walmir Oliveira da Costa</w:t>
      </w:r>
    </w:p>
    <w:p w:rsidR="00086B20" w:rsidRPr="00B71A7C" w:rsidRDefault="00086B20" w:rsidP="00086B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Coisa julgada material e eficácia preclusiva </w:t>
      </w:r>
    </w:p>
    <w:p w:rsidR="00086B20" w:rsidRPr="00B71A7C" w:rsidRDefault="00086B20" w:rsidP="00086B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Walmir Oliveira da Costa ingressou no TST em 2007, proveniente da magistratura de carreira do Tribunal Regional do Trabalho da 8ª Região. Neste acórdão da 1ª Turma de 13/04/2016, foi decidido que há eficácia preclusiva da coisa julgada material, na medida em que foi repetida a ação ajuizada anteriormente,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sob novo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ângulo – efeitos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panprocessuais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da coisa julgada material. Assim, nos termos do art. 508 do CPC/2015 (art. 474 do CPC/73), transitada em julgado a sentença de mérito, reputam-se deduzidas e repelidas todas as alegações e defesas que a parte poderia opor ao acolhimento ou à rejeição do pleito. Nesses termos, como na ação atual, o empregado pleiteava o reconhecimento de vínculo de empregado diretamente com o segundo reclamado na ação anterior (um banco) e os direitos previstos nos instrumentos coletivos da categoria dos bancários,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e ,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na ação anterior, foi reconhecida a condição de bancário do empregado, com responsabilização solidária do banco, porém negada a aplicação de normas coletivas da categoria, tratava-se da mesma ação, sob novo enfoque, e, portanto, já decidida. Essa decisão contribuiu para explicitar os efeitos da coisa julgada material, a partir da delineação do pedido formulado, notadamente quanto á eficácia preclusiva, que determina a imutabilidade da decisão transitada em julgado e a impossibilidade de ajuizamento de nova demanda sob o mesmo pleito. Realiza os princípios da segurança jurídica e da paz social.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AB"/>
    <w:rsid w:val="00086B20"/>
    <w:rsid w:val="001077AB"/>
    <w:rsid w:val="003936F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B20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B2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2018-03-08T19:16:00Z</dcterms:created>
  <dcterms:modified xsi:type="dcterms:W3CDTF">2018-03-08T19:17:00Z</dcterms:modified>
</cp:coreProperties>
</file>