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E0" w:rsidRDefault="00953AE0" w:rsidP="00953A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7A706A">
        <w:rPr>
          <w:rFonts w:ascii="Times New Roman" w:eastAsia="Times New Roman" w:hAnsi="Times New Roman" w:cs="Times New Roman"/>
          <w:sz w:val="20"/>
          <w:szCs w:val="20"/>
          <w:lang w:val="pt-BR"/>
        </w:rPr>
        <w:t>Fonte: Portal do Bibliotecário</w:t>
      </w:r>
    </w:p>
    <w:p w:rsidR="00953AE0" w:rsidRDefault="00953AE0" w:rsidP="00953A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7E4C72" w:rsidRPr="00072FB3" w:rsidRDefault="007E4C72" w:rsidP="007E4C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G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estão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oc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u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4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ntal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5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n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w w:val="99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7E4C72" w:rsidRPr="00A502C7" w:rsidRDefault="007E4C72" w:rsidP="007E4C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A502C7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2008,</w:t>
      </w:r>
      <w:r w:rsidRPr="00A502C7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A502C7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pres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den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pacing w:val="23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A502C7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A502C7"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A502C7">
        <w:rPr>
          <w:rFonts w:ascii="Times New Roman" w:eastAsia="Times New Roman" w:hAnsi="Times New Roman" w:cs="Times New Roman"/>
          <w:color w:val="212121"/>
          <w:spacing w:val="19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 w:rsidRPr="00A502C7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der</w:t>
      </w:r>
      <w:r w:rsidRPr="00A502C7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A502C7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o,</w:t>
      </w:r>
      <w:r w:rsidRPr="00A502C7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 w:rsidRPr="00A502C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</w:t>
      </w:r>
      <w:r w:rsidRPr="00A502C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A502C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zes</w:t>
      </w:r>
      <w:r w:rsidRPr="00A502C7"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para</w:t>
      </w:r>
      <w:r w:rsidRPr="00A502C7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w w:val="99"/>
          <w:sz w:val="24"/>
          <w:szCs w:val="24"/>
          <w:lang w:val="pt-BR"/>
        </w:rPr>
        <w:t>a</w:t>
      </w:r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po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lí</w:t>
      </w:r>
      <w:r w:rsidRPr="00A502C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ca</w:t>
      </w:r>
      <w:r w:rsidRPr="00A502C7">
        <w:rPr>
          <w:rFonts w:ascii="Times New Roman" w:eastAsia="Times New Roman" w:hAnsi="Times New Roman" w:cs="Times New Roman"/>
          <w:color w:val="212121"/>
          <w:spacing w:val="-6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de</w:t>
      </w:r>
      <w:r w:rsidRPr="00A502C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g</w:t>
      </w:r>
      <w:r w:rsidRPr="00A502C7">
        <w:rPr>
          <w:rFonts w:ascii="Times New Roman" w:eastAsia="Times New Roman" w:hAnsi="Times New Roman" w:cs="Times New Roman"/>
          <w:color w:val="212121"/>
          <w:spacing w:val="-3"/>
          <w:position w:val="-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A502C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ão</w:t>
      </w:r>
      <w:r w:rsidRPr="00A502C7">
        <w:rPr>
          <w:rFonts w:ascii="Times New Roman" w:eastAsia="Times New Roman" w:hAnsi="Times New Roman" w:cs="Times New Roman"/>
          <w:color w:val="212121"/>
          <w:spacing w:val="-3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de</w:t>
      </w:r>
      <w:r w:rsidRPr="00A502C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doc</w:t>
      </w:r>
      <w:r w:rsidRPr="00A502C7">
        <w:rPr>
          <w:rFonts w:ascii="Times New Roman" w:eastAsia="Times New Roman" w:hAnsi="Times New Roman" w:cs="Times New Roman"/>
          <w:color w:val="212121"/>
          <w:spacing w:val="2"/>
          <w:position w:val="-1"/>
          <w:sz w:val="24"/>
          <w:szCs w:val="24"/>
          <w:lang w:val="pt-BR"/>
        </w:rPr>
        <w:t>u</w:t>
      </w:r>
      <w:r w:rsidRPr="00A502C7">
        <w:rPr>
          <w:rFonts w:ascii="Times New Roman" w:eastAsia="Times New Roman" w:hAnsi="Times New Roman" w:cs="Times New Roman"/>
          <w:color w:val="212121"/>
          <w:spacing w:val="-3"/>
          <w:position w:val="-1"/>
          <w:sz w:val="24"/>
          <w:szCs w:val="24"/>
          <w:lang w:val="pt-BR"/>
        </w:rPr>
        <w:t>m</w:t>
      </w:r>
      <w:r w:rsidRPr="00A502C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n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os</w:t>
      </w:r>
      <w:r w:rsidRPr="00A502C7">
        <w:rPr>
          <w:rFonts w:ascii="Times New Roman" w:eastAsia="Times New Roman" w:hAnsi="Times New Roman" w:cs="Times New Roman"/>
          <w:color w:val="212121"/>
          <w:spacing w:val="-8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e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processos</w:t>
      </w:r>
      <w:r w:rsidRPr="00A502C7">
        <w:rPr>
          <w:rFonts w:ascii="Times New Roman" w:eastAsia="Times New Roman" w:hAnsi="Times New Roman" w:cs="Times New Roman"/>
          <w:color w:val="212121"/>
          <w:spacing w:val="-5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j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ud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c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a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A502C7">
        <w:rPr>
          <w:rFonts w:ascii="Times New Roman" w:eastAsia="Times New Roman" w:hAnsi="Times New Roman" w:cs="Times New Roman"/>
          <w:color w:val="212121"/>
          <w:spacing w:val="-7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e ad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mi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n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pacing w:val="2"/>
          <w:position w:val="-1"/>
          <w:sz w:val="24"/>
          <w:szCs w:val="24"/>
          <w:lang w:val="pt-BR"/>
        </w:rPr>
        <w:t>r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a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ti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vos</w:t>
      </w:r>
      <w:r w:rsidRPr="00A502C7">
        <w:rPr>
          <w:rFonts w:ascii="Times New Roman" w:eastAsia="Times New Roman" w:hAnsi="Times New Roman" w:cs="Times New Roman"/>
          <w:color w:val="212121"/>
          <w:spacing w:val="-8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do</w:t>
      </w:r>
      <w:r w:rsidRPr="00A502C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 xml:space="preserve"> </w:t>
      </w:r>
      <w:r w:rsidRPr="00A502C7">
        <w:rPr>
          <w:rFonts w:ascii="Times New Roman" w:eastAsia="Times New Roman" w:hAnsi="Times New Roman" w:cs="Times New Roman"/>
          <w:color w:val="212121"/>
          <w:spacing w:val="-7"/>
          <w:position w:val="-1"/>
          <w:sz w:val="24"/>
          <w:szCs w:val="24"/>
          <w:lang w:val="pt-BR"/>
        </w:rPr>
        <w:t>T</w:t>
      </w:r>
      <w:r w:rsidRPr="00A502C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>r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bun</w:t>
      </w:r>
      <w:r w:rsidRPr="00A502C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a</w:t>
      </w:r>
      <w:r w:rsidRPr="00A502C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l</w:t>
      </w:r>
      <w:r w:rsidRPr="00A502C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 xml:space="preserve">. </w:t>
      </w:r>
    </w:p>
    <w:p w:rsidR="007E4C72" w:rsidRPr="00A502C7" w:rsidRDefault="007E4C72" w:rsidP="007E4C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>Em 2011, a presidência do Conselho Superior da Justiça do Trabalho (CSJT), mediante o Ato nº 262, instituiu o Manual de Gestão Documental da Justiça do Trabalho de 1° e 2° graus.</w:t>
      </w:r>
    </w:p>
    <w:p w:rsidR="007E4C72" w:rsidRPr="00A502C7" w:rsidRDefault="007E4C72" w:rsidP="007E4C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documento visa a compilar os diversos instrumentos de gestão documental previstos nas normas </w:t>
      </w:r>
      <w:proofErr w:type="spellStart"/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>arquivísticas</w:t>
      </w:r>
      <w:proofErr w:type="spellEnd"/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vigentes e pretende servir como material de consulta e de orientação para os servidores e colaboradores dos Tribunais Regionais do Trabalho no planejamento e na </w:t>
      </w:r>
      <w:proofErr w:type="gramStart"/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>implementação</w:t>
      </w:r>
      <w:proofErr w:type="gramEnd"/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dos respectivos programas de gestão documental.</w:t>
      </w:r>
    </w:p>
    <w:p w:rsidR="007E4C72" w:rsidRPr="00072FB3" w:rsidRDefault="007E4C72" w:rsidP="007E4C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502C7">
        <w:rPr>
          <w:rFonts w:ascii="Times New Roman" w:eastAsia="Times New Roman" w:hAnsi="Times New Roman" w:cs="Times New Roman"/>
          <w:sz w:val="24"/>
          <w:szCs w:val="24"/>
          <w:lang w:val="pt-BR"/>
        </w:rPr>
        <w:t>As orientações de procedimentos vão desde a produção dos documentos institucionais até o tempo de guarda, com o objetivo de racionalizar o ciclo documental. Na prática, significa haver mais produção ordenada, tramitação segura, localização rápida e precisa, e a eliminação sistemática dos documentos que já perderam a sua importância para a instituição, com preservação da documentação considerada permanente e histórica.</w:t>
      </w:r>
    </w:p>
    <w:p w:rsidR="00C313CF" w:rsidRPr="00953AE0" w:rsidRDefault="00C313CF">
      <w:pPr>
        <w:rPr>
          <w:lang w:val="pt-BR"/>
        </w:rPr>
      </w:pPr>
    </w:p>
    <w:sectPr w:rsidR="00C313CF" w:rsidRPr="0095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89"/>
    <w:rsid w:val="003936FD"/>
    <w:rsid w:val="007E4C72"/>
    <w:rsid w:val="00953AE0"/>
    <w:rsid w:val="00AA2289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7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C72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2018-03-08T17:40:00Z</dcterms:created>
  <dcterms:modified xsi:type="dcterms:W3CDTF">2018-03-09T18:18:00Z</dcterms:modified>
</cp:coreProperties>
</file>