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40" w:rsidRPr="00B71A7C" w:rsidRDefault="002B0240" w:rsidP="002B02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Antônio José de Barros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Levenhagen</w:t>
      </w:r>
      <w:proofErr w:type="spellEnd"/>
    </w:p>
    <w:p w:rsidR="002B0240" w:rsidRPr="00B71A7C" w:rsidRDefault="002B0240" w:rsidP="002B02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Cognição na homologação judicial de acordo </w:t>
      </w:r>
    </w:p>
    <w:p w:rsidR="002B0240" w:rsidRDefault="002B0240" w:rsidP="002B02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Antônio José de Barros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Levenhagen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ingressou no TST em 1999, proveniente da magistratura de carreira do Tribunal Regional do Trabalho da 15ª Região. Neste acórdão da 4ª Turma de 25/06/2008, restou decidido, no recurso de revista, que é possível a atividade cognitiva em sede de execução de decisão judicial que homologou acordo entre as partes. Isso porque, em relação aos honorários advocatícios, que não foram encampados pelo acordo, cabia a discussão, sem violação da coisa julgada, quanto aos critérios de fixação do valor da verba, na medida em que se mostraram exorbitantes, resultando em R$ 32.000.000,00 à época. Assim, consignou que tal valor, sendo devido entre integrante da Administração Pública Indireta do Estado do RS (CEEE), e consideradas as mínimas dificuldades enfrentadas pelo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causídico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no processo que resultou em acordo, não poderia chegar a esse patamar, sem vulneração dos princípios da proporcionalidade e da razoabilidade, bem assim da moralidade administrativa, haja vista a falta de defesa impugnando o valor, quando do recurso ordinário. Arbitrou, pois, o novo valor dos honorários de advogado em R$ 250.000,00. Essa decisão contribui para o respeito aos limites estabelecidos para a proporcionalidade e a razoabilidade das decisões judiciais, vetando o caráter teratológico que possam vir e assumir, </w:t>
      </w:r>
      <w:r>
        <w:rPr>
          <w:rFonts w:ascii="Times New Roman" w:hAnsi="Times New Roman" w:cs="Times New Roman"/>
          <w:sz w:val="24"/>
          <w:szCs w:val="24"/>
          <w:lang w:val="pt-BR"/>
        </w:rPr>
        <w:t>em razão de falhas processuais.</w:t>
      </w:r>
    </w:p>
    <w:p w:rsidR="00C313CF" w:rsidRDefault="00C313CF">
      <w:bookmarkStart w:id="0" w:name="_GoBack"/>
      <w:bookmarkEnd w:id="0"/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32"/>
    <w:rsid w:val="002B0240"/>
    <w:rsid w:val="003936FD"/>
    <w:rsid w:val="00C313CF"/>
    <w:rsid w:val="00D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4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240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4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24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2018-03-08T18:45:00Z</dcterms:created>
  <dcterms:modified xsi:type="dcterms:W3CDTF">2018-03-08T18:46:00Z</dcterms:modified>
</cp:coreProperties>
</file>