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F4" w:rsidRDefault="00AA4AF4" w:rsidP="00AA4AF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82FB9">
        <w:rPr>
          <w:rFonts w:ascii="Times New Roman" w:hAnsi="Times New Roman" w:cs="Times New Roman"/>
          <w:sz w:val="20"/>
          <w:szCs w:val="20"/>
          <w:lang w:val="pt-BR"/>
        </w:rPr>
        <w:t xml:space="preserve">Fonte: </w:t>
      </w:r>
      <w:proofErr w:type="spellStart"/>
      <w:r w:rsidRPr="00882FB9">
        <w:rPr>
          <w:rFonts w:ascii="Times New Roman" w:hAnsi="Times New Roman" w:cs="Times New Roman"/>
          <w:sz w:val="20"/>
          <w:szCs w:val="20"/>
          <w:lang w:val="pt-BR"/>
        </w:rPr>
        <w:t>Amatra</w:t>
      </w:r>
      <w:proofErr w:type="spellEnd"/>
    </w:p>
    <w:p w:rsidR="00AA4AF4" w:rsidRDefault="00AA4AF4" w:rsidP="00AA4AF4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3C23D0" w:rsidRDefault="003C23D0" w:rsidP="003C23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</w:t>
      </w:r>
      <w:proofErr w:type="spellStart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Délio</w:t>
      </w:r>
      <w:proofErr w:type="spellEnd"/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Maranhão</w:t>
      </w:r>
    </w:p>
    <w:p w:rsidR="003C23D0" w:rsidRPr="00B71A7C" w:rsidRDefault="003C23D0" w:rsidP="003C23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Caracterização do abandono de emprego </w:t>
      </w:r>
    </w:p>
    <w:p w:rsidR="003C23D0" w:rsidRPr="00B71A7C" w:rsidRDefault="003C23D0" w:rsidP="003C23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7A5FC0">
        <w:rPr>
          <w:rFonts w:ascii="Times New Roman" w:hAnsi="Times New Roman" w:cs="Times New Roman"/>
          <w:sz w:val="24"/>
          <w:szCs w:val="24"/>
          <w:lang w:val="pt-BR"/>
        </w:rPr>
        <w:t>Délio</w:t>
      </w:r>
      <w:proofErr w:type="spellEnd"/>
      <w:r w:rsidRPr="007A5FC0">
        <w:rPr>
          <w:rFonts w:ascii="Times New Roman" w:hAnsi="Times New Roman" w:cs="Times New Roman"/>
          <w:sz w:val="24"/>
          <w:szCs w:val="24"/>
          <w:lang w:val="pt-BR"/>
        </w:rPr>
        <w:t xml:space="preserve"> Maranhão, desembargador do Tribunal Regional do Trabalho da 1ª Região, foi convocado por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largos períodos para integrar o Tribunal Superior do Trabalho, porém não chegou a ser ministro efetivo do TST. Neste acórdão de 03/04/1959, decidiu-se que cabe ao empregado comunicar ao empregador motivo que o impede de comparecer ao serviço,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sob pena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de abandono de emprego, tendo decorrido trinta dias do afastamento do trabalho. O abandono de emprego institui falta grave, ensejando a rescisão por justa causa do contrato de trabalho, conforme o artigo 482, alínea “i”, da Consolidação das Leis do Trabalho. Contudo, conforme inovação trazida pelo presente acórdão,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responsabilidade de comunicar ao empregador o motivo de impedimento de comparecimento ao serviço, de modo a justificar a falta foi uma inovação. Além disso, o não comparecimento sem a devida comunicação, pelo prazo de trinta dias, caracteriza o abandono do emprego.</w:t>
      </w:r>
    </w:p>
    <w:p w:rsidR="00C313CF" w:rsidRPr="00AA4AF4" w:rsidRDefault="00C313CF">
      <w:pPr>
        <w:rPr>
          <w:lang w:val="pt-BR"/>
        </w:rPr>
      </w:pPr>
    </w:p>
    <w:sectPr w:rsidR="00C313CF" w:rsidRPr="00AA4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AA"/>
    <w:rsid w:val="003936FD"/>
    <w:rsid w:val="003C23D0"/>
    <w:rsid w:val="00424CAA"/>
    <w:rsid w:val="00AA4AF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D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3D0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3D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3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2018-03-08T19:22:00Z</dcterms:created>
  <dcterms:modified xsi:type="dcterms:W3CDTF">2018-03-09T18:27:00Z</dcterms:modified>
</cp:coreProperties>
</file>