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D5" w:rsidRDefault="00FB37D5" w:rsidP="00FB37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João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Oreste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Dalazen</w:t>
      </w:r>
      <w:proofErr w:type="spellEnd"/>
    </w:p>
    <w:p w:rsidR="00FB37D5" w:rsidRPr="00FB37D5" w:rsidRDefault="00FB37D5" w:rsidP="00FB37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>Tema: Direito à privacidade no e-mail corporativo</w:t>
      </w:r>
    </w:p>
    <w:p w:rsidR="00FB37D5" w:rsidRPr="00B71A7C" w:rsidRDefault="00FB37D5" w:rsidP="00FB37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D31B8">
        <w:rPr>
          <w:rFonts w:ascii="Times New Roman" w:hAnsi="Times New Roman" w:cs="Times New Roman"/>
          <w:sz w:val="24"/>
          <w:szCs w:val="24"/>
          <w:lang w:val="pt-BR"/>
        </w:rPr>
        <w:t xml:space="preserve">João </w:t>
      </w:r>
      <w:proofErr w:type="spellStart"/>
      <w:r w:rsidRPr="005D31B8">
        <w:rPr>
          <w:rFonts w:ascii="Times New Roman" w:hAnsi="Times New Roman" w:cs="Times New Roman"/>
          <w:sz w:val="24"/>
          <w:szCs w:val="24"/>
          <w:lang w:val="pt-BR"/>
        </w:rPr>
        <w:t>Oreste</w:t>
      </w:r>
      <w:proofErr w:type="spellEnd"/>
      <w:r w:rsidRPr="005D31B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D31B8">
        <w:rPr>
          <w:rFonts w:ascii="Times New Roman" w:hAnsi="Times New Roman" w:cs="Times New Roman"/>
          <w:sz w:val="24"/>
          <w:szCs w:val="24"/>
          <w:lang w:val="pt-BR"/>
        </w:rPr>
        <w:t>Dalazen</w:t>
      </w:r>
      <w:proofErr w:type="spellEnd"/>
      <w:r w:rsidRPr="005D31B8">
        <w:rPr>
          <w:rFonts w:ascii="Times New Roman" w:hAnsi="Times New Roman" w:cs="Times New Roman"/>
          <w:sz w:val="24"/>
          <w:szCs w:val="24"/>
          <w:lang w:val="pt-BR"/>
        </w:rPr>
        <w:t xml:space="preserve"> ingressou como Ministro d</w:t>
      </w:r>
      <w:r>
        <w:rPr>
          <w:rFonts w:ascii="Times New Roman" w:hAnsi="Times New Roman" w:cs="Times New Roman"/>
          <w:sz w:val="24"/>
          <w:szCs w:val="24"/>
          <w:lang w:val="pt-BR"/>
        </w:rPr>
        <w:t>o TST em 1996 e se aposentou no ano de 2017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. Neste acórdão da 1ª Turma de 18/05/2005, decidiu-se que não violam os direitos à privacidade e o sigilo de correspondência, constitucionalmente assegurados, quando se tratam de correspondências eletrônicas enviadas por meio de e-mail corporativo, instrumento de comunicação virtual destinado ao tráfego de mensagens de cunho estritamente profissional. No caso em tela, uma vez que o empregado utilizou o seu e-mail corporativo a fim de compartilhar material pornográfico, houve inclusive risco para a imagem do empregador, que segundo este entendimento pode monitorar e rastrear a atividade do empregado no ambiente de trabalho, quando se trata de e-mail corporativo. Compreendeu-se, portanto, que não é ilícita a prova assim obtida, visando a demonstrar justa causa para a despedida decorrente do envio de material pornográfico a colega de trabalho. Com o avanço da tecnologia, sobretudo no que tange à comunicação, a Justiça do Trabalho passou a enfrentar novos desafios surgidos na relação de emprego. No caso das comunicações realizadas por meio de correio eletrônico (e-mail), é preciso ressaltar que a Constituição Federal assegura a todo cidadão não apenas o direito à privacidade e à intimidade como também o sigilo de correspondência, o que alcança qualquer forma de comunicação pessoal, ainda que virtual. É, portanto, inviolável e sagrada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comunicação de dados em </w:t>
      </w:r>
      <w:r w:rsidRPr="00B71A7C">
        <w:rPr>
          <w:rFonts w:ascii="Times New Roman" w:hAnsi="Times New Roman" w:cs="Times New Roman"/>
          <w:i/>
          <w:sz w:val="24"/>
          <w:szCs w:val="24"/>
          <w:lang w:val="pt-BR"/>
        </w:rPr>
        <w:t>e-mail particular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. Contudo, o presente acórdão revelou um importante entendimento, constituindo-se em acórdão paradigma de decisões relacionadas ao tema: </w:t>
      </w:r>
      <w:r w:rsidRPr="00B71A7C">
        <w:rPr>
          <w:rFonts w:ascii="Times New Roman" w:hAnsi="Times New Roman" w:cs="Times New Roman"/>
          <w:i/>
          <w:sz w:val="24"/>
          <w:szCs w:val="24"/>
          <w:lang w:val="pt-BR"/>
        </w:rPr>
        <w:t xml:space="preserve">e-mail corporativo 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possui outra natureza, equivalendo-se a uma ferramenta de trabalho que a própria empresa coloca à disposição do empregado para utilização em serviço.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DD"/>
    <w:rsid w:val="003936FD"/>
    <w:rsid w:val="00C313CF"/>
    <w:rsid w:val="00DB72DD"/>
    <w:rsid w:val="00F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D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7D5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D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7D5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2018-03-08T19:06:00Z</dcterms:created>
  <dcterms:modified xsi:type="dcterms:W3CDTF">2018-03-08T19:06:00Z</dcterms:modified>
</cp:coreProperties>
</file>