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063" w:rsidRPr="00B71A7C" w:rsidRDefault="001A6063" w:rsidP="001A606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A7C">
        <w:rPr>
          <w:rFonts w:ascii="Times New Roman" w:hAnsi="Times New Roman" w:cs="Times New Roman"/>
          <w:b/>
          <w:sz w:val="24"/>
          <w:szCs w:val="24"/>
        </w:rPr>
        <w:t>Ministro José Roberto Freire Pimenta</w:t>
      </w:r>
    </w:p>
    <w:p w:rsidR="001A6063" w:rsidRPr="00B71A7C" w:rsidRDefault="001A6063" w:rsidP="001A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A7C">
        <w:rPr>
          <w:rFonts w:ascii="Times New Roman" w:hAnsi="Times New Roman" w:cs="Times New Roman"/>
          <w:sz w:val="24"/>
          <w:szCs w:val="24"/>
        </w:rPr>
        <w:t xml:space="preserve">Tema: Relacionamento amoroso entre empregados como causa de dispensa </w:t>
      </w:r>
    </w:p>
    <w:p w:rsidR="00C313CF" w:rsidRDefault="001A6063" w:rsidP="001A6063">
      <w:pPr>
        <w:spacing w:after="0" w:line="360" w:lineRule="auto"/>
        <w:jc w:val="both"/>
      </w:pPr>
      <w:r w:rsidRPr="00B71A7C">
        <w:rPr>
          <w:rFonts w:ascii="Times New Roman" w:hAnsi="Times New Roman" w:cs="Times New Roman"/>
          <w:sz w:val="24"/>
          <w:szCs w:val="24"/>
        </w:rPr>
        <w:t xml:space="preserve">José Roberto Freire Pimenta ingressou como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71A7C">
        <w:rPr>
          <w:rFonts w:ascii="Times New Roman" w:hAnsi="Times New Roman" w:cs="Times New Roman"/>
          <w:sz w:val="24"/>
          <w:szCs w:val="24"/>
        </w:rPr>
        <w:t xml:space="preserve">inistro do Tribunal Superior do Trabalho em 2010. Neste acórdão da 2ª Turma de 11/06/2014, decidiu-se que o empregador deveria indenizar um casal de </w:t>
      </w:r>
      <w:proofErr w:type="spellStart"/>
      <w:r w:rsidRPr="00B71A7C">
        <w:rPr>
          <w:rFonts w:ascii="Times New Roman" w:hAnsi="Times New Roman" w:cs="Times New Roman"/>
          <w:sz w:val="24"/>
          <w:szCs w:val="24"/>
        </w:rPr>
        <w:t>ex-em</w:t>
      </w: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</w:rPr>
        <w:t>pregados</w:t>
      </w:r>
      <w:proofErr w:type="spellEnd"/>
      <w:r w:rsidRPr="00B71A7C">
        <w:rPr>
          <w:rFonts w:ascii="Times New Roman" w:hAnsi="Times New Roman" w:cs="Times New Roman"/>
          <w:sz w:val="24"/>
          <w:szCs w:val="24"/>
        </w:rPr>
        <w:t>, uma vez que foram demitidos pelo simples fato de manterem um relacionamento amoroso em suas vidas privadas, morando juntos, o que até então era vedado pelo regulamento da empresa. Para referendar tal decisão, o colegiado se valeu de importantes dispositivos constitucionais, tais como os que tratam dos direitos e garantias individuais e aqueles que asseguram especial proteção do Estado à família. A Constituição Federal de 1988, em seu artigo 5º, inciso II determina que “ninguém será obrigado a fazer ou deixar de fazer alguma coisa senão em virtude da lei”. Ao tentar tornar ilícito, no âmbito da empresa, um comportamento que a Constituição e as leis não proíbem, os argumentos mostrados pela empresa configuram invasão injustificável ao patrimônio moral de cada empregado e da liberdade de cada pessoa que, por ser empregada, não deixa de ser pessoa e não pode ser proibida de se relacionar amorosamente com seus colegas de trabalho. Desse modo, o presente acórdão reafirmou a inviolabilidade da vida privada dos empregados e assegura o exercício desse direito fundamental, compreendendo que a norma regulamentar que proíbe aos empregados da empresa que, de forma absoluta e até mesmo fora de seu local de trabalho, mantenham qualquer forma de relacionamento afetivo ou amoroso com alguns de seus colegas de trabalho, fere direta e frontalmente o artigo 5º, inciso II, da Constituição Federal. Ademais, ressalta-se que a Constituição Federal, em seu artigo 226, até mesmo estimula tais relações, uma vez que assegura a especial proteção do Estado à família e à união estável, entre homem e m</w:t>
      </w:r>
      <w:r>
        <w:rPr>
          <w:rFonts w:ascii="Times New Roman" w:hAnsi="Times New Roman" w:cs="Times New Roman"/>
          <w:sz w:val="24"/>
          <w:szCs w:val="24"/>
        </w:rPr>
        <w:t>ulher, como entidade familiar.</w:t>
      </w:r>
    </w:p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20E"/>
    <w:rsid w:val="001A6063"/>
    <w:rsid w:val="003936FD"/>
    <w:rsid w:val="00B3520E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1640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2018-03-08T19:07:00Z</dcterms:created>
  <dcterms:modified xsi:type="dcterms:W3CDTF">2018-03-08T19:08:00Z</dcterms:modified>
</cp:coreProperties>
</file>