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5A" w:rsidRDefault="00C4315A" w:rsidP="00D673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F36C6">
        <w:rPr>
          <w:rFonts w:ascii="Times New Roman" w:hAnsi="Times New Roman" w:cs="Times New Roman"/>
          <w:sz w:val="20"/>
          <w:szCs w:val="20"/>
          <w:lang w:val="pt-BR"/>
        </w:rPr>
        <w:t>Fonte: Site Jornal de Alagoas</w:t>
      </w:r>
    </w:p>
    <w:p w:rsidR="00C4315A" w:rsidRDefault="00C4315A" w:rsidP="00D6732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D67321" w:rsidRDefault="00D67321" w:rsidP="00D673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Marco Aurélio Mendes de Farias Mello</w:t>
      </w:r>
    </w:p>
    <w:p w:rsidR="00D67321" w:rsidRPr="00B71A7C" w:rsidRDefault="00D67321" w:rsidP="00D67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Inversão do ônus da prova da dispensa do empregado </w:t>
      </w:r>
    </w:p>
    <w:p w:rsidR="00D67321" w:rsidRPr="00B71A7C" w:rsidRDefault="00D67321" w:rsidP="00D67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>Marco Aurélio Mendes de Farias Mello, ingressou como ministro do TST em 1981, atuando até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1990. Neste acórdão da 1ª Turma de 13/03/1985, decidiu-se que é cabível a inversão do ônus da prova a favor do empregado nos casos de dispensa ou despedimento. A despeito da CLT em seu artigo 818 alegar que “a prova das alegações incumbe à parte que as fizer”, a moderna doutrina e a jurisprudência, objetivando resguardar equilíbrio e equidade nas relações trabalhistas, garantem a inversão do ônus da prova em favor do trabalhador demitido, protegendo, desta forma, a parte hipossuficiente da relação jurídica trabalhista. Este importante avanço pode ser percebido em julgados do Tribunal Superior do Trabalho, precedentes da Súmula nº 212.</w:t>
      </w:r>
    </w:p>
    <w:p w:rsidR="00C313CF" w:rsidRPr="00C4315A" w:rsidRDefault="00C313CF">
      <w:pPr>
        <w:rPr>
          <w:lang w:val="pt-BR"/>
        </w:rPr>
      </w:pPr>
    </w:p>
    <w:sectPr w:rsidR="00C313CF" w:rsidRPr="00C43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6"/>
    <w:rsid w:val="003936FD"/>
    <w:rsid w:val="00C313CF"/>
    <w:rsid w:val="00C4315A"/>
    <w:rsid w:val="00D67321"/>
    <w:rsid w:val="00F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2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321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32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321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2018-03-08T19:43:00Z</dcterms:created>
  <dcterms:modified xsi:type="dcterms:W3CDTF">2018-03-09T18:29:00Z</dcterms:modified>
</cp:coreProperties>
</file>