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1E" w:rsidRPr="00B71A7C" w:rsidRDefault="009C3A1E" w:rsidP="009C3A1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Augusto César Leite de Carvalho</w:t>
      </w:r>
      <w:bookmarkStart w:id="0" w:name="_GoBack"/>
      <w:bookmarkEnd w:id="0"/>
    </w:p>
    <w:p w:rsidR="009C3A1E" w:rsidRPr="00B71A7C" w:rsidRDefault="009C3A1E" w:rsidP="009C3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</w:t>
      </w:r>
      <w:r>
        <w:rPr>
          <w:rFonts w:ascii="Times New Roman" w:hAnsi="Times New Roman" w:cs="Times New Roman"/>
          <w:sz w:val="24"/>
          <w:szCs w:val="24"/>
          <w:lang w:val="pt-BR"/>
        </w:rPr>
        <w:t>Complemento da Remuneração Mínima por Nível e Regime - RMNR</w:t>
      </w:r>
    </w:p>
    <w:p w:rsidR="009C3A1E" w:rsidRDefault="009C3A1E" w:rsidP="009C3A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</w:t>
      </w:r>
      <w:r w:rsidRPr="00491D7A">
        <w:rPr>
          <w:rFonts w:ascii="Times New Roman" w:hAnsi="Times New Roman" w:cs="Times New Roman"/>
          <w:sz w:val="24"/>
          <w:szCs w:val="24"/>
          <w:lang w:val="pt-BR"/>
        </w:rPr>
        <w:t xml:space="preserve">Augusto César Leite de Carvalho </w:t>
      </w:r>
      <w:r>
        <w:rPr>
          <w:rFonts w:ascii="Times New Roman" w:hAnsi="Times New Roman" w:cs="Times New Roman"/>
          <w:sz w:val="24"/>
          <w:szCs w:val="24"/>
          <w:lang w:val="pt-BR"/>
        </w:rPr>
        <w:t>ingressou no TST em 2009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>, proveniente da magistratura de carreira do Tri</w:t>
      </w:r>
      <w:r>
        <w:rPr>
          <w:rFonts w:ascii="Times New Roman" w:hAnsi="Times New Roman" w:cs="Times New Roman"/>
          <w:sz w:val="24"/>
          <w:szCs w:val="24"/>
          <w:lang w:val="pt-BR"/>
        </w:rPr>
        <w:t>bunal Regional do Trabalho da 20ª Região.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57"/>
    <w:rsid w:val="003936FD"/>
    <w:rsid w:val="009C3A1E"/>
    <w:rsid w:val="00B70B5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1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A1E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1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A1E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2018-03-08T18:51:00Z</dcterms:created>
  <dcterms:modified xsi:type="dcterms:W3CDTF">2018-03-08T18:52:00Z</dcterms:modified>
</cp:coreProperties>
</file>