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13" w:rsidRDefault="00B12813" w:rsidP="00B1281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Luiz José Guimarães Falcão</w:t>
      </w:r>
    </w:p>
    <w:p w:rsidR="00B12813" w:rsidRPr="00B71A7C" w:rsidRDefault="00B12813" w:rsidP="00B128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Efetivo mínimo de trabalhadores nas greves em serviços essenciais </w:t>
      </w:r>
    </w:p>
    <w:p w:rsidR="00C313CF" w:rsidRDefault="00B12813" w:rsidP="00B12813">
      <w:bookmarkStart w:id="0" w:name="_GoBack"/>
      <w:r w:rsidRPr="007A5FC0">
        <w:rPr>
          <w:rFonts w:ascii="Times New Roman" w:hAnsi="Times New Roman" w:cs="Times New Roman"/>
          <w:sz w:val="24"/>
          <w:szCs w:val="24"/>
          <w:lang w:val="pt-BR"/>
        </w:rPr>
        <w:t>Luiz José Guimarães Falcão, presidente do TST em 1991. Neste ato da presidência do TST de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13/03/1991, foi definido o percentual mínimo de trabalhadores em serviço nas greves em atividades consideradas essenciais. O ato demonstrou a importância da adoção do critério objetivo a regular o exercício das greves e serviços essenciais, fixando percentual considerado mínimo, de modo que a sociedade não reste desatendida ou impossibilitada do acesso às atividades essenciais ao seu cotidiano</w:t>
      </w:r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>.</w:t>
      </w:r>
    </w:p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B1"/>
    <w:rsid w:val="003936FD"/>
    <w:rsid w:val="006E4AB1"/>
    <w:rsid w:val="00B12813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1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1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2018-03-08T19:35:00Z</dcterms:created>
  <dcterms:modified xsi:type="dcterms:W3CDTF">2018-03-08T19:42:00Z</dcterms:modified>
</cp:coreProperties>
</file>