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TECHNO COLLEGE OF ENGINEERING AGARTALA</w:t>
        <w:br/>
      </w:r>
      <w:r>
        <w:rPr>
          <w:b/>
          <w:sz w:val="56"/>
        </w:rPr>
        <w:br/>
        <w:t>FACULTY RULES &amp; REGULATIONS HANDBOOK 2026</w:t>
        <w:br/>
      </w:r>
      <w:r>
        <w:rPr>
          <w:i/>
          <w:sz w:val="26"/>
        </w:rPr>
        <w:br/>
        <w:t>Academic • Professional Conduct • Quality Assurance • Research • Faculty Development</w:t>
      </w:r>
      <w:r>
        <w:br/>
        <w:br/>
        <w:t>Consolidated from faculty-related policies, pages and documents published on tiaedu.org</w:t>
        <w:br/>
        <w:br/>
      </w:r>
      <w:r>
        <w:rPr>
          <w:b/>
        </w:rPr>
        <w:t>Version: September 2026</w:t>
      </w:r>
    </w:p>
    <w:p>
      <w:r>
        <w:br w:type="page"/>
      </w:r>
    </w:p>
    <w:p>
      <w:pPr>
        <w:pStyle w:val="Heading1"/>
      </w:pPr>
      <w:r>
        <w:t>Status and Scope</w:t>
      </w:r>
    </w:p>
    <w:p>
      <w:r>
        <w:t>This handbook consolidates faculty-related provisions and expectations identifiable on the official TCEA website, tiaedu.org. It is a working faculty handbook, not a substitute for an appointment letter, service rule, University ordinance, AICTE regulation, statutory requirement, management circular, or later TCEA order.</w:t>
      </w:r>
    </w:p>
    <w:p>
      <w:r>
        <w:t>Each section distinguishes between (A) requirements/expectations supported by TCEA's published material and (B) recommended internal handbook provisions. Where the website does not publish a faculty-specific numerical rule, no number has been invented.</w:t>
      </w:r>
    </w:p>
    <w:p>
      <w:r>
        <w:t>The public TCEA pages reviewed include the FAQ, IQAC pages, grievance policy, discipline page, library, departmental pages, and faculty-development documents. cite references are represented in this document as source URLs.</w:t>
      </w:r>
    </w:p>
    <w:p>
      <w:pPr>
        <w:pStyle w:val="Heading1"/>
      </w:pPr>
      <w:r>
        <w:t>Contents</w:t>
      </w:r>
    </w:p>
    <w:p>
      <w:r>
        <w:t>1. Faculty Professional Role</w:t>
      </w:r>
    </w:p>
    <w:p>
      <w:r>
        <w:t>2. Recruitment and Qualifications</w:t>
      </w:r>
    </w:p>
    <w:p>
      <w:r>
        <w:t>3. Teaching &amp; Learning Responsibilities</w:t>
      </w:r>
    </w:p>
    <w:p>
      <w:r>
        <w:t>4. Academic Planning and Documentation</w:t>
      </w:r>
    </w:p>
    <w:p>
      <w:r>
        <w:t>5. Assessment and Examination Responsibilities</w:t>
      </w:r>
    </w:p>
    <w:p>
      <w:r>
        <w:t>6. Research and Publications</w:t>
      </w:r>
    </w:p>
    <w:p>
      <w:r>
        <w:t>7. Faculty Development</w:t>
      </w:r>
    </w:p>
    <w:p>
      <w:r>
        <w:t>8. IQAC, OBE and Accreditation</w:t>
      </w:r>
    </w:p>
    <w:p>
      <w:r>
        <w:t>9. Student Mentoring and Professional Relationship</w:t>
      </w:r>
    </w:p>
    <w:p>
      <w:r>
        <w:t>10. Equal Opportunity and Inclusion</w:t>
      </w:r>
    </w:p>
    <w:p>
      <w:r>
        <w:t>11. Grievance Redressal</w:t>
      </w:r>
    </w:p>
    <w:p>
      <w:r>
        <w:t>12. Discipline, Ethics and Institutional Compliance</w:t>
      </w:r>
    </w:p>
    <w:p>
      <w:r>
        <w:t>13. Confidentiality and Institutional Information</w:t>
      </w:r>
    </w:p>
    <w:p>
      <w:r>
        <w:t>14. Library and Academic Resources</w:t>
      </w:r>
    </w:p>
    <w:p>
      <w:r>
        <w:t>15. Departmental and Institutional Duties</w:t>
      </w:r>
    </w:p>
    <w:p>
      <w:r>
        <w:t>16. Recommended Internal Faculty Rules</w:t>
      </w:r>
    </w:p>
    <w:p>
      <w:r>
        <w:t>17. Faculty Declaration</w:t>
      </w:r>
    </w:p>
    <w:p>
      <w:r>
        <w:t>18. Official TCEA Sources</w:t>
      </w:r>
    </w:p>
    <w:p>
      <w:pPr>
        <w:pStyle w:val="Heading1"/>
      </w:pPr>
      <w:r>
        <w:t>1. Faculty Professional Role</w:t>
      </w:r>
    </w:p>
    <w:p>
      <w:r>
        <w:t>TCEA describes a quality-oriented academic environment in which teaching, learning, research, governance and student development are subject to continuous improvement. The IQAC is tasked with quality enhancement across academic and administrative processes. citeturn2search0turn2search1</w:t>
      </w:r>
    </w:p>
    <w:p>
      <w:pPr>
        <w:pStyle w:val="ListBullet"/>
      </w:pPr>
      <w:r>
        <w:t>Maintain professional integrity and ethical conduct.</w:t>
      </w:r>
    </w:p>
    <w:p>
      <w:pPr>
        <w:pStyle w:val="ListBullet"/>
      </w:pPr>
      <w:r>
        <w:t>Support a learner-centred and outcome-oriented teaching-learning environment.</w:t>
      </w:r>
    </w:p>
    <w:p>
      <w:pPr>
        <w:pStyle w:val="ListBullet"/>
      </w:pPr>
      <w:r>
        <w:t>Contribute to academic, research and institutional quality processes.</w:t>
      </w:r>
    </w:p>
    <w:p>
      <w:pPr>
        <w:pStyle w:val="ListBullet"/>
      </w:pPr>
      <w:r>
        <w:t>Maintain accountability to students, the department, the institute and other stakeholders.</w:t>
      </w:r>
    </w:p>
    <w:p>
      <w:pPr>
        <w:pStyle w:val="ListBullet"/>
      </w:pPr>
      <w:r>
        <w:t>Participate constructively in institutional improvement initiatives.</w:t>
      </w:r>
    </w:p>
    <w:p>
      <w:pPr>
        <w:pStyle w:val="Heading1"/>
      </w:pPr>
      <w:r>
        <w:t>2. Recruitment and Qualifications</w:t>
      </w:r>
    </w:p>
    <w:p>
      <w:r>
        <w:t>TCEA's FAQ states that faculty are recruited through written examination and interview and that the institute selects faculty according to AICTE-specified qualifications, including Master's qualifications with GATE/NET and/or Ph.D., as applicable. The FAQ also states that TCEA faculty include alumni of IITs, BIT, NIT and Tripura University. citeturn0search7</w:t>
      </w:r>
    </w:p>
    <w:p>
      <w:r>
        <w:t>The exact eligibility for any particular post should be taken from the relevant recruitment advertisement and applicable AICTE/University norms.</w:t>
      </w:r>
    </w:p>
    <w:p>
      <w:pPr>
        <w:pStyle w:val="Heading1"/>
      </w:pPr>
      <w:r>
        <w:t>3. Teaching &amp; Learning Responsibilities</w:t>
      </w:r>
    </w:p>
    <w:p>
      <w:r>
        <w:t>TCEA's IQAC explicitly promotes modern teaching-learning methods and pedagogical innovations, and supports a learner-centred environment that enhances education quality and faculty competence. citeturn2search1</w:t>
      </w:r>
    </w:p>
    <w:p>
      <w:pPr>
        <w:pStyle w:val="ListBullet"/>
      </w:pPr>
      <w:r>
        <w:t>Prepare and deliver courses in accordance with the approved syllabus and academic schedule.</w:t>
      </w:r>
    </w:p>
    <w:p>
      <w:pPr>
        <w:pStyle w:val="ListBullet"/>
      </w:pPr>
      <w:r>
        <w:t>Use appropriate modern teaching-learning methods and pedagogical innovations.</w:t>
      </w:r>
    </w:p>
    <w:p>
      <w:pPr>
        <w:pStyle w:val="ListBullet"/>
      </w:pPr>
      <w:r>
        <w:t>Support outcome-based education and student learning outcomes.</w:t>
      </w:r>
    </w:p>
    <w:p>
      <w:pPr>
        <w:pStyle w:val="ListBullet"/>
      </w:pPr>
      <w:r>
        <w:t>Use ICT and appropriate educational technologies where useful.</w:t>
      </w:r>
    </w:p>
    <w:p>
      <w:pPr>
        <w:pStyle w:val="ListBullet"/>
      </w:pPr>
      <w:r>
        <w:t>Encourage active learning, problem solving, professional skills and ethical values.</w:t>
      </w:r>
    </w:p>
    <w:p>
      <w:pPr>
        <w:pStyle w:val="ListBullet"/>
      </w:pPr>
      <w:r>
        <w:t>Participate in feedback and quality-improvement processes.</w:t>
      </w:r>
    </w:p>
    <w:p>
      <w:pPr>
        <w:pStyle w:val="Heading1"/>
      </w:pPr>
      <w:r>
        <w:t>4. Academic Planning and Documentation</w:t>
      </w:r>
    </w:p>
    <w:p>
      <w:r>
        <w:t>The IQAC framework emphasizes systematic planning, measurable benchmarks, documentation, academic monitoring and outcome-driven implementation. citeturn2search0turn1search3</w:t>
      </w:r>
    </w:p>
    <w:p>
      <w:pPr>
        <w:pStyle w:val="ListBullet"/>
      </w:pPr>
      <w:r>
        <w:t>Maintain course plans, teaching records and other academic documentation required by the department/institute.</w:t>
      </w:r>
    </w:p>
    <w:p>
      <w:pPr>
        <w:pStyle w:val="ListBullet"/>
      </w:pPr>
      <w:r>
        <w:t>Complete assigned academic activities within institutional timelines.</w:t>
      </w:r>
    </w:p>
    <w:p>
      <w:pPr>
        <w:pStyle w:val="ListBullet"/>
      </w:pPr>
      <w:r>
        <w:t>Maintain appropriate records of student performance, attendance and assessment as required by the applicable system.</w:t>
      </w:r>
    </w:p>
    <w:p>
      <w:pPr>
        <w:pStyle w:val="ListBullet"/>
      </w:pPr>
      <w:r>
        <w:t>Cooperate with academic audits, accreditation documentation and quality-assurance activities.</w:t>
      </w:r>
    </w:p>
    <w:p>
      <w:pPr>
        <w:pStyle w:val="ListBullet"/>
      </w:pPr>
      <w:r>
        <w:t>Submit required reports/data to the department, examination section, IQAC or other authorized office on time.</w:t>
      </w:r>
    </w:p>
    <w:p>
      <w:pPr>
        <w:pStyle w:val="Heading1"/>
      </w:pPr>
      <w:r>
        <w:t>5. Assessment and Examination Responsibilities</w:t>
      </w:r>
    </w:p>
    <w:p>
      <w:r>
        <w:t>TCEA's IQAC identifies upholding the credibility of evaluation and assessment procedures as a core responsibility. citeturn2search1</w:t>
      </w:r>
    </w:p>
    <w:p>
      <w:pPr>
        <w:pStyle w:val="ListBullet"/>
      </w:pPr>
      <w:r>
        <w:t>Conduct internal assessment fairly and transparently according to approved procedures.</w:t>
      </w:r>
    </w:p>
    <w:p>
      <w:pPr>
        <w:pStyle w:val="ListBullet"/>
      </w:pPr>
      <w:r>
        <w:t>Maintain confidentiality and integrity of question papers, marks and examination-related information.</w:t>
      </w:r>
    </w:p>
    <w:p>
      <w:pPr>
        <w:pStyle w:val="ListBullet"/>
      </w:pPr>
      <w:r>
        <w:t>Follow examination-section instructions and applicable University/TCEA regulations.</w:t>
      </w:r>
    </w:p>
    <w:p>
      <w:pPr>
        <w:pStyle w:val="ListBullet"/>
      </w:pPr>
      <w:r>
        <w:t>Avoid conflicts of interest and report any issue that could compromise assessment integrity.</w:t>
      </w:r>
    </w:p>
    <w:p>
      <w:pPr>
        <w:pStyle w:val="ListBullet"/>
      </w:pPr>
      <w:r>
        <w:t>Complete evaluation, mark submission and related documentation within prescribed deadlines.</w:t>
      </w:r>
    </w:p>
    <w:p>
      <w:pPr>
        <w:pStyle w:val="Heading1"/>
      </w:pPr>
      <w:r>
        <w:t>6. Research and Publications</w:t>
      </w:r>
    </w:p>
    <w:p>
      <w:r>
        <w:t>TCEA's FAQ states that publication of research papers by faculty members is mandatory on a periodic basis. It also links the institute's faculty research output with national and international journals. citeturn0search7</w:t>
      </w:r>
    </w:p>
    <w:p>
      <w:pPr>
        <w:pStyle w:val="ListBullet"/>
      </w:pPr>
      <w:r>
        <w:t>Engage in research and scholarly activities relevant to the discipline and institutional research priorities.</w:t>
      </w:r>
    </w:p>
    <w:p>
      <w:pPr>
        <w:pStyle w:val="ListBullet"/>
      </w:pPr>
      <w:r>
        <w:t>Publish research periodically in appropriate scholarly venues, consistent with TCEA's published expectation.</w:t>
      </w:r>
    </w:p>
    <w:p>
      <w:pPr>
        <w:pStyle w:val="ListBullet"/>
      </w:pPr>
      <w:r>
        <w:t>Maintain research integrity, proper authorship, citation and ethical practices.</w:t>
      </w:r>
    </w:p>
    <w:p>
      <w:pPr>
        <w:pStyle w:val="ListBullet"/>
      </w:pPr>
      <w:r>
        <w:t>Seek opportunities for collaboration, dissemination and networking with external institutions; IQAC explicitly supports these activities. citeturn2search1</w:t>
      </w:r>
    </w:p>
    <w:p>
      <w:pPr>
        <w:pStyle w:val="ListBullet"/>
      </w:pPr>
      <w:r>
        <w:t>Maintain accurate records of publications, projects, conferences, patents and other research outputs.</w:t>
      </w:r>
    </w:p>
    <w:p>
      <w:r>
        <w:t>No annual publication quota is stated here because the public FAQ says “periodically” without specifying a numerical target.</w:t>
      </w:r>
    </w:p>
    <w:p>
      <w:pPr>
        <w:pStyle w:val="Heading1"/>
      </w:pPr>
      <w:r>
        <w:t>7. Faculty Development</w:t>
      </w:r>
    </w:p>
    <w:p>
      <w:r>
        <w:t>TCEA publishes and hosts Faculty Development Programmes (FDPs) covering emerging technologies, research methods and innovative teaching-learning tools. The IQAC also identifies faculty development as part of its quality role. citeturn1search1turn2search6</w:t>
      </w:r>
    </w:p>
    <w:p>
      <w:pPr>
        <w:pStyle w:val="ListBullet"/>
      </w:pPr>
      <w:r>
        <w:t>Participate in relevant FDPs, workshops, seminars, refresher programmes and training.</w:t>
      </w:r>
    </w:p>
    <w:p>
      <w:pPr>
        <w:pStyle w:val="ListBullet"/>
      </w:pPr>
      <w:r>
        <w:t>Continuously update subject knowledge, teaching methods, digital skills and research skills.</w:t>
      </w:r>
    </w:p>
    <w:p>
      <w:pPr>
        <w:pStyle w:val="ListBullet"/>
      </w:pPr>
      <w:r>
        <w:t>Share useful practices and knowledge with colleagues where appropriate.</w:t>
      </w:r>
    </w:p>
    <w:p>
      <w:pPr>
        <w:pStyle w:val="ListBullet"/>
      </w:pPr>
      <w:r>
        <w:t>Use professional-development opportunities to improve teaching and research quality.</w:t>
      </w:r>
    </w:p>
    <w:p>
      <w:pPr>
        <w:pStyle w:val="Heading1"/>
      </w:pPr>
      <w:r>
        <w:t>8. IQAC, OBE and Accreditation</w:t>
      </w:r>
    </w:p>
    <w:p>
      <w:r>
        <w:t>TCEA states that IQAC develops quality benchmarks, monitors academic and research programmes, promotes pedagogical innovation, supports research dissemination, facilitates feedback, documents quality measures and assists departments with professional accreditation such as NBA. citeturn2search1</w:t>
      </w:r>
    </w:p>
    <w:p>
      <w:pPr>
        <w:pStyle w:val="ListBullet"/>
      </w:pPr>
      <w:r>
        <w:t>Cooperate with IQAC quality initiatives and internal academic audits.</w:t>
      </w:r>
    </w:p>
    <w:p>
      <w:pPr>
        <w:pStyle w:val="ListBullet"/>
      </w:pPr>
      <w:r>
        <w:t>Support outcome-based education, including appropriate course/programme documentation.</w:t>
      </w:r>
    </w:p>
    <w:p>
      <w:pPr>
        <w:pStyle w:val="ListBullet"/>
      </w:pPr>
      <w:r>
        <w:t>Provide accurate evidence/data required for NAAC, NBA and other quality processes.</w:t>
      </w:r>
    </w:p>
    <w:p>
      <w:pPr>
        <w:pStyle w:val="ListBullet"/>
      </w:pPr>
      <w:r>
        <w:t>Participate in feedback analysis and implementation of quality-improvement measures.</w:t>
      </w:r>
    </w:p>
    <w:p>
      <w:pPr>
        <w:pStyle w:val="ListBullet"/>
      </w:pPr>
      <w:r>
        <w:t>Support departmental accreditation and continuous-improvement activities.</w:t>
      </w:r>
    </w:p>
    <w:p>
      <w:pPr>
        <w:pStyle w:val="Heading1"/>
      </w:pPr>
      <w:r>
        <w:t>9. Student Mentoring and Professional Relationship</w:t>
      </w:r>
    </w:p>
    <w:p>
      <w:r>
        <w:t>TCEA's Equal Opportunity Cell identifies the development of cordial interpersonal relationships among students and teachers as an objective and includes staff sensitisation on equal-opportunity principles. citeturn0search6</w:t>
      </w:r>
    </w:p>
    <w:p>
      <w:pPr>
        <w:pStyle w:val="ListBullet"/>
      </w:pPr>
      <w:r>
        <w:t>Treat students with dignity, fairness and professional respect.</w:t>
      </w:r>
    </w:p>
    <w:p>
      <w:pPr>
        <w:pStyle w:val="ListBullet"/>
      </w:pPr>
      <w:r>
        <w:t>Provide academic guidance and mentoring within assigned responsibilities.</w:t>
      </w:r>
    </w:p>
    <w:p>
      <w:pPr>
        <w:pStyle w:val="ListBullet"/>
      </w:pPr>
      <w:r>
        <w:t>Avoid discriminatory, humiliating, threatening or inappropriate conduct.</w:t>
      </w:r>
    </w:p>
    <w:p>
      <w:pPr>
        <w:pStyle w:val="ListBullet"/>
      </w:pPr>
      <w:r>
        <w:t>Maintain appropriate professional boundaries in student interactions.</w:t>
      </w:r>
    </w:p>
    <w:p>
      <w:pPr>
        <w:pStyle w:val="ListBullet"/>
      </w:pPr>
      <w:r>
        <w:t>Direct serious academic, welfare, harassment or grievance matters to the appropriate institutional mechanism.</w:t>
      </w:r>
    </w:p>
    <w:p>
      <w:pPr>
        <w:pStyle w:val="Heading1"/>
      </w:pPr>
      <w:r>
        <w:t>10. Equal Opportunity and Inclusion</w:t>
      </w:r>
    </w:p>
    <w:p>
      <w:r>
        <w:t>The Equal Opportunity Cell is described as promoting equal opportunity, awareness, human-rights and gender sensitisation, examining violations and supporting an inclusive academic environment. citeturn0search6</w:t>
      </w:r>
    </w:p>
    <w:p>
      <w:pPr>
        <w:pStyle w:val="ListBullet"/>
      </w:pPr>
      <w:r>
        <w:t>Do not discriminate against students or colleagues on prohibited or irrelevant grounds.</w:t>
      </w:r>
    </w:p>
    <w:p>
      <w:pPr>
        <w:pStyle w:val="ListBullet"/>
      </w:pPr>
      <w:r>
        <w:t>Support an inclusive classroom and workplace.</w:t>
      </w:r>
    </w:p>
    <w:p>
      <w:pPr>
        <w:pStyle w:val="ListBullet"/>
      </w:pPr>
      <w:r>
        <w:t>Participate in sensitisation and awareness initiatives as appropriate.</w:t>
      </w:r>
    </w:p>
    <w:p>
      <w:pPr>
        <w:pStyle w:val="ListBullet"/>
      </w:pPr>
      <w:r>
        <w:t>Report serious concerns through the designated institutional mechanism.</w:t>
      </w:r>
    </w:p>
    <w:p>
      <w:pPr>
        <w:pStyle w:val="Heading1"/>
      </w:pPr>
      <w:r>
        <w:t>11. Grievance Redressal</w:t>
      </w:r>
    </w:p>
    <w:p>
      <w:r>
        <w:t>TCEA's Grievance Redressal Policy expressly covers faculty and staff as well as students, parents and guardians, and accepts grievances concerning academic, administrative, financial and personal matters. citeturn0search8</w:t>
      </w:r>
    </w:p>
    <w:p>
      <w:pPr>
        <w:pStyle w:val="ListBullet"/>
      </w:pPr>
      <w:r>
        <w:t>Use the official grievance mechanism for appropriate concerns.</w:t>
      </w:r>
    </w:p>
    <w:p>
      <w:pPr>
        <w:pStyle w:val="ListBullet"/>
      </w:pPr>
      <w:r>
        <w:t>Provide factual information and supporting records when submitting a grievance.</w:t>
      </w:r>
    </w:p>
    <w:p>
      <w:pPr>
        <w:pStyle w:val="ListBullet"/>
      </w:pPr>
      <w:r>
        <w:t>Respect confidentiality and due process.</w:t>
      </w:r>
    </w:p>
    <w:p>
      <w:pPr>
        <w:pStyle w:val="ListBullet"/>
      </w:pPr>
      <w:r>
        <w:t>Avoid retaliation or adverse treatment connected to a legitimate grievance.</w:t>
      </w:r>
    </w:p>
    <w:p>
      <w:pPr>
        <w:pStyle w:val="Heading1"/>
      </w:pPr>
      <w:r>
        <w:t>12. Discipline, Ethics and Institutional Compliance</w:t>
      </w:r>
    </w:p>
    <w:p>
      <w:r>
        <w:t>TCEA's public Discipline page is specifically framed around students; therefore its detailed student disciplinary offences should not be relabelled as faculty rules. However, TCEA's IQAC pages clearly emphasize accountability, integrity, ethical practices, timely performance and compliance with regulatory/accreditation frameworks. citeturn0search5turn2search1</w:t>
      </w:r>
    </w:p>
    <w:p>
      <w:pPr>
        <w:pStyle w:val="ListBullet"/>
      </w:pPr>
      <w:r>
        <w:t>Follow applicable TCEA policies, University regulations, AICTE requirements and lawful institutional directions.</w:t>
      </w:r>
    </w:p>
    <w:p>
      <w:pPr>
        <w:pStyle w:val="ListBullet"/>
      </w:pPr>
      <w:r>
        <w:t>Maintain professional integrity and ethical behaviour in academic and administrative work.</w:t>
      </w:r>
    </w:p>
    <w:p>
      <w:pPr>
        <w:pStyle w:val="ListBullet"/>
      </w:pPr>
      <w:r>
        <w:t>Protect institutional property and use resources responsibly.</w:t>
      </w:r>
    </w:p>
    <w:p>
      <w:pPr>
        <w:pStyle w:val="ListBullet"/>
      </w:pPr>
      <w:r>
        <w:t>Do not misuse institutional position, funds, assets or confidential information.</w:t>
      </w:r>
    </w:p>
    <w:p>
      <w:pPr>
        <w:pStyle w:val="ListBullet"/>
      </w:pPr>
      <w:r>
        <w:t>Cooperate with authorized investigations, audits and institutional processes.</w:t>
      </w:r>
    </w:p>
    <w:p>
      <w:pPr>
        <w:pStyle w:val="Heading1"/>
      </w:pPr>
      <w:r>
        <w:t>13. Confidentiality and Institutional Information</w:t>
      </w:r>
    </w:p>
    <w:p>
      <w:r>
        <w:t>TCEA's published disciplinary framework for students recognizes security, integrity and privacy of confidential material as an institutional concern. For faculty, confidentiality should therefore be treated as a professional responsibility, subject to applicable law and institutional policy.</w:t>
      </w:r>
    </w:p>
    <w:p>
      <w:pPr>
        <w:pStyle w:val="ListBullet"/>
      </w:pPr>
      <w:r>
        <w:t>Protect confidential student, examination, personnel, research and institutional information.</w:t>
      </w:r>
    </w:p>
    <w:p>
      <w:pPr>
        <w:pStyle w:val="ListBullet"/>
      </w:pPr>
      <w:r>
        <w:t>Do not disclose examination materials or confidential records without authorization.</w:t>
      </w:r>
    </w:p>
    <w:p>
      <w:pPr>
        <w:pStyle w:val="ListBullet"/>
      </w:pPr>
      <w:r>
        <w:t>Use institutional systems and data only for legitimate academic/administrative purposes.</w:t>
      </w:r>
    </w:p>
    <w:p>
      <w:pPr>
        <w:pStyle w:val="ListBullet"/>
      </w:pPr>
      <w:r>
        <w:t>Follow applicable data-protection, cybersecurity and information-security directions.</w:t>
      </w:r>
    </w:p>
    <w:p>
      <w:pPr>
        <w:pStyle w:val="Heading1"/>
      </w:pPr>
      <w:r>
        <w:t>14. Library and Academic Resources</w:t>
      </w:r>
    </w:p>
    <w:p>
      <w:r>
        <w:t>TCEA describes its library as an academic resource centre supporting both students and faculty, with textbooks, reference books, technical journals, digital resources, OPAC and online resources. A separate Library Rules document is listed on the official library page. citeturn0search1</w:t>
      </w:r>
    </w:p>
    <w:p>
      <w:pPr>
        <w:pStyle w:val="ListBullet"/>
      </w:pPr>
      <w:r>
        <w:t>Use library and digital resources responsibly.</w:t>
      </w:r>
    </w:p>
    <w:p>
      <w:pPr>
        <w:pStyle w:val="ListBullet"/>
      </w:pPr>
      <w:r>
        <w:t>Return borrowed materials according to the current library rules.</w:t>
      </w:r>
    </w:p>
    <w:p>
      <w:pPr>
        <w:pStyle w:val="ListBullet"/>
      </w:pPr>
      <w:r>
        <w:t>Respect copyright, licensing and access restrictions.</w:t>
      </w:r>
    </w:p>
    <w:p>
      <w:pPr>
        <w:pStyle w:val="ListBullet"/>
      </w:pPr>
      <w:r>
        <w:t>Use institutional digital resources for legitimate academic/research purposes.</w:t>
      </w:r>
    </w:p>
    <w:p>
      <w:pPr>
        <w:pStyle w:val="Heading1"/>
      </w:pPr>
      <w:r>
        <w:t>15. Departmental and Institutional Duties</w:t>
      </w:r>
    </w:p>
    <w:p>
      <w:r>
        <w:t>TCEA's academic structure includes departments, examination functions, IQAC, Training &amp; Placement, IPR and other institutional bodies. The IQAC framework emphasizes timely and progressive performance of academic and administrative tasks. citeturn2search1turn2search0</w:t>
      </w:r>
    </w:p>
    <w:p>
      <w:pPr>
        <w:pStyle w:val="ListBullet"/>
      </w:pPr>
      <w:r>
        <w:t>Perform assigned departmental and institutional responsibilities within deadlines.</w:t>
      </w:r>
    </w:p>
    <w:p>
      <w:pPr>
        <w:pStyle w:val="ListBullet"/>
      </w:pPr>
      <w:r>
        <w:t>Attend/participate in authorized meetings, committees and academic activities when assigned.</w:t>
      </w:r>
    </w:p>
    <w:p>
      <w:pPr>
        <w:pStyle w:val="ListBullet"/>
      </w:pPr>
      <w:r>
        <w:t>Support student development activities, seminars, workshops, industrial visits and professional chapters where assigned.</w:t>
      </w:r>
    </w:p>
    <w:p>
      <w:pPr>
        <w:pStyle w:val="ListBullet"/>
      </w:pPr>
      <w:r>
        <w:t>Cooperate with Training &amp; Placement, IQAC, examination, admission and other authorized institutional functions as applicable.</w:t>
      </w:r>
    </w:p>
    <w:p>
      <w:pPr>
        <w:pStyle w:val="Heading1"/>
      </w:pPr>
      <w:r>
        <w:t>16. Recommended Internal Faculty Rules</w:t>
      </w:r>
    </w:p>
    <w:p>
      <w:r>
        <w:t>The following are recommended provisions for a formal TCEA faculty handbook. They are NOT claimed to be numerical or explicit rules currently published on tiaedu.org unless separately supported by an official TCEA circular.</w:t>
      </w:r>
    </w:p>
    <w:p>
      <w:pPr>
        <w:pStyle w:val="ListBullet"/>
      </w:pPr>
      <w:r>
        <w:t>Maintain regular attendance and punctuality according to the applicable appointment/service rules and institutional timetable.</w:t>
      </w:r>
    </w:p>
    <w:p>
      <w:pPr>
        <w:pStyle w:val="ListBullet"/>
      </w:pPr>
      <w:r>
        <w:t>Inform the appropriate authority in advance regarding leave or unavoidable absence and complete required leave documentation.</w:t>
      </w:r>
    </w:p>
    <w:p>
      <w:pPr>
        <w:pStyle w:val="ListBullet"/>
      </w:pPr>
      <w:r>
        <w:t>Do not cancel/reschedule classes without following the approved departmental process.</w:t>
      </w:r>
    </w:p>
    <w:p>
      <w:pPr>
        <w:pStyle w:val="ListBullet"/>
      </w:pPr>
      <w:r>
        <w:t>Complete syllabus coverage and academic records within the academic calendar.</w:t>
      </w:r>
    </w:p>
    <w:p>
      <w:pPr>
        <w:pStyle w:val="ListBullet"/>
      </w:pPr>
      <w:r>
        <w:t>Submit internal marks, attendance and examination records within deadlines.</w:t>
      </w:r>
    </w:p>
    <w:p>
      <w:pPr>
        <w:pStyle w:val="ListBullet"/>
      </w:pPr>
      <w:r>
        <w:t>Do not engage in plagiarism, fabrication, falsification or other research misconduct.</w:t>
      </w:r>
    </w:p>
    <w:p>
      <w:pPr>
        <w:pStyle w:val="ListBullet"/>
      </w:pPr>
      <w:r>
        <w:t>Disclose conflicts of interest affecting assessment, procurement, supervision or other institutional decisions.</w:t>
      </w:r>
    </w:p>
    <w:p>
      <w:pPr>
        <w:pStyle w:val="ListBullet"/>
      </w:pPr>
      <w:r>
        <w:t>Do not use students for personal work unrelated to legitimate academic/institutional duties.</w:t>
      </w:r>
    </w:p>
    <w:p>
      <w:pPr>
        <w:pStyle w:val="ListBullet"/>
      </w:pPr>
      <w:r>
        <w:t>Maintain professional communication in classrooms, meetings, email and official messaging channels.</w:t>
      </w:r>
    </w:p>
    <w:p>
      <w:pPr>
        <w:pStyle w:val="ListBullet"/>
      </w:pPr>
      <w:r>
        <w:t>Use social media responsibly and do not disclose confidential institutional/student information.</w:t>
      </w:r>
    </w:p>
    <w:p>
      <w:pPr>
        <w:pStyle w:val="ListBullet"/>
      </w:pPr>
      <w:r>
        <w:t>Obtain authorization before making commitments on behalf of TCEA or using the institute's name/logo for external activities.</w:t>
      </w:r>
    </w:p>
    <w:p>
      <w:pPr>
        <w:pStyle w:val="ListBullet"/>
      </w:pPr>
      <w:r>
        <w:t>Take reasonable care of laboratories, equipment, classrooms, documents and other institutional assets.</w:t>
      </w:r>
    </w:p>
    <w:p>
      <w:pPr>
        <w:pStyle w:val="ListBullet"/>
      </w:pPr>
      <w:r>
        <w:t>Support a safe, harassment-free and ragging-free campus.</w:t>
      </w:r>
    </w:p>
    <w:p>
      <w:pPr>
        <w:pStyle w:val="ListBullet"/>
      </w:pPr>
      <w:r>
        <w:t>Participate in faculty development and quality-enhancement activities relevant to assigned duties.</w:t>
      </w:r>
    </w:p>
    <w:p>
      <w:pPr>
        <w:pStyle w:val="ListBullet"/>
      </w:pPr>
      <w:r>
        <w:t>Maintain an updated professional profile/CV and records of teaching, research, FDPs, projects, publications and institutional contributions where required.</w:t>
      </w:r>
    </w:p>
    <w:p>
      <w:pPr>
        <w:pStyle w:val="ListBullet"/>
      </w:pPr>
      <w:r>
        <w:t>Follow the latest applicable service rules, appointment terms, University regulations, AICTE requirements and TCEA circulars.</w:t>
      </w:r>
    </w:p>
    <w:p>
      <w:pPr>
        <w:pStyle w:val="Heading1"/>
      </w:pPr>
      <w:r>
        <w:t>17. Faculty Declaration</w:t>
      </w:r>
    </w:p>
    <w:p>
      <w:r>
        <w:t>I acknowledge that I have read and understood the TCEA Faculty Rules &amp; Regulations Handbook and agree to comply with the latest applicable TCEA policies, University regulations, AICTE/statutory requirements, appointment/service conditions and authorized institutional directions. I understand that a later official circular, service rule, appointment condition or statutory/University regulation shall prevail over this consolidated handbook where there is any inconsistency.</w:t>
      </w:r>
    </w:p>
    <w:tbl>
      <w:tblPr>
        <w:tblStyle w:val="TableGrid"/>
        <w:tblW w:type="auto" w:w="0"/>
        <w:tblLook w:firstColumn="1" w:firstRow="1" w:lastColumn="0" w:lastRow="0" w:noHBand="0" w:noVBand="1" w:val="04A0"/>
      </w:tblPr>
      <w:tblGrid>
        <w:gridCol w:w="4968"/>
        <w:gridCol w:w="4968"/>
      </w:tblGrid>
      <w:tr>
        <w:tc>
          <w:tcPr>
            <w:tcW w:type="dxa" w:w="4968"/>
          </w:tcPr>
          <w:p>
            <w:r>
              <w:t>Faculty Name</w:t>
            </w:r>
          </w:p>
        </w:tc>
        <w:tc>
          <w:tcPr>
            <w:tcW w:type="dxa" w:w="4968"/>
          </w:tcPr>
          <w:p>
            <w:r>
              <w:t>________________________________________</w:t>
            </w:r>
          </w:p>
        </w:tc>
      </w:tr>
      <w:tr>
        <w:tc>
          <w:tcPr>
            <w:tcW w:type="dxa" w:w="4968"/>
          </w:tcPr>
          <w:p>
            <w:r>
              <w:t>Employee ID</w:t>
            </w:r>
          </w:p>
        </w:tc>
        <w:tc>
          <w:tcPr>
            <w:tcW w:type="dxa" w:w="4968"/>
          </w:tcPr>
          <w:p>
            <w:r>
              <w:t>________________________________________</w:t>
            </w:r>
          </w:p>
        </w:tc>
      </w:tr>
      <w:tr>
        <w:tc>
          <w:tcPr>
            <w:tcW w:type="dxa" w:w="4968"/>
          </w:tcPr>
          <w:p>
            <w:r>
              <w:t>Department / Designation</w:t>
            </w:r>
          </w:p>
        </w:tc>
        <w:tc>
          <w:tcPr>
            <w:tcW w:type="dxa" w:w="4968"/>
          </w:tcPr>
          <w:p>
            <w:r>
              <w:t>________________________________________</w:t>
            </w:r>
          </w:p>
        </w:tc>
      </w:tr>
      <w:tr>
        <w:tc>
          <w:tcPr>
            <w:tcW w:type="dxa" w:w="4968"/>
          </w:tcPr>
          <w:p>
            <w:r>
              <w:t>Signature</w:t>
            </w:r>
          </w:p>
        </w:tc>
        <w:tc>
          <w:tcPr>
            <w:tcW w:type="dxa" w:w="4968"/>
          </w:tcPr>
          <w:p>
            <w:r>
              <w:t>________________________________________</w:t>
            </w:r>
          </w:p>
        </w:tc>
      </w:tr>
      <w:tr>
        <w:tc>
          <w:tcPr>
            <w:tcW w:type="dxa" w:w="4968"/>
          </w:tcPr>
          <w:p>
            <w:r>
              <w:t>Date</w:t>
            </w:r>
          </w:p>
        </w:tc>
        <w:tc>
          <w:tcPr>
            <w:tcW w:type="dxa" w:w="4968"/>
          </w:tcPr>
          <w:p>
            <w:r>
              <w:t>________________________________________</w:t>
            </w:r>
          </w:p>
        </w:tc>
      </w:tr>
    </w:tbl>
    <w:p>
      <w:pPr>
        <w:pStyle w:val="Heading1"/>
      </w:pPr>
      <w:r>
        <w:t>18. Official TCEA Sources</w:t>
      </w:r>
    </w:p>
    <w:p>
      <w:pPr>
        <w:pStyle w:val="ListBullet"/>
      </w:pPr>
      <w:r>
        <w:rPr>
          <w:b/>
        </w:rPr>
        <w:t xml:space="preserve">TCEA Faculty/Recruitment FAQ — </w:t>
      </w:r>
      <w:r>
        <w:t>https://tiaedu.org/tceaweb/public/index.php/faq</w:t>
      </w:r>
    </w:p>
    <w:p>
      <w:pPr>
        <w:pStyle w:val="ListBullet"/>
      </w:pPr>
      <w:r>
        <w:rPr>
          <w:b/>
        </w:rPr>
        <w:t xml:space="preserve">TCEA IQAC – Roles &amp; Responsibilities — </w:t>
      </w:r>
      <w:r>
        <w:t>https://tiaedu.org/tceaweb/public/index.php/iqac-responsibility</w:t>
      </w:r>
    </w:p>
    <w:p>
      <w:pPr>
        <w:pStyle w:val="ListBullet"/>
      </w:pPr>
      <w:r>
        <w:rPr>
          <w:b/>
        </w:rPr>
        <w:t xml:space="preserve">TCEA IQAC — </w:t>
      </w:r>
      <w:r>
        <w:t>https://tiaedu.org/tceaweb/public/index.php/iqac-tcea</w:t>
      </w:r>
    </w:p>
    <w:p>
      <w:pPr>
        <w:pStyle w:val="ListBullet"/>
      </w:pPr>
      <w:r>
        <w:rPr>
          <w:b/>
        </w:rPr>
        <w:t xml:space="preserve">TCEA IQAC Coordinator — </w:t>
      </w:r>
      <w:r>
        <w:t>https://tiaedu.org/iqac_coordinator</w:t>
      </w:r>
    </w:p>
    <w:p>
      <w:pPr>
        <w:pStyle w:val="ListBullet"/>
      </w:pPr>
      <w:r>
        <w:rPr>
          <w:b/>
        </w:rPr>
        <w:t xml:space="preserve">TCEA Grievance Redressal Policy — </w:t>
      </w:r>
      <w:r>
        <w:t>https://tiaedu.org/tceaweb/grievances-redressal-policy</w:t>
      </w:r>
    </w:p>
    <w:p>
      <w:pPr>
        <w:pStyle w:val="ListBullet"/>
      </w:pPr>
      <w:r>
        <w:rPr>
          <w:b/>
        </w:rPr>
        <w:t xml:space="preserve">TCEA Equal Opportunity Cell — </w:t>
      </w:r>
      <w:r>
        <w:t>https://tiaedu.org/index.php/equal-opportunity-cell/</w:t>
      </w:r>
    </w:p>
    <w:p>
      <w:pPr>
        <w:pStyle w:val="ListBullet"/>
      </w:pPr>
      <w:r>
        <w:rPr>
          <w:b/>
        </w:rPr>
        <w:t xml:space="preserve">TCEA Library — </w:t>
      </w:r>
      <w:r>
        <w:t>https://tiaedu.org/tceaweb/public/index.php/library</w:t>
      </w:r>
    </w:p>
    <w:p>
      <w:pPr>
        <w:pStyle w:val="ListBullet"/>
      </w:pPr>
      <w:r>
        <w:rPr>
          <w:b/>
        </w:rPr>
        <w:t xml:space="preserve">TCEA Discipline — </w:t>
      </w:r>
      <w:r>
        <w:t>https://tiaedu.org/tceaweb/discipline</w:t>
      </w:r>
    </w:p>
    <w:p>
      <w:pPr>
        <w:pStyle w:val="ListBullet"/>
      </w:pPr>
      <w:r>
        <w:rPr>
          <w:b/>
        </w:rPr>
        <w:t xml:space="preserve">TCEA Faculty Development Programme document — </w:t>
      </w:r>
      <w:r>
        <w:t>https://tiaedu.org/wp-content/uploads/2024/04/FDP-on-Modern-and-Innovative-Tools-in-Engineering-Education.pdf</w:t>
      </w:r>
    </w:p>
    <w:p>
      <w:pPr>
        <w:pStyle w:val="ListBullet"/>
      </w:pPr>
      <w:r>
        <w:rPr>
          <w:b/>
        </w:rPr>
        <w:t xml:space="preserve">TCEA Facilities / Teaching-Learning Process — </w:t>
      </w:r>
      <w:r>
        <w:t>https://tiaedu.org/index.php/facilities/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Techno College of Engineering Agartala — Faculty Rules &amp; Regulations Handbook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