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TECHNO COLLEGE OF ENGINEERING AGARTALA</w:t>
        <w:br/>
      </w:r>
      <w:r>
        <w:rPr>
          <w:b/>
          <w:sz w:val="60"/>
        </w:rPr>
        <w:br/>
        <w:t>STUDENT HANDBOOK 2026</w:t>
        <w:br/>
      </w:r>
      <w:r>
        <w:rPr>
          <w:i/>
          <w:sz w:val="28"/>
        </w:rPr>
        <w:br/>
        <w:t>Academic, Discipline, Student Welfare &amp; Campus Guidelines</w:t>
      </w:r>
      <w:r>
        <w:br/>
        <w:br/>
        <w:t>Prepared from regulations, policies and student-facing information published on tiaedu.org</w:t>
        <w:br/>
        <w:br/>
      </w:r>
      <w:r>
        <w:rPr>
          <w:b/>
        </w:rPr>
        <w:t>Version: September 2026</w:t>
      </w:r>
    </w:p>
    <w:p>
      <w:r>
        <w:br w:type="page"/>
      </w:r>
    </w:p>
    <w:p>
      <w:pPr>
        <w:pStyle w:val="Heading1"/>
      </w:pPr>
      <w:r>
        <w:t>Important Note on Status of this Handbook</w:t>
      </w:r>
    </w:p>
    <w:p>
      <w:r>
        <w:t>This handbook is a consolidated student-facing summary prepared from the official TCEA website (tiaedu.org) and documents/pages linked from it. It is not itself an official amendment to any University, AICTE, statutory or TCEA regulation. Where a current official regulation, notice, ordinance or committee decision differs from this summary, the latest applicable official document shall prevail.</w:t>
      </w:r>
    </w:p>
    <w:p>
      <w:r>
        <w:t>Sections labelled “Student Guidance / Recommended Handbook Rules” are practical provisions suggested for clarity and are not presented as rules extracted from tiaedu.org.</w:t>
      </w:r>
    </w:p>
    <w:p>
      <w:pPr>
        <w:pStyle w:val="Heading1"/>
      </w:pPr>
      <w:r>
        <w:t>Contents</w:t>
      </w:r>
    </w:p>
    <w:p>
      <w:r>
        <w:t>1. About TCEA and the Student Experience</w:t>
      </w:r>
    </w:p>
    <w:p>
      <w:r>
        <w:t>2. General Student Responsibilities</w:t>
      </w:r>
    </w:p>
    <w:p>
      <w:r>
        <w:t>3. Academic Attendance and Examination Eligibility</w:t>
      </w:r>
    </w:p>
    <w:p>
      <w:r>
        <w:t>4. Academic Performance and Evaluation</w:t>
      </w:r>
    </w:p>
    <w:p>
      <w:r>
        <w:t>5. Discipline and Code of Conduct</w:t>
      </w:r>
    </w:p>
    <w:p>
      <w:r>
        <w:t>6. Prohibited Conduct and Disciplinary Matters</w:t>
      </w:r>
    </w:p>
    <w:p>
      <w:r>
        <w:t>7. Anti-Ragging Policy</w:t>
      </w:r>
    </w:p>
    <w:p>
      <w:r>
        <w:t>8. Equal Opportunity and Non-Discrimination</w:t>
      </w:r>
    </w:p>
    <w:p>
      <w:r>
        <w:t>9. Student Grievance Redressal</w:t>
      </w:r>
    </w:p>
    <w:p>
      <w:r>
        <w:t>10. Library and Learning Resources</w:t>
      </w:r>
    </w:p>
    <w:p>
      <w:r>
        <w:t>11. Medical and Student Welfare Support</w:t>
      </w:r>
    </w:p>
    <w:p>
      <w:r>
        <w:t>12. Training, Internship and Career Development</w:t>
      </w:r>
    </w:p>
    <w:p>
      <w:r>
        <w:t>13. Clubs, Sports and Co-curricular Activities</w:t>
      </w:r>
    </w:p>
    <w:p>
      <w:r>
        <w:t>14. Student Communication and Notices</w:t>
      </w:r>
    </w:p>
    <w:p>
      <w:r>
        <w:t>15. Student Guidance / Recommended Handbook Rules</w:t>
      </w:r>
    </w:p>
    <w:p>
      <w:r>
        <w:t>16. Student Declaration</w:t>
      </w:r>
    </w:p>
    <w:p>
      <w:r>
        <w:t>17. Official Sources</w:t>
      </w:r>
    </w:p>
    <w:p>
      <w:pPr>
        <w:pStyle w:val="Heading1"/>
      </w:pPr>
      <w:r>
        <w:t>1. About TCEA and the Student Experience</w:t>
      </w:r>
    </w:p>
    <w:p>
      <w:r>
        <w:t>Techno College of Engineering Agartala (TCEA) presents itself as a professionally oriented institute with emphasis on employability, industry exposure, learner-centred education and preparation for national-level examinations such as GATE.</w:t>
      </w:r>
    </w:p>
    <w:p>
      <w:r>
        <w:t>The TCEA website describes opportunities for industrial and professional training, including summer/winter training and skill-development activities, alongside academic departments, library, medical services, grievance mechanisms, student activities and quality-assurance processes.</w:t>
      </w:r>
    </w:p>
    <w:p>
      <w:r>
        <w:rPr>
          <w:b/>
        </w:rPr>
        <w:t xml:space="preserve">TCEA Discipline: </w:t>
      </w:r>
      <w:r>
        <w:t>https://tiaedu.org/tceaweb/discipline</w:t>
      </w:r>
    </w:p>
    <w:p>
      <w:r>
        <w:rPr>
          <w:b/>
        </w:rPr>
        <w:t xml:space="preserve">Vocational Training: </w:t>
      </w:r>
      <w:r>
        <w:t>https://tiaedu.org/vocational-training</w:t>
      </w:r>
    </w:p>
    <w:p>
      <w:pPr>
        <w:pStyle w:val="Heading1"/>
      </w:pPr>
      <w:r>
        <w:t>2. General Student Responsibilities</w:t>
      </w:r>
    </w:p>
    <w:p>
      <w:r>
        <w:t>The institute’s published discipline statement expects students to:</w:t>
      </w:r>
    </w:p>
    <w:p>
      <w:pPr>
        <w:pStyle w:val="ListBullet"/>
      </w:pPr>
      <w:r>
        <w:t>Maintain punctuality and regular attendance in classes and sessional tests.</w:t>
      </w:r>
    </w:p>
    <w:p>
      <w:pPr>
        <w:pStyle w:val="ListBullet"/>
      </w:pPr>
      <w:r>
        <w:t>Respect institute property and members of the academic authority.</w:t>
      </w:r>
    </w:p>
    <w:p>
      <w:pPr>
        <w:pStyle w:val="ListBullet"/>
      </w:pPr>
      <w:r>
        <w:t>Follow prevailing institutional norms concerning discipline and general behaviour.</w:t>
      </w:r>
    </w:p>
    <w:p>
      <w:pPr>
        <w:pStyle w:val="ListBullet"/>
      </w:pPr>
      <w:r>
        <w:t>Participate constructively in games, sports, cultural and co-curricular activities.</w:t>
      </w:r>
    </w:p>
    <w:p>
      <w:pPr>
        <w:pStyle w:val="ListBullet"/>
      </w:pPr>
      <w:r>
        <w:t>Comply with legitimate directions and institutional requirements.</w:t>
      </w:r>
    </w:p>
    <w:p>
      <w:pPr>
        <w:pStyle w:val="ListBullet"/>
      </w:pPr>
      <w:r>
        <w:t>Contribute to a safe, respectful and academically productive campus environment.</w:t>
      </w:r>
    </w:p>
    <w:p>
      <w:r>
        <w:t>TCEA states that it has a Disciplinary Committee and that the committee may, by majority decision, suggest disciplinary action including expulsion.</w:t>
      </w:r>
    </w:p>
    <w:p>
      <w:pPr>
        <w:pStyle w:val="Heading1"/>
      </w:pPr>
      <w:r>
        <w:t>3. Academic Attendance and Examination Eligibility</w:t>
      </w:r>
    </w:p>
    <w:p>
      <w:r>
        <w:t>The detailed B.Tech. academic regulation published by TCEA/Tripura University provides attendance and examination eligibility requirements. The regulation is a 2015 document, so later University/TCEA notices and amendments should be checked before applying a specific numerical rule.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Attendance</w:t>
            </w:r>
          </w:p>
        </w:tc>
        <w:tc>
          <w:tcPr>
            <w:tcW w:type="dxa" w:w="3312"/>
            <w:shd w:fill="D9EAF7"/>
          </w:tcPr>
          <w:p>
            <w:r>
              <w:t>Status</w:t>
            </w:r>
          </w:p>
        </w:tc>
        <w:tc>
          <w:tcPr>
            <w:tcW w:type="dxa" w:w="3312"/>
            <w:shd w:fill="D9EAF7"/>
          </w:tcPr>
          <w:p>
            <w:r>
              <w:t>Published rule summarized</w:t>
            </w:r>
          </w:p>
        </w:tc>
      </w:tr>
      <w:tr>
        <w:tc>
          <w:tcPr>
            <w:tcW w:type="dxa" w:w="3312"/>
          </w:tcPr>
          <w:p>
            <w:r>
              <w:t>80% or above</w:t>
            </w:r>
          </w:p>
        </w:tc>
        <w:tc>
          <w:tcPr>
            <w:tcW w:type="dxa" w:w="3312"/>
          </w:tcPr>
          <w:p>
            <w:r>
              <w:t>Eligible</w:t>
            </w:r>
          </w:p>
        </w:tc>
        <w:tc>
          <w:tcPr>
            <w:tcW w:type="dxa" w:w="3312"/>
          </w:tcPr>
          <w:p>
            <w:r>
              <w:t>Minimum attendance stated for appearing in Semester End Examination.</w:t>
            </w:r>
          </w:p>
        </w:tc>
      </w:tr>
      <w:tr>
        <w:tc>
          <w:tcPr>
            <w:tcW w:type="dxa" w:w="3312"/>
          </w:tcPr>
          <w:p>
            <w:r>
              <w:t>Above 60% and below 80%</w:t>
            </w:r>
          </w:p>
        </w:tc>
        <w:tc>
          <w:tcPr>
            <w:tcW w:type="dxa" w:w="3312"/>
          </w:tcPr>
          <w:p>
            <w:r>
              <w:t>Non-collegiate</w:t>
            </w:r>
          </w:p>
        </w:tc>
        <w:tc>
          <w:tcPr>
            <w:tcW w:type="dxa" w:w="3312"/>
          </w:tcPr>
          <w:p>
            <w:r>
              <w:t>Published regulation provides for non-collegiate status and prescribed fee.</w:t>
            </w:r>
          </w:p>
        </w:tc>
      </w:tr>
      <w:tr>
        <w:tc>
          <w:tcPr>
            <w:tcW w:type="dxa" w:w="3312"/>
          </w:tcPr>
          <w:p>
            <w:r>
              <w:t>Below 60%</w:t>
            </w:r>
          </w:p>
        </w:tc>
        <w:tc>
          <w:tcPr>
            <w:tcW w:type="dxa" w:w="3312"/>
          </w:tcPr>
          <w:p>
            <w:r>
              <w:t>Dis-collegiate</w:t>
            </w:r>
          </w:p>
        </w:tc>
        <w:tc>
          <w:tcPr>
            <w:tcW w:type="dxa" w:w="3312"/>
          </w:tcPr>
          <w:p>
            <w:r>
              <w:t>Published regulation restricts examination-form/SEE eligibility and specifies further action.</w:t>
            </w:r>
          </w:p>
        </w:tc>
      </w:tr>
      <w:tr>
        <w:tc>
          <w:tcPr>
            <w:tcW w:type="dxa" w:w="3312"/>
          </w:tcPr>
          <w:p>
            <w:r>
              <w:t>At least 60% up to Mid-Semester Examination</w:t>
            </w:r>
          </w:p>
        </w:tc>
        <w:tc>
          <w:tcPr>
            <w:tcW w:type="dxa" w:w="3312"/>
          </w:tcPr>
          <w:p>
            <w:r>
              <w:t>Mid-semester eligibility</w:t>
            </w:r>
          </w:p>
        </w:tc>
        <w:tc>
          <w:tcPr>
            <w:tcW w:type="dxa" w:w="3312"/>
          </w:tcPr>
          <w:p>
            <w:r>
              <w:t>Minimum 60% attendance in each course up to the Mid-Semester Examination.</w:t>
            </w:r>
          </w:p>
        </w:tc>
      </w:tr>
    </w:tbl>
    <w:p>
      <w:r>
        <w:t>Students should monitor attendance through the department/academic system and act early when attendance falls below the required level.</w:t>
      </w:r>
    </w:p>
    <w:p>
      <w:pPr>
        <w:pStyle w:val="Heading1"/>
      </w:pPr>
      <w:r>
        <w:t>4. Academic Performance and Evaluation</w:t>
      </w:r>
    </w:p>
    <w:p>
      <w:r>
        <w:t>The published B.Tech. regulation describes a credit-based evaluation framework including:</w:t>
      </w:r>
    </w:p>
    <w:p>
      <w:pPr>
        <w:pStyle w:val="ListBullet"/>
      </w:pPr>
      <w:r>
        <w:t>Continuous Internal Evaluation (CIE) and Semester End Examination (SEE).</w:t>
      </w:r>
    </w:p>
    <w:p>
      <w:pPr>
        <w:pStyle w:val="ListBullet"/>
      </w:pPr>
      <w:r>
        <w:t>A stated CIE:SEE weighting of 40%:60% in the cited 2015 regulation.</w:t>
      </w:r>
    </w:p>
    <w:p>
      <w:pPr>
        <w:pStyle w:val="ListBullet"/>
      </w:pPr>
      <w:r>
        <w:t>A minimum CIE requirement for SEE eligibility as specified in that regulation.</w:t>
      </w:r>
    </w:p>
    <w:p>
      <w:pPr>
        <w:pStyle w:val="ListBullet"/>
      </w:pPr>
      <w:r>
        <w:t>Course grades on a 10-point scale, including O, A+, A, B+, B, C and F.</w:t>
      </w:r>
    </w:p>
    <w:p>
      <w:pPr>
        <w:pStyle w:val="ListBullet"/>
      </w:pPr>
      <w:r>
        <w:t>SGPA and CGPA calculation using credit-weighted performance.</w:t>
      </w:r>
    </w:p>
    <w:p>
      <w:pPr>
        <w:pStyle w:val="ListBullet"/>
      </w:pPr>
      <w:r>
        <w:t>Minimum SGPA/CGPA requirements for progression and degree award, as specified in the regulation.</w:t>
      </w:r>
    </w:p>
    <w:p>
      <w:pPr>
        <w:pStyle w:val="ListBullet"/>
      </w:pPr>
      <w:r>
        <w:t>Special/supplementary examination provisions for eligible students, subject to the applicable regulation.</w:t>
      </w:r>
    </w:p>
    <w:p>
      <w:r>
        <w:t>Because the detailed academic document is titled “Rules &amp; Regulation 2015”, students and administrators should verify later University amendments before applying a specific numerical provision.</w:t>
      </w:r>
    </w:p>
    <w:p>
      <w:pPr>
        <w:pStyle w:val="Heading1"/>
      </w:pPr>
      <w:r>
        <w:t>5. Discipline and Code of Conduct</w:t>
      </w:r>
    </w:p>
    <w:p>
      <w:r>
        <w:t>TCEA states that students are expected to maintain discipline and general good behaviour. Its published disciplinary framework identifies conduct that may result in disciplinary proceedings:</w:t>
      </w:r>
    </w:p>
    <w:p>
      <w:pPr>
        <w:pStyle w:val="ListBullet"/>
      </w:pPr>
      <w:r>
        <w:t>Assault or threatening behaviour toward students or employees.</w:t>
      </w:r>
    </w:p>
    <w:p>
      <w:pPr>
        <w:pStyle w:val="ListBullet"/>
      </w:pPr>
      <w:r>
        <w:t>Damage to college property or property belonging to students, staff or visitors.</w:t>
      </w:r>
    </w:p>
    <w:p>
      <w:pPr>
        <w:pStyle w:val="ListBullet"/>
      </w:pPr>
      <w:r>
        <w:t>Acts that may cause injury or compromise campus safety.</w:t>
      </w:r>
    </w:p>
    <w:p>
      <w:pPr>
        <w:pStyle w:val="ListBullet"/>
      </w:pPr>
      <w:r>
        <w:t>Criminal offences.</w:t>
      </w:r>
    </w:p>
    <w:p>
      <w:pPr>
        <w:pStyle w:val="ListBullet"/>
      </w:pPr>
      <w:r>
        <w:t>Racial or sexual harassment and other violations covered by equal-opportunity requirements.</w:t>
      </w:r>
    </w:p>
    <w:p>
      <w:pPr>
        <w:pStyle w:val="ListBullet"/>
      </w:pPr>
      <w:r>
        <w:t>Misappropriation or misuse of institutional funds/assets.</w:t>
      </w:r>
    </w:p>
    <w:p>
      <w:pPr>
        <w:pStyle w:val="ListBullet"/>
      </w:pPr>
      <w:r>
        <w:t>Abusive, antisocial or unreasonable behaviour.</w:t>
      </w:r>
    </w:p>
    <w:p>
      <w:pPr>
        <w:pStyle w:val="ListBullet"/>
      </w:pPr>
      <w:r>
        <w:t>Conduct likely to cause fear, distress or offence.</w:t>
      </w:r>
    </w:p>
    <w:p>
      <w:pPr>
        <w:pStyle w:val="ListBullet"/>
      </w:pPr>
      <w:r>
        <w:t>Breach of University Regulations.</w:t>
      </w:r>
    </w:p>
    <w:p>
      <w:pPr>
        <w:pStyle w:val="ListBullet"/>
      </w:pPr>
      <w:r>
        <w:t>Failure to comply with college policies or directions.</w:t>
      </w:r>
    </w:p>
    <w:p>
      <w:pPr>
        <w:pStyle w:val="ListBullet"/>
      </w:pPr>
      <w:r>
        <w:t>Improper access, misuse or attempted misuse of confidential files/material.</w:t>
      </w:r>
    </w:p>
    <w:p>
      <w:pPr>
        <w:pStyle w:val="ListBullet"/>
      </w:pPr>
      <w:r>
        <w:t>Bringing outside persons/elements onto campus without permission.</w:t>
      </w:r>
    </w:p>
    <w:p>
      <w:pPr>
        <w:pStyle w:val="ListBullet"/>
      </w:pPr>
      <w:r>
        <w:t>Attempts to persuade students to boycott or postpone University examinations.</w:t>
      </w:r>
    </w:p>
    <w:p>
      <w:pPr>
        <w:pStyle w:val="ListBullet"/>
      </w:pPr>
      <w:r>
        <w:t>Possession or use of alcoholic drinks, narcotics, unlawful drugs or unlawful materials.</w:t>
      </w:r>
    </w:p>
    <w:p>
      <w:pPr>
        <w:pStyle w:val="ListBullet"/>
      </w:pPr>
      <w:r>
        <w:t>Smoking inside the institute building/campus.</w:t>
      </w:r>
    </w:p>
    <w:p>
      <w:pPr>
        <w:pStyle w:val="Heading1"/>
      </w:pPr>
      <w:r>
        <w:t>6. Prohibited Conduct and Disciplinary Matters</w:t>
      </w:r>
    </w:p>
    <w:p>
      <w:r>
        <w:t>The published disciplinary framework extends beyond classroom behaviour to safety, property, examinations, harassment, unlawful activities and compliance with institutional directions. The disciplinary committee is the institutional mechanism identified on the TCEA discipline page.</w:t>
      </w:r>
    </w:p>
    <w:p>
      <w:pPr>
        <w:pStyle w:val="Heading1"/>
      </w:pPr>
      <w:r>
        <w:t>7. Anti-Ragging Policy</w:t>
      </w:r>
    </w:p>
    <w:p>
      <w:r>
        <w:t>TCEA states that ragging is strictly prohibited within and outside the institute, including academic, residential, sports and cafeteria/campus spaces, and that active or passive abetment is prohibited.</w:t>
      </w:r>
    </w:p>
    <w:p>
      <w:pPr>
        <w:pStyle w:val="ListBullet"/>
      </w:pPr>
      <w:r>
        <w:t>Ragging complaints may be considered on a written complaint by the affected student or through an independent finding of the Anti-Ragging Committee.</w:t>
      </w:r>
    </w:p>
    <w:p>
      <w:pPr>
        <w:pStyle w:val="ListBullet"/>
      </w:pPr>
      <w:r>
        <w:t>Students found guilty of ragging or abetting ragging may face action under applicable law and institutional provisions.</w:t>
      </w:r>
    </w:p>
    <w:p>
      <w:pPr>
        <w:pStyle w:val="ListBullet"/>
      </w:pPr>
      <w:r>
        <w:t>TCEA states that each student and parent must submit the required online anti-ragging undertaking every academic year.</w:t>
      </w:r>
    </w:p>
    <w:p>
      <w:pPr>
        <w:pStyle w:val="ListBullet"/>
      </w:pPr>
      <w:r>
        <w:t>The TCEA anti-ragging page publishes the Anti-Ragging Helpline: 1800-180-5522 (24×7 toll-free) and helpline@antiragging.in.</w:t>
      </w:r>
    </w:p>
    <w:p>
      <w:pPr>
        <w:pStyle w:val="Heading1"/>
      </w:pPr>
      <w:r>
        <w:t>8. Equal Opportunity and Non-Discrimination</w:t>
      </w:r>
    </w:p>
    <w:p>
      <w:r>
        <w:t>TCEA’s Equal Opportunity Cell describes objectives including supporting deprived groups, promoting equal opportunity, awareness programmes, addressing violations, skill development/employability and cordial interpersonal relationships.</w:t>
      </w:r>
    </w:p>
    <w:p>
      <w:pPr>
        <w:pStyle w:val="ListBullet"/>
      </w:pPr>
      <w:r>
        <w:t>Treat peers and staff with dignity and respect.</w:t>
      </w:r>
    </w:p>
    <w:p>
      <w:pPr>
        <w:pStyle w:val="ListBullet"/>
      </w:pPr>
      <w:r>
        <w:t>Bring discrimination or harassment concerns through the appropriate institutional mechanism.</w:t>
      </w:r>
    </w:p>
    <w:p>
      <w:pPr>
        <w:pStyle w:val="ListBullet"/>
      </w:pPr>
      <w:r>
        <w:t>Participate in sensitisation and awareness programmes on human rights and gender issues where appropriate.</w:t>
      </w:r>
    </w:p>
    <w:p>
      <w:pPr>
        <w:pStyle w:val="ListBullet"/>
      </w:pPr>
      <w:r>
        <w:t>Use the Equal Opportunity Cell or other designated mechanism where an equal-opportunity concern arises.</w:t>
      </w:r>
    </w:p>
    <w:p>
      <w:pPr>
        <w:pStyle w:val="Heading1"/>
      </w:pPr>
      <w:r>
        <w:t>9. Student Grievance Redressal</w:t>
      </w:r>
    </w:p>
    <w:p>
      <w:r>
        <w:t>TCEA has a Grievance Redressal Policy covering students, faculty, staff, parents and guardians. The institution states that grievances may relate to academic, administrative, financial or personal issues.</w:t>
      </w:r>
    </w:p>
    <w:p>
      <w:pPr>
        <w:pStyle w:val="ListBullet"/>
      </w:pPr>
      <w:r>
        <w:t>Use the official grievance redressal mechanism.</w:t>
      </w:r>
    </w:p>
    <w:p>
      <w:pPr>
        <w:pStyle w:val="ListBullet"/>
      </w:pPr>
      <w:r>
        <w:t>Parents/guardians may raise concerns about policies, admission, fees, academic performance and student welfare.</w:t>
      </w:r>
    </w:p>
    <w:p>
      <w:pPr>
        <w:pStyle w:val="ListBullet"/>
      </w:pPr>
      <w:r>
        <w:t>The Grievance Redressal Committee (GRC) reviews submitted grievances.</w:t>
      </w:r>
    </w:p>
    <w:p>
      <w:pPr>
        <w:pStyle w:val="ListBullet"/>
      </w:pPr>
      <w:r>
        <w:t>The institution describes the mechanism as supporting transparency, accountability and timely response.</w:t>
      </w:r>
    </w:p>
    <w:p>
      <w:pPr>
        <w:pStyle w:val="Heading1"/>
      </w:pPr>
      <w:r>
        <w:t>10. Library and Learning Resources</w:t>
      </w:r>
    </w:p>
    <w:p>
      <w:r>
        <w:t>TCEA describes its library as an academic resource centre supporting students and faculty. The website states that it provides textbooks, reference books, technical journals, digital resources, OPAC and access to online resources.</w:t>
      </w:r>
    </w:p>
    <w:p>
      <w:r>
        <w:t>A separate “Library Rules” document is listed on the official library page. Students should follow the current rules regarding:</w:t>
      </w:r>
    </w:p>
    <w:p>
      <w:pPr>
        <w:pStyle w:val="ListBullet"/>
      </w:pPr>
      <w:r>
        <w:t>Issue and return of books.</w:t>
      </w:r>
    </w:p>
    <w:p>
      <w:pPr>
        <w:pStyle w:val="ListBullet"/>
      </w:pPr>
      <w:r>
        <w:t>Renewal/reservation procedures.</w:t>
      </w:r>
    </w:p>
    <w:p>
      <w:pPr>
        <w:pStyle w:val="ListBullet"/>
      </w:pPr>
      <w:r>
        <w:t>Care and preservation of library materials.</w:t>
      </w:r>
    </w:p>
    <w:p>
      <w:pPr>
        <w:pStyle w:val="ListBullet"/>
      </w:pPr>
      <w:r>
        <w:t>Quiet study and appropriate library behaviour.</w:t>
      </w:r>
    </w:p>
    <w:p>
      <w:pPr>
        <w:pStyle w:val="ListBullet"/>
      </w:pPr>
      <w:r>
        <w:t>Return of overdue/required materials when notified.</w:t>
      </w:r>
    </w:p>
    <w:p>
      <w:r>
        <w:t>Exact fines, borrowing limits and time periods should be taken from the current Library Rules document rather than assumed from this summary.</w:t>
      </w:r>
    </w:p>
    <w:p>
      <w:pPr>
        <w:pStyle w:val="Heading1"/>
      </w:pPr>
      <w:r>
        <w:t>11. Medical and Student Welfare Support</w:t>
      </w:r>
    </w:p>
    <w:p>
      <w:r>
        <w:t>TCEA states that its Medical Unit provides basic healthcare support to students, faculty and staff during college hours, including first aid, monitoring of health conditions and assistance during minor illness/injury and emergencies until further medical assistance can be arranged.</w:t>
      </w:r>
    </w:p>
    <w:p>
      <w:pPr>
        <w:pStyle w:val="Heading1"/>
      </w:pPr>
      <w:r>
        <w:t>12. Training, Internship and Career Development</w:t>
      </w:r>
    </w:p>
    <w:p>
      <w:r>
        <w:t>TCEA states that students receive opportunities for industrial exposure through periodic training, including summer/winter training and professional or skill-development training. Students should comply with departmental instructions, schedules, attendance, documentation and host-organisation rules.</w:t>
      </w:r>
    </w:p>
    <w:p>
      <w:pPr>
        <w:pStyle w:val="Heading1"/>
      </w:pPr>
      <w:r>
        <w:t>13. Clubs, Sports and Co-curricular Activities</w:t>
      </w:r>
    </w:p>
    <w:p>
      <w:r>
        <w:t>TCEA’s discipline statement encourages participation in games, sports, cultural and co-curricular activities. Students should use these opportunities responsibly and follow the rules of the relevant club, committee or activity.</w:t>
      </w:r>
    </w:p>
    <w:p>
      <w:pPr>
        <w:pStyle w:val="Heading1"/>
      </w:pPr>
      <w:r>
        <w:t>14. Student Communication and Notices</w:t>
      </w:r>
    </w:p>
    <w:p>
      <w:pPr>
        <w:pStyle w:val="ListBullet"/>
      </w:pPr>
      <w:r>
        <w:t>Treat official notices as the authoritative source for dates and deadlines.</w:t>
      </w:r>
    </w:p>
    <w:p>
      <w:pPr>
        <w:pStyle w:val="ListBullet"/>
      </w:pPr>
      <w:r>
        <w:t>Keep registered contact information current.</w:t>
      </w:r>
    </w:p>
    <w:p>
      <w:pPr>
        <w:pStyle w:val="ListBullet"/>
      </w:pPr>
      <w:r>
        <w:t>Retain important submission receipts and official acknowledgements when appropriate.</w:t>
      </w:r>
    </w:p>
    <w:p>
      <w:pPr>
        <w:pStyle w:val="ListBullet"/>
      </w:pPr>
      <w:r>
        <w:t>Do not rely solely on informal social-media or messaging posts when an official notice is available.</w:t>
      </w:r>
    </w:p>
    <w:p>
      <w:pPr>
        <w:pStyle w:val="Heading1"/>
      </w:pPr>
      <w:r>
        <w:t>15. Student Guidance / Recommended Handbook Rules</w:t>
      </w:r>
    </w:p>
    <w:p>
      <w:r>
        <w:t>The following are recommended handbook provisions for student administration. They are practical recommendations and are not represented as rules extracted from tiaedu.org:</w:t>
      </w:r>
    </w:p>
    <w:p>
      <w:pPr>
        <w:pStyle w:val="ListBullet"/>
      </w:pPr>
      <w:r>
        <w:t>Carry and display a valid student identity card whenever required on campus.</w:t>
      </w:r>
    </w:p>
    <w:p>
      <w:pPr>
        <w:pStyle w:val="ListBullet"/>
      </w:pPr>
      <w:r>
        <w:t>Use classrooms, laboratories, library and other facilities only for authorised academic/institutional purposes.</w:t>
      </w:r>
    </w:p>
    <w:p>
      <w:pPr>
        <w:pStyle w:val="ListBullet"/>
      </w:pPr>
      <w:r>
        <w:t>Maintain cleanliness and avoid damage to furniture, equipment, laboratory instruments and digital infrastructure.</w:t>
      </w:r>
    </w:p>
    <w:p>
      <w:pPr>
        <w:pStyle w:val="ListBullet"/>
      </w:pPr>
      <w:r>
        <w:t>Use mobile phones and recording devices responsibly and comply with faculty/examination instructions.</w:t>
      </w:r>
    </w:p>
    <w:p>
      <w:pPr>
        <w:pStyle w:val="ListBullet"/>
      </w:pPr>
      <w:r>
        <w:t>Do not share another student’s personal information, photographs, recordings or academic credentials without appropriate consent.</w:t>
      </w:r>
    </w:p>
    <w:p>
      <w:pPr>
        <w:pStyle w:val="ListBullet"/>
      </w:pPr>
      <w:r>
        <w:t>Follow laboratory safety instructions and emergency procedures.</w:t>
      </w:r>
    </w:p>
    <w:p>
      <w:pPr>
        <w:pStyle w:val="ListBullet"/>
      </w:pPr>
      <w:r>
        <w:t>Do not enter restricted areas without permission.</w:t>
      </w:r>
    </w:p>
    <w:p>
      <w:pPr>
        <w:pStyle w:val="ListBullet"/>
      </w:pPr>
      <w:r>
        <w:t>Report safety hazards, harassment, ragging, damage or suspicious activity promptly.</w:t>
      </w:r>
    </w:p>
    <w:p>
      <w:pPr>
        <w:pStyle w:val="ListBullet"/>
      </w:pPr>
      <w:r>
        <w:t>Maintain academic integrity; do not engage in plagiarism, cheating, impersonation or other unfair means.</w:t>
      </w:r>
    </w:p>
    <w:p>
      <w:pPr>
        <w:pStyle w:val="ListBullet"/>
      </w:pPr>
      <w:r>
        <w:t>Observe professional conduct during industrial visits, internships, training and placement activities.</w:t>
      </w:r>
    </w:p>
    <w:p>
      <w:pPr>
        <w:pStyle w:val="ListBullet"/>
      </w:pPr>
      <w:r>
        <w:t>Use official grievance channels for complaints and avoid retaliation.</w:t>
      </w:r>
    </w:p>
    <w:p>
      <w:pPr>
        <w:pStyle w:val="ListBullet"/>
      </w:pPr>
      <w:r>
        <w:t>Comply with transport/hostel/activity-specific rules where applicable.</w:t>
      </w:r>
    </w:p>
    <w:p>
      <w:pPr>
        <w:pStyle w:val="Heading1"/>
      </w:pPr>
      <w:r>
        <w:t>16. Student Declaration</w:t>
      </w:r>
    </w:p>
    <w:p>
      <w:r>
        <w:t>I acknowledge that I have read and understood the TCEA Student Handbook and the applicable academic, disciplinary, anti-ragging, library, grievance and other institutional regulations. I agree to comply with the latest applicable rules, notices and lawful directions of the Institute and the affiliating/regulatory authorities. I understand that the latest official regulation or notification will prevail if any difference arises between this handbook and an applicable statutory/University/TCEA document.</w:t>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________________________________________</w:t>
            </w:r>
          </w:p>
        </w:tc>
      </w:tr>
      <w:tr>
        <w:tc>
          <w:tcPr>
            <w:tcW w:type="dxa" w:w="4968"/>
          </w:tcPr>
          <w:p>
            <w:r>
              <w:t>Roll/Registration No.</w:t>
            </w:r>
          </w:p>
        </w:tc>
        <w:tc>
          <w:tcPr>
            <w:tcW w:type="dxa" w:w="4968"/>
          </w:tcPr>
          <w:p>
            <w:r>
              <w:t>________________________________________</w:t>
            </w:r>
          </w:p>
        </w:tc>
      </w:tr>
      <w:tr>
        <w:tc>
          <w:tcPr>
            <w:tcW w:type="dxa" w:w="4968"/>
          </w:tcPr>
          <w:p>
            <w:r>
              <w:t>Department / Semester</w:t>
            </w:r>
          </w:p>
        </w:tc>
        <w:tc>
          <w:tcPr>
            <w:tcW w:type="dxa" w:w="4968"/>
          </w:tcPr>
          <w:p>
            <w:r>
              <w:t>________________________________________</w:t>
            </w:r>
          </w:p>
        </w:tc>
      </w:tr>
      <w:tr>
        <w:tc>
          <w:tcPr>
            <w:tcW w:type="dxa" w:w="4968"/>
          </w:tcPr>
          <w:p>
            <w:r>
              <w:t>Signature &amp; Date</w:t>
            </w:r>
          </w:p>
        </w:tc>
        <w:tc>
          <w:tcPr>
            <w:tcW w:type="dxa" w:w="4968"/>
          </w:tcPr>
          <w:p>
            <w:r>
              <w:t>________________________________________</w:t>
            </w:r>
          </w:p>
        </w:tc>
      </w:tr>
    </w:tbl>
    <w:p>
      <w:pPr>
        <w:pStyle w:val="Heading1"/>
      </w:pPr>
      <w:r>
        <w:t>17. Official Sources</w:t>
      </w:r>
    </w:p>
    <w:p>
      <w:pPr>
        <w:pStyle w:val="ListBullet"/>
      </w:pPr>
      <w:r>
        <w:rPr>
          <w:b/>
        </w:rPr>
        <w:t xml:space="preserve">TCEA Discipline — </w:t>
      </w:r>
      <w:r>
        <w:t>https://tiaedu.org/tceaweb/discipline</w:t>
      </w:r>
    </w:p>
    <w:p>
      <w:pPr>
        <w:pStyle w:val="ListBullet"/>
      </w:pPr>
      <w:r>
        <w:rPr>
          <w:b/>
        </w:rPr>
        <w:t xml:space="preserve">TCEA Anti-Ragging — </w:t>
      </w:r>
      <w:r>
        <w:t>https://tiaedu.org/anti_raging</w:t>
      </w:r>
    </w:p>
    <w:p>
      <w:pPr>
        <w:pStyle w:val="ListBullet"/>
      </w:pPr>
      <w:r>
        <w:rPr>
          <w:b/>
        </w:rPr>
        <w:t xml:space="preserve">TCEA Anti-Ragging – Students and Parents/Guardians PDF — </w:t>
      </w:r>
      <w:r>
        <w:t>https://tiaedu.org/wp-content/uploads/2022/04/For_All_Students_and_Parents.pdf</w:t>
      </w:r>
    </w:p>
    <w:p>
      <w:pPr>
        <w:pStyle w:val="ListBullet"/>
      </w:pPr>
      <w:r>
        <w:rPr>
          <w:b/>
        </w:rPr>
        <w:t xml:space="preserve">TCEA Grievance Redressal Policy — </w:t>
      </w:r>
      <w:r>
        <w:t>https://tiaedu.org/tceaweb/grievances-redressal-policy</w:t>
      </w:r>
    </w:p>
    <w:p>
      <w:pPr>
        <w:pStyle w:val="ListBullet"/>
      </w:pPr>
      <w:r>
        <w:rPr>
          <w:b/>
        </w:rPr>
        <w:t xml:space="preserve">TCEA Library — </w:t>
      </w:r>
      <w:r>
        <w:t>https://tiaedu.org/tceaweb/public/index.php/library</w:t>
      </w:r>
    </w:p>
    <w:p>
      <w:pPr>
        <w:pStyle w:val="ListBullet"/>
      </w:pPr>
      <w:r>
        <w:rPr>
          <w:b/>
        </w:rPr>
        <w:t xml:space="preserve">TCEA Equal Opportunity Cell — </w:t>
      </w:r>
      <w:r>
        <w:t>https://tiaedu.org/index.php/equal-opportunity-cell/</w:t>
      </w:r>
    </w:p>
    <w:p>
      <w:pPr>
        <w:pStyle w:val="ListBullet"/>
      </w:pPr>
      <w:r>
        <w:rPr>
          <w:b/>
        </w:rPr>
        <w:t xml:space="preserve">TCEA Medical Unit — </w:t>
      </w:r>
      <w:r>
        <w:t>https://tiaedu.org/medical-unit</w:t>
      </w:r>
    </w:p>
    <w:p>
      <w:pPr>
        <w:pStyle w:val="ListBullet"/>
      </w:pPr>
      <w:r>
        <w:rPr>
          <w:b/>
        </w:rPr>
        <w:t xml:space="preserve">TCEA Vocational Training — </w:t>
      </w:r>
      <w:r>
        <w:t>https://tiaedu.org/vocational-training</w:t>
      </w:r>
    </w:p>
    <w:p>
      <w:pPr>
        <w:pStyle w:val="ListBullet"/>
      </w:pPr>
      <w:r>
        <w:rPr>
          <w:b/>
        </w:rPr>
        <w:t xml:space="preserve">TCEA Admission Procedure — </w:t>
      </w:r>
      <w:r>
        <w:t>https://tiaedu.org/tceaweb/public/index.php/admission-procedure</w:t>
      </w:r>
    </w:p>
    <w:p>
      <w:pPr>
        <w:pStyle w:val="ListBullet"/>
      </w:pPr>
      <w:r>
        <w:rPr>
          <w:b/>
        </w:rPr>
        <w:t xml:space="preserve">TCEA Main Website — </w:t>
      </w:r>
      <w:r>
        <w:t>https://tiaedu.org/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Techno College of Engineering Agartala — Student Handbook 2026 | Consolidated from tiaedu.org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