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entury Gothic" w:cs="Century Gothic" w:eastAsia="Century Gothic" w:hAnsi="Century Gothic"/>
          <w:b/>
          <w:bCs/>
          <w:color w:val="283583"/>
          <w:sz w:val="28"/>
          <w:szCs w:val="28"/>
        </w:rPr>
        <w:t xml:space="preserve">QUALITATIVE &amp; QUANTITATIVE MEASURES REFERENCE</w:t>
      </w:r>
    </w:p>
    <w:p>
      <w:pPr>
        <w:spacing w:after="60" w:before="0"/>
      </w:pPr>
      <w:r>
        <w:rPr>
          <w:rFonts w:ascii="Century Gothic" w:cs="Century Gothic" w:eastAsia="Century Gothic" w:hAnsi="Century Gothic"/>
          <w:color w:val="555555"/>
          <w:sz w:val="18"/>
          <w:szCs w:val="18"/>
        </w:rPr>
        <w:t xml:space="preserve">How each assessment indicator can be measured — manually by a consultant or client, and automatically using Workday system signals.</w:t>
      </w:r>
    </w:p>
    <w:p>
      <w:pPr>
        <w:spacing w:after="200" w:before="60"/>
      </w:pPr>
      <w:r>
        <w:rPr>
          <w:rFonts w:ascii="Century Gothic" w:cs="Century Gothic" w:eastAsia="Century Gothic" w:hAnsi="Century Gothic"/>
          <w:b/>
          <w:bCs/>
          <w:color w:val="333333"/>
          <w:sz w:val="17"/>
          <w:szCs w:val="17"/>
        </w:rPr>
        <w:t xml:space="preserve">Scoring guide:  </w:t>
      </w:r>
      <w:r>
        <w:rPr>
          <w:rFonts w:ascii="Century Gothic" w:cs="Century Gothic" w:eastAsia="Century Gothic" w:hAnsi="Century Gothic"/>
          <w:color w:val="CC2222"/>
          <w:sz w:val="17"/>
          <w:szCs w:val="17"/>
        </w:rPr>
        <w:t xml:space="preserve">1 = Not Ready   </w:t>
      </w:r>
      <w:r>
        <w:rPr>
          <w:rFonts w:ascii="Century Gothic" w:cs="Century Gothic" w:eastAsia="Century Gothic" w:hAnsi="Century Gothic"/>
          <w:color w:val="CC7700"/>
          <w:sz w:val="17"/>
          <w:szCs w:val="17"/>
        </w:rPr>
        <w:t xml:space="preserve">2 = Early   </w:t>
      </w:r>
      <w:r>
        <w:rPr>
          <w:rFonts w:ascii="Century Gothic" w:cs="Century Gothic" w:eastAsia="Century Gothic" w:hAnsi="Century Gothic"/>
          <w:color w:val="AA9900"/>
          <w:sz w:val="17"/>
          <w:szCs w:val="17"/>
        </w:rPr>
        <w:t xml:space="preserve">3 = Developing   </w:t>
      </w:r>
      <w:r>
        <w:rPr>
          <w:rFonts w:ascii="Century Gothic" w:cs="Century Gothic" w:eastAsia="Century Gothic" w:hAnsi="Century Gothic"/>
          <w:color w:val="228833"/>
          <w:sz w:val="17"/>
          <w:szCs w:val="17"/>
        </w:rPr>
        <w:t xml:space="preserve">4 = Established   </w:t>
      </w:r>
      <w:r>
        <w:rPr>
          <w:rFonts w:ascii="Century Gothic" w:cs="Century Gothic" w:eastAsia="Century Gothic" w:hAnsi="Century Gothic"/>
          <w:color w:val="007744"/>
          <w:sz w:val="17"/>
          <w:szCs w:val="17"/>
        </w:rPr>
        <w:t xml:space="preserve">5 = Leading</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800"/>
        <w:gridCol w:w="4838"/>
      </w:tblGrid>
      <w:tr>
        <w:trPr>
          <w:tblHeader/>
        </w:trPr>
        <w:tc>
          <w:tcPr>
            <w:tcW w:type="dxa" w:w="2700"/>
            <w:tcBorders>
              <w:top w:val="single" w:color="283583" w:sz="4"/>
              <w:left w:val="single" w:color="283583" w:sz="4"/>
              <w:bottom w:val="single" w:color="283583" w:sz="4"/>
              <w:right w:val="single" w:color="283583" w:sz="4"/>
            </w:tcBorders>
            <w:shd w:fill="283583" w:val="clear"/>
            <w:tcMar>
              <w:top w:type="dxa" w:w="100"/>
              <w:left w:type="dxa" w:w="140"/>
              <w:bottom w:type="dxa" w:w="100"/>
              <w:right w:type="dxa" w:w="100"/>
            </w:tcMar>
            <w:vAlign w:val="center"/>
          </w:tcPr>
          <w:p>
            <w:pPr>
              <w:jc w:val="left"/>
            </w:pPr>
            <w:r>
              <w:rPr>
                <w:rFonts w:ascii="Century Gothic" w:cs="Century Gothic" w:eastAsia="Century Gothic" w:hAnsi="Century Gothic"/>
                <w:b/>
                <w:bCs/>
                <w:color w:val="FFFFFF"/>
                <w:sz w:val="18"/>
                <w:szCs w:val="18"/>
              </w:rPr>
              <w:t xml:space="preserve">Question</w:t>
            </w:r>
          </w:p>
        </w:tc>
        <w:tc>
          <w:tcPr>
            <w:tcW w:type="dxa" w:w="3500"/>
            <w:tcBorders>
              <w:top w:val="single" w:color="283583" w:sz="4"/>
              <w:left w:val="single" w:color="283583" w:sz="4"/>
              <w:bottom w:val="single" w:color="283583" w:sz="4"/>
              <w:right w:val="single" w:color="283583" w:sz="4"/>
            </w:tcBorders>
            <w:shd w:fill="283583" w:val="clear"/>
            <w:tcMar>
              <w:top w:type="dxa" w:w="100"/>
              <w:left w:type="dxa" w:w="140"/>
              <w:bottom w:type="dxa" w:w="100"/>
              <w:right w:type="dxa" w:w="100"/>
            </w:tcMar>
            <w:vAlign w:val="center"/>
          </w:tcPr>
          <w:p>
            <w:pPr>
              <w:jc w:val="left"/>
            </w:pPr>
            <w:r>
              <w:rPr>
                <w:rFonts w:ascii="Century Gothic" w:cs="Century Gothic" w:eastAsia="Century Gothic" w:hAnsi="Century Gothic"/>
                <w:b/>
                <w:bCs/>
                <w:color w:val="FFFFFF"/>
                <w:sz w:val="18"/>
                <w:szCs w:val="18"/>
              </w:rPr>
              <w:t xml:space="preserve">Qualitative Measure</w:t>
            </w:r>
          </w:p>
        </w:tc>
        <w:tc>
          <w:tcPr>
            <w:tcW w:type="dxa" w:w="3800"/>
            <w:tcBorders>
              <w:top w:val="single" w:color="283583" w:sz="4"/>
              <w:left w:val="single" w:color="283583" w:sz="4"/>
              <w:bottom w:val="single" w:color="283583" w:sz="4"/>
              <w:right w:val="single" w:color="283583" w:sz="4"/>
            </w:tcBorders>
            <w:shd w:fill="283583" w:val="clear"/>
            <w:tcMar>
              <w:top w:type="dxa" w:w="100"/>
              <w:left w:type="dxa" w:w="140"/>
              <w:bottom w:type="dxa" w:w="100"/>
              <w:right w:type="dxa" w:w="100"/>
            </w:tcMar>
            <w:vAlign w:val="center"/>
          </w:tcPr>
          <w:p>
            <w:pPr>
              <w:jc w:val="left"/>
            </w:pPr>
            <w:r>
              <w:rPr>
                <w:rFonts w:ascii="Century Gothic" w:cs="Century Gothic" w:eastAsia="Century Gothic" w:hAnsi="Century Gothic"/>
                <w:b/>
                <w:bCs/>
                <w:color w:val="FFFFFF"/>
                <w:sz w:val="18"/>
                <w:szCs w:val="18"/>
              </w:rPr>
              <w:t xml:space="preserve">Quantitative Measure</w:t>
            </w:r>
          </w:p>
        </w:tc>
        <w:tc>
          <w:tcPr>
            <w:tcW w:type="dxa" w:w="4838"/>
            <w:tcBorders>
              <w:top w:val="single" w:color="283583" w:sz="4"/>
              <w:left w:val="single" w:color="283583" w:sz="4"/>
              <w:bottom w:val="single" w:color="283583" w:sz="4"/>
              <w:right w:val="single" w:color="283583" w:sz="4"/>
            </w:tcBorders>
            <w:shd w:fill="283583" w:val="clear"/>
            <w:tcMar>
              <w:top w:type="dxa" w:w="100"/>
              <w:left w:type="dxa" w:w="140"/>
              <w:bottom w:type="dxa" w:w="100"/>
              <w:right w:type="dxa" w:w="100"/>
            </w:tcMar>
            <w:vAlign w:val="center"/>
          </w:tcPr>
          <w:p>
            <w:pPr>
              <w:jc w:val="left"/>
            </w:pPr>
            <w:r>
              <w:rPr>
                <w:rFonts w:ascii="Century Gothic" w:cs="Century Gothic" w:eastAsia="Century Gothic" w:hAnsi="Century Gothic"/>
                <w:b/>
                <w:bCs/>
                <w:color w:val="FFFFFF"/>
                <w:sz w:val="18"/>
                <w:szCs w:val="18"/>
              </w:rPr>
              <w:t xml:space="preserve">Example Workday Report / Signal</w:t>
            </w:r>
          </w:p>
        </w:tc>
      </w:tr>
      <w:tr>
        <w:tc>
          <w:tcPr>
            <w:tcW w:type="dxa" w:w="14838"/>
            <w:gridSpan w:val="4"/>
            <w:tcBorders>
              <w:top w:val="single" w:color="283583" w:sz="8"/>
              <w:left w:val="single" w:color="283583" w:sz="8"/>
              <w:bottom w:val="single" w:color="283583" w:sz="4"/>
              <w:right w:val="single" w:color="283583" w:sz="8"/>
            </w:tcBorders>
            <w:shd w:fill="283583" w:val="clear"/>
            <w:tcMar>
              <w:top w:type="dxa" w:w="100"/>
              <w:left w:type="dxa" w:w="200"/>
              <w:bottom w:type="dxa" w:w="100"/>
              <w:right w:type="dxa" w:w="100"/>
            </w:tcMar>
          </w:tcPr>
          <w:p>
            <w:r>
              <w:rPr>
                <w:rFonts w:ascii="Century Gothic" w:cs="Century Gothic" w:eastAsia="Century Gothic" w:hAnsi="Century Gothic"/>
                <w:b/>
                <w:bCs/>
                <w:color w:val="FFFFFF"/>
                <w:sz w:val="20"/>
                <w:szCs w:val="20"/>
              </w:rPr>
              <w:t xml:space="preserve">TECHNOLOGY FOUNDATIONS</w:t>
            </w:r>
          </w:p>
        </w:tc>
      </w:tr>
      <w:tr>
        <w:tc>
          <w:tcPr>
            <w:tcW w:type="dxa" w:w="2700"/>
            <w:tcBorders>
              <w:top w:val="single" w:color="D0D4E8" w:sz="3"/>
              <w:left w:val="single" w:color="283583"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283583"/>
                <w:sz w:val="16"/>
                <w:szCs w:val="16"/>
              </w:rPr>
              <w:t xml:space="preserve">TF1</w:t>
            </w:r>
          </w:p>
          <w:p>
            <w:r>
              <w:rPr>
                <w:rFonts w:ascii="Century Gothic" w:cs="Century Gothic" w:eastAsia="Century Gothic" w:hAnsi="Century Gothic"/>
                <w:b/>
                <w:bCs/>
                <w:color w:val="333333"/>
                <w:sz w:val="17"/>
                <w:szCs w:val="17"/>
              </w:rPr>
              <w:t xml:space="preserve">System of Record Consolidation</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Interview HRIT/CIO to identify all parallel HR/Finance platforms still active. Review system architecture documentation and integration catalogue.</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Count of active inbound integrations from external HR/Finance systems. Number of live parallel platforms in use.</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Integration System Audit Report — inbound EIB, Core Connector, and custom feeds grouped by source system.</w:t>
            </w:r>
          </w:p>
        </w:tc>
      </w:tr>
      <w:tr>
        <w:tc>
          <w:tcPr>
            <w:tcW w:type="dxa" w:w="2700"/>
            <w:tcBorders>
              <w:top w:val="single" w:color="D0D4E8" w:sz="3"/>
              <w:left w:val="single" w:color="283583" w:sz="6"/>
              <w:bottom w:val="single" w:color="D0D4E8" w:sz="3"/>
              <w:right w:val="single" w:color="D0D4E8" w:sz="3"/>
            </w:tcBorders>
            <w:shd w:fill="EBEDf8" w:val="clear"/>
            <w:tcMar>
              <w:top w:type="dxa" w:w="100"/>
              <w:left w:type="dxa" w:w="140"/>
              <w:bottom w:type="dxa" w:w="100"/>
              <w:right w:type="dxa" w:w="120"/>
            </w:tcMar>
            <w:vAlign w:val="top"/>
          </w:tcPr>
          <w:p>
            <w:r>
              <w:rPr>
                <w:rFonts w:ascii="Century Gothic" w:cs="Century Gothic" w:eastAsia="Century Gothic" w:hAnsi="Century Gothic"/>
                <w:b/>
                <w:bCs/>
                <w:color w:val="283583"/>
                <w:sz w:val="16"/>
                <w:szCs w:val="16"/>
              </w:rPr>
              <w:t xml:space="preserve">TF2</w:t>
            </w:r>
          </w:p>
          <w:p>
            <w:r>
              <w:rPr>
                <w:rFonts w:ascii="Century Gothic" w:cs="Century Gothic" w:eastAsia="Century Gothic" w:hAnsi="Century Gothic"/>
                <w:b/>
                <w:bCs/>
                <w:color w:val="333333"/>
                <w:sz w:val="17"/>
                <w:szCs w:val="17"/>
              </w:rPr>
              <w:t xml:space="preserve">Tenant Configuration Health</w:t>
            </w:r>
          </w:p>
        </w:tc>
        <w:tc>
          <w:tcPr>
            <w:tcW w:type="dxa" w:w="3500"/>
            <w:tcBorders>
              <w:top w:val="single" w:color="D0D4E8" w:sz="3"/>
              <w:left w:val="single" w:color="D0D4E8" w:sz="3"/>
              <w:bottom w:val="single" w:color="D0D4E8" w:sz="3"/>
              <w:right w:val="single" w:color="D0D4E8" w:sz="3"/>
            </w:tcBorders>
            <w:shd w:fill="EBEDf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Configuration review with Workday admin team. Assess rationale for customisations and existence of a technical debt register.</w:t>
            </w:r>
          </w:p>
        </w:tc>
        <w:tc>
          <w:tcPr>
            <w:tcW w:type="dxa" w:w="3800"/>
            <w:tcBorders>
              <w:top w:val="single" w:color="D0D4E8" w:sz="3"/>
              <w:left w:val="single" w:color="D0D4E8" w:sz="3"/>
              <w:bottom w:val="single" w:color="D0D4E8" w:sz="3"/>
              <w:right w:val="single" w:color="D0D4E8" w:sz="3"/>
            </w:tcBorders>
            <w:shd w:fill="EBEDf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Count of business process customisations vs. Workday standard. Number of custom calculated fields and conditional rules.</w:t>
            </w:r>
          </w:p>
        </w:tc>
        <w:tc>
          <w:tcPr>
            <w:tcW w:type="dxa" w:w="4838"/>
            <w:tcBorders>
              <w:top w:val="single" w:color="D0D4E8" w:sz="3"/>
              <w:left w:val="single" w:color="D0D4E8" w:sz="3"/>
              <w:bottom w:val="single" w:color="D0D4E8" w:sz="3"/>
              <w:right w:val="single" w:color="D0D4E8" w:sz="3"/>
            </w:tcBorders>
            <w:shd w:fill="EBEDf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Business Process Configuration Report — custom steps per process compared to standard Workday baseline.</w:t>
            </w:r>
          </w:p>
        </w:tc>
      </w:tr>
      <w:tr>
        <w:tc>
          <w:tcPr>
            <w:tcW w:type="dxa" w:w="2700"/>
            <w:tcBorders>
              <w:top w:val="single" w:color="D0D4E8" w:sz="3"/>
              <w:left w:val="single" w:color="283583"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283583"/>
                <w:sz w:val="16"/>
                <w:szCs w:val="16"/>
              </w:rPr>
              <w:t xml:space="preserve">TF3</w:t>
            </w:r>
          </w:p>
          <w:p>
            <w:r>
              <w:rPr>
                <w:rFonts w:ascii="Century Gothic" w:cs="Century Gothic" w:eastAsia="Century Gothic" w:hAnsi="Century Gothic"/>
                <w:b/>
                <w:bCs/>
                <w:color w:val="333333"/>
                <w:sz w:val="17"/>
                <w:szCs w:val="17"/>
              </w:rPr>
              <w:t xml:space="preserve">Security Architecture</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Interview security/Workday admin team. Review security group ownership register, audit cadence, and last review date.</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Count of security groups with no named owner. Months elapsed since last formal security group review.</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Domain Security Policy Audit Report — security groups with last modified date, member count, and owner status.</w:t>
            </w:r>
          </w:p>
        </w:tc>
      </w:tr>
      <w:tr>
        <w:tc>
          <w:tcPr>
            <w:tcW w:type="dxa" w:w="2700"/>
            <w:tcBorders>
              <w:top w:val="single" w:color="D0D4E8" w:sz="3"/>
              <w:left w:val="single" w:color="283583" w:sz="6"/>
              <w:bottom w:val="single" w:color="D0D4E8" w:sz="3"/>
              <w:right w:val="single" w:color="D0D4E8" w:sz="3"/>
            </w:tcBorders>
            <w:shd w:fill="EBEDf8" w:val="clear"/>
            <w:tcMar>
              <w:top w:type="dxa" w:w="100"/>
              <w:left w:type="dxa" w:w="140"/>
              <w:bottom w:type="dxa" w:w="100"/>
              <w:right w:type="dxa" w:w="120"/>
            </w:tcMar>
            <w:vAlign w:val="top"/>
          </w:tcPr>
          <w:p>
            <w:r>
              <w:rPr>
                <w:rFonts w:ascii="Century Gothic" w:cs="Century Gothic" w:eastAsia="Century Gothic" w:hAnsi="Century Gothic"/>
                <w:b/>
                <w:bCs/>
                <w:color w:val="283583"/>
                <w:sz w:val="16"/>
                <w:szCs w:val="16"/>
              </w:rPr>
              <w:t xml:space="preserve">TF4</w:t>
            </w:r>
          </w:p>
          <w:p>
            <w:r>
              <w:rPr>
                <w:rFonts w:ascii="Century Gothic" w:cs="Century Gothic" w:eastAsia="Century Gothic" w:hAnsi="Century Gothic"/>
                <w:b/>
                <w:bCs/>
                <w:color w:val="333333"/>
                <w:sz w:val="17"/>
                <w:szCs w:val="17"/>
              </w:rPr>
              <w:t xml:space="preserve">Release Adoption</w:t>
            </w:r>
          </w:p>
        </w:tc>
        <w:tc>
          <w:tcPr>
            <w:tcW w:type="dxa" w:w="3500"/>
            <w:tcBorders>
              <w:top w:val="single" w:color="D0D4E8" w:sz="3"/>
              <w:left w:val="single" w:color="D0D4E8" w:sz="3"/>
              <w:bottom w:val="single" w:color="D0D4E8" w:sz="3"/>
              <w:right w:val="single" w:color="D0D4E8" w:sz="3"/>
            </w:tcBorders>
            <w:shd w:fill="EBEDf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Review release readiness process documentation. Interview Workday product team on AI/Illuminate feature pipeline awareness.</w:t>
            </w:r>
          </w:p>
        </w:tc>
        <w:tc>
          <w:tcPr>
            <w:tcW w:type="dxa" w:w="3800"/>
            <w:tcBorders>
              <w:top w:val="single" w:color="D0D4E8" w:sz="3"/>
              <w:left w:val="single" w:color="D0D4E8" w:sz="3"/>
              <w:bottom w:val="single" w:color="D0D4E8" w:sz="3"/>
              <w:right w:val="single" w:color="D0D4E8" w:sz="3"/>
            </w:tcBorders>
            <w:shd w:fill="EBEDf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 of available opt-in AI and Illuminate features activated. Number of releases since last systematic opt-in review.</w:t>
            </w:r>
          </w:p>
        </w:tc>
        <w:tc>
          <w:tcPr>
            <w:tcW w:type="dxa" w:w="4838"/>
            <w:tcBorders>
              <w:top w:val="single" w:color="D0D4E8" w:sz="3"/>
              <w:left w:val="single" w:color="D0D4E8" w:sz="3"/>
              <w:bottom w:val="single" w:color="D0D4E8" w:sz="3"/>
              <w:right w:val="single" w:color="D0D4E8" w:sz="3"/>
            </w:tcBorders>
            <w:shd w:fill="EBEDf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Feature Opt-In Status Report — available vs. activated features per release (via Workday tenant admin or Community).</w:t>
            </w:r>
          </w:p>
        </w:tc>
      </w:tr>
      <w:tr>
        <w:tc>
          <w:tcPr>
            <w:tcW w:type="dxa" w:w="2700"/>
            <w:tcBorders>
              <w:top w:val="single" w:color="D0D4E8" w:sz="3"/>
              <w:left w:val="single" w:color="283583"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283583"/>
                <w:sz w:val="16"/>
                <w:szCs w:val="16"/>
              </w:rPr>
              <w:t xml:space="preserve">TF5</w:t>
            </w:r>
          </w:p>
          <w:p>
            <w:r>
              <w:rPr>
                <w:rFonts w:ascii="Century Gothic" w:cs="Century Gothic" w:eastAsia="Century Gothic" w:hAnsi="Century Gothic"/>
                <w:b/>
                <w:bCs/>
                <w:color w:val="333333"/>
                <w:sz w:val="17"/>
                <w:szCs w:val="17"/>
              </w:rPr>
              <w:t xml:space="preserve">API &amp; Extend Capability</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Interview technical team on API/Extend strategy, in-house skills, and platform extension roadmap.</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Count of active REST/GraphQL API integrations. Number of Workday Extend apps deployed or in development.</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Integration System Inventory Report; Workday Extend App Registry — tenant admin view of active Extend applications.</w:t>
            </w:r>
          </w:p>
        </w:tc>
      </w:tr>
      <w:tr>
        <w:tc>
          <w:tcPr>
            <w:tcW w:type="dxa" w:w="2700"/>
            <w:tcBorders>
              <w:top w:val="single" w:color="D0D4E8" w:sz="3"/>
              <w:left w:val="single" w:color="283583" w:sz="6"/>
              <w:bottom w:val="single" w:color="D0D4E8" w:sz="3"/>
              <w:right w:val="single" w:color="D0D4E8" w:sz="3"/>
            </w:tcBorders>
            <w:shd w:fill="EBEDf8" w:val="clear"/>
            <w:tcMar>
              <w:top w:type="dxa" w:w="100"/>
              <w:left w:type="dxa" w:w="140"/>
              <w:bottom w:type="dxa" w:w="100"/>
              <w:right w:type="dxa" w:w="120"/>
            </w:tcMar>
            <w:vAlign w:val="top"/>
          </w:tcPr>
          <w:p>
            <w:r>
              <w:rPr>
                <w:rFonts w:ascii="Century Gothic" w:cs="Century Gothic" w:eastAsia="Century Gothic" w:hAnsi="Century Gothic"/>
                <w:b/>
                <w:bCs/>
                <w:color w:val="283583"/>
                <w:sz w:val="16"/>
                <w:szCs w:val="16"/>
              </w:rPr>
              <w:t xml:space="preserve">TF6</w:t>
            </w:r>
          </w:p>
          <w:p>
            <w:r>
              <w:rPr>
                <w:rFonts w:ascii="Century Gothic" w:cs="Century Gothic" w:eastAsia="Century Gothic" w:hAnsi="Century Gothic"/>
                <w:b/>
                <w:bCs/>
                <w:color w:val="333333"/>
                <w:sz w:val="17"/>
                <w:szCs w:val="17"/>
              </w:rPr>
              <w:t xml:space="preserve">Integration Architecture</w:t>
            </w:r>
          </w:p>
        </w:tc>
        <w:tc>
          <w:tcPr>
            <w:tcW w:type="dxa" w:w="3500"/>
            <w:tcBorders>
              <w:top w:val="single" w:color="D0D4E8" w:sz="3"/>
              <w:left w:val="single" w:color="D0D4E8" w:sz="3"/>
              <w:bottom w:val="single" w:color="D0D4E8" w:sz="3"/>
              <w:right w:val="single" w:color="D0D4E8" w:sz="3"/>
            </w:tcBorders>
            <w:shd w:fill="EBEDf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Architecture review with integration owner. Assess middleware documentation and whether integrations have named accountability.</w:t>
            </w:r>
          </w:p>
        </w:tc>
        <w:tc>
          <w:tcPr>
            <w:tcW w:type="dxa" w:w="3800"/>
            <w:tcBorders>
              <w:top w:val="single" w:color="D0D4E8" w:sz="3"/>
              <w:left w:val="single" w:color="D0D4E8" w:sz="3"/>
              <w:bottom w:val="single" w:color="D0D4E8" w:sz="3"/>
              <w:right w:val="single" w:color="D0D4E8" w:sz="3"/>
            </w:tcBorders>
            <w:shd w:fill="EBEDf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Ratio of middleware-based vs. point-to-point integrations. % of integrations with a documented owner.</w:t>
            </w:r>
          </w:p>
        </w:tc>
        <w:tc>
          <w:tcPr>
            <w:tcW w:type="dxa" w:w="4838"/>
            <w:tcBorders>
              <w:top w:val="single" w:color="D0D4E8" w:sz="3"/>
              <w:left w:val="single" w:color="D0D4E8" w:sz="3"/>
              <w:bottom w:val="single" w:color="D0D4E8" w:sz="3"/>
              <w:right w:val="single" w:color="D0D4E8" w:sz="3"/>
            </w:tcBorders>
            <w:shd w:fill="EBEDf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Integration System Report — grouped by type: EIB, Core Connector, Cloud Connect, Custom/SOAP. Owner field audit.</w:t>
            </w:r>
          </w:p>
        </w:tc>
      </w:tr>
      <w:tr>
        <w:tc>
          <w:tcPr>
            <w:tcW w:type="dxa" w:w="14838"/>
            <w:gridSpan w:val="4"/>
            <w:tcBorders>
              <w:top w:val="single" w:color="4d8c35" w:sz="8"/>
              <w:left w:val="single" w:color="4d8c35" w:sz="8"/>
              <w:bottom w:val="single" w:color="4d8c35" w:sz="4"/>
              <w:right w:val="single" w:color="4d8c35" w:sz="8"/>
            </w:tcBorders>
            <w:shd w:fill="4d8c35" w:val="clear"/>
            <w:tcMar>
              <w:top w:type="dxa" w:w="100"/>
              <w:left w:type="dxa" w:w="200"/>
              <w:bottom w:type="dxa" w:w="100"/>
              <w:right w:type="dxa" w:w="100"/>
            </w:tcMar>
          </w:tcPr>
          <w:p>
            <w:r>
              <w:rPr>
                <w:rFonts w:ascii="Century Gothic" w:cs="Century Gothic" w:eastAsia="Century Gothic" w:hAnsi="Century Gothic"/>
                <w:b/>
                <w:bCs/>
                <w:color w:val="FFFFFF"/>
                <w:sz w:val="20"/>
                <w:szCs w:val="20"/>
              </w:rPr>
              <w:t xml:space="preserve">DATA STRATEGY &amp; READINESS</w:t>
            </w:r>
          </w:p>
        </w:tc>
      </w:tr>
      <w:tr>
        <w:tc>
          <w:tcPr>
            <w:tcW w:type="dxa" w:w="2700"/>
            <w:tcBorders>
              <w:top w:val="single" w:color="D0D4E8" w:sz="3"/>
              <w:left w:val="single" w:color="4d8c35"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2d6b1e"/>
                <w:sz w:val="16"/>
                <w:szCs w:val="16"/>
              </w:rPr>
              <w:t xml:space="preserve">DS1</w:t>
            </w:r>
          </w:p>
          <w:p>
            <w:r>
              <w:rPr>
                <w:rFonts w:ascii="Century Gothic" w:cs="Century Gothic" w:eastAsia="Century Gothic" w:hAnsi="Century Gothic"/>
                <w:b/>
                <w:bCs/>
                <w:color w:val="333333"/>
                <w:sz w:val="17"/>
                <w:szCs w:val="17"/>
              </w:rPr>
              <w:t xml:space="preserve">Worker Profile Completeness</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Review data quality strategy with HR Ops. Identify known gap populations, root causes, and active remediation plans.</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 completion per core worker field (job profile, location, manager, cost centre, FTE%) by business unit and population.</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Worker Profile Completeness Report — custom report on mandatory and key field completion rates by field and supervisory org.</w:t>
            </w:r>
          </w:p>
        </w:tc>
      </w:tr>
      <w:tr>
        <w:tc>
          <w:tcPr>
            <w:tcW w:type="dxa" w:w="2700"/>
            <w:tcBorders>
              <w:top w:val="single" w:color="D0D4E8" w:sz="3"/>
              <w:left w:val="single" w:color="4d8c35" w:sz="6"/>
              <w:bottom w:val="single" w:color="D0D4E8" w:sz="3"/>
              <w:right w:val="single" w:color="D0D4E8" w:sz="3"/>
            </w:tcBorders>
            <w:shd w:fill="EDF7E8" w:val="clear"/>
            <w:tcMar>
              <w:top w:type="dxa" w:w="100"/>
              <w:left w:type="dxa" w:w="140"/>
              <w:bottom w:type="dxa" w:w="100"/>
              <w:right w:type="dxa" w:w="120"/>
            </w:tcMar>
            <w:vAlign w:val="top"/>
          </w:tcPr>
          <w:p>
            <w:r>
              <w:rPr>
                <w:rFonts w:ascii="Century Gothic" w:cs="Century Gothic" w:eastAsia="Century Gothic" w:hAnsi="Century Gothic"/>
                <w:b/>
                <w:bCs/>
                <w:color w:val="2d6b1e"/>
                <w:sz w:val="16"/>
                <w:szCs w:val="16"/>
              </w:rPr>
              <w:t xml:space="preserve">DS2</w:t>
            </w:r>
          </w:p>
          <w:p>
            <w:r>
              <w:rPr>
                <w:rFonts w:ascii="Century Gothic" w:cs="Century Gothic" w:eastAsia="Century Gothic" w:hAnsi="Century Gothic"/>
                <w:b/>
                <w:bCs/>
                <w:color w:val="333333"/>
                <w:sz w:val="17"/>
                <w:szCs w:val="17"/>
              </w:rPr>
              <w:t xml:space="preserve">Organisational Hierarchy Integrity</w:t>
            </w:r>
          </w:p>
        </w:tc>
        <w:tc>
          <w:tcPr>
            <w:tcW w:type="dxa" w:w="3500"/>
            <w:tcBorders>
              <w:top w:val="single" w:color="D0D4E8" w:sz="3"/>
              <w:left w:val="single" w:color="D0D4E8" w:sz="3"/>
              <w:bottom w:val="single" w:color="D0D4E8" w:sz="3"/>
              <w:right w:val="single" w:color="D0D4E8" w:sz="3"/>
            </w:tcBorders>
            <w:shd w:fill="EDF7E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Interview HR Ops on hierarchy reconciliation process, frequency, and known structural exceptions or legacy anomalies.</w:t>
            </w:r>
          </w:p>
        </w:tc>
        <w:tc>
          <w:tcPr>
            <w:tcW w:type="dxa" w:w="3800"/>
            <w:tcBorders>
              <w:top w:val="single" w:color="D0D4E8" w:sz="3"/>
              <w:left w:val="single" w:color="D0D4E8" w:sz="3"/>
              <w:bottom w:val="single" w:color="D0D4E8" w:sz="3"/>
              <w:right w:val="single" w:color="D0D4E8" w:sz="3"/>
            </w:tcBorders>
            <w:shd w:fill="EDF7E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 of workers with valid unbroken manager chain to top-level org. Count of orphaned workers or missing manager assignments.</w:t>
            </w:r>
          </w:p>
        </w:tc>
        <w:tc>
          <w:tcPr>
            <w:tcW w:type="dxa" w:w="4838"/>
            <w:tcBorders>
              <w:top w:val="single" w:color="D0D4E8" w:sz="3"/>
              <w:left w:val="single" w:color="D0D4E8" w:sz="3"/>
              <w:bottom w:val="single" w:color="D0D4E8" w:sz="3"/>
              <w:right w:val="single" w:color="D0D4E8" w:sz="3"/>
            </w:tcBorders>
            <w:shd w:fill="EDF7E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Manager Hierarchy Integrity Report; Position Management Vacancy Report — positions with no incumbent or missing manager link.</w:t>
            </w:r>
          </w:p>
        </w:tc>
      </w:tr>
      <w:tr>
        <w:tc>
          <w:tcPr>
            <w:tcW w:type="dxa" w:w="2700"/>
            <w:tcBorders>
              <w:top w:val="single" w:color="D0D4E8" w:sz="3"/>
              <w:left w:val="single" w:color="4d8c35"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2d6b1e"/>
                <w:sz w:val="16"/>
                <w:szCs w:val="16"/>
              </w:rPr>
              <w:t xml:space="preserve">DS3</w:t>
            </w:r>
          </w:p>
          <w:p>
            <w:r>
              <w:rPr>
                <w:rFonts w:ascii="Century Gothic" w:cs="Century Gothic" w:eastAsia="Century Gothic" w:hAnsi="Century Gothic"/>
                <w:b/>
                <w:bCs/>
                <w:color w:val="333333"/>
                <w:sz w:val="17"/>
                <w:szCs w:val="17"/>
              </w:rPr>
              <w:t xml:space="preserve">Data Ownership</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Interview to identify named data stewards per Workday data domain. Review RACI and data governance documentation for currency.</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Count of Workday data domains with a named accountable steward vs. total domains. Steward coverage percentage.</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Primarily human judgement. Security Group Owner register used as a proxy for data domain accountability where applicable.</w:t>
            </w:r>
          </w:p>
        </w:tc>
      </w:tr>
      <w:tr>
        <w:tc>
          <w:tcPr>
            <w:tcW w:type="dxa" w:w="2700"/>
            <w:tcBorders>
              <w:top w:val="single" w:color="D0D4E8" w:sz="3"/>
              <w:left w:val="single" w:color="4d8c35" w:sz="6"/>
              <w:bottom w:val="single" w:color="D0D4E8" w:sz="3"/>
              <w:right w:val="single" w:color="D0D4E8" w:sz="3"/>
            </w:tcBorders>
            <w:shd w:fill="EDF7E8" w:val="clear"/>
            <w:tcMar>
              <w:top w:type="dxa" w:w="100"/>
              <w:left w:type="dxa" w:w="140"/>
              <w:bottom w:type="dxa" w:w="100"/>
              <w:right w:type="dxa" w:w="120"/>
            </w:tcMar>
            <w:vAlign w:val="top"/>
          </w:tcPr>
          <w:p>
            <w:r>
              <w:rPr>
                <w:rFonts w:ascii="Century Gothic" w:cs="Century Gothic" w:eastAsia="Century Gothic" w:hAnsi="Century Gothic"/>
                <w:b/>
                <w:bCs/>
                <w:color w:val="2d6b1e"/>
                <w:sz w:val="16"/>
                <w:szCs w:val="16"/>
              </w:rPr>
              <w:t xml:space="preserve">DS4</w:t>
            </w:r>
          </w:p>
          <w:p>
            <w:r>
              <w:rPr>
                <w:rFonts w:ascii="Century Gothic" w:cs="Century Gothic" w:eastAsia="Century Gothic" w:hAnsi="Century Gothic"/>
                <w:b/>
                <w:bCs/>
                <w:color w:val="333333"/>
                <w:sz w:val="17"/>
                <w:szCs w:val="17"/>
              </w:rPr>
              <w:t xml:space="preserve">Data Validation Controls</w:t>
            </w:r>
          </w:p>
        </w:tc>
        <w:tc>
          <w:tcPr>
            <w:tcW w:type="dxa" w:w="3500"/>
            <w:tcBorders>
              <w:top w:val="single" w:color="D0D4E8" w:sz="3"/>
              <w:left w:val="single" w:color="D0D4E8" w:sz="3"/>
              <w:bottom w:val="single" w:color="D0D4E8" w:sz="3"/>
              <w:right w:val="single" w:color="D0D4E8" w:sz="3"/>
            </w:tcBorders>
            <w:shd w:fill="EDF7E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Review validation rule configuration with Workday admin. Interview HR Ops on exception-handling culture and known workarounds.</w:t>
            </w:r>
          </w:p>
        </w:tc>
        <w:tc>
          <w:tcPr>
            <w:tcW w:type="dxa" w:w="3800"/>
            <w:tcBorders>
              <w:top w:val="single" w:color="D0D4E8" w:sz="3"/>
              <w:left w:val="single" w:color="D0D4E8" w:sz="3"/>
              <w:bottom w:val="single" w:color="D0D4E8" w:sz="3"/>
              <w:right w:val="single" w:color="D0D4E8" w:sz="3"/>
            </w:tcBorders>
            <w:shd w:fill="EDF7E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Count of active validation rules and required field configurations. Number of data corrections and amendments per period.</w:t>
            </w:r>
          </w:p>
        </w:tc>
        <w:tc>
          <w:tcPr>
            <w:tcW w:type="dxa" w:w="4838"/>
            <w:tcBorders>
              <w:top w:val="single" w:color="D0D4E8" w:sz="3"/>
              <w:left w:val="single" w:color="D0D4E8" w:sz="3"/>
              <w:bottom w:val="single" w:color="D0D4E8" w:sz="3"/>
              <w:right w:val="single" w:color="D0D4E8" w:sz="3"/>
            </w:tcBorders>
            <w:shd w:fill="EDF7E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Business Process Validation Rules Report; Data Audit Correction History — retroactive corrections by field and business process.</w:t>
            </w:r>
          </w:p>
        </w:tc>
      </w:tr>
      <w:tr>
        <w:tc>
          <w:tcPr>
            <w:tcW w:type="dxa" w:w="2700"/>
            <w:tcBorders>
              <w:top w:val="single" w:color="D0D4E8" w:sz="3"/>
              <w:left w:val="single" w:color="4d8c35"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2d6b1e"/>
                <w:sz w:val="16"/>
                <w:szCs w:val="16"/>
              </w:rPr>
              <w:t xml:space="preserve">DS5</w:t>
            </w:r>
          </w:p>
          <w:p>
            <w:r>
              <w:rPr>
                <w:rFonts w:ascii="Century Gothic" w:cs="Century Gothic" w:eastAsia="Century Gothic" w:hAnsi="Century Gothic"/>
                <w:b/>
                <w:bCs/>
                <w:color w:val="333333"/>
                <w:sz w:val="17"/>
                <w:szCs w:val="17"/>
              </w:rPr>
              <w:t xml:space="preserve">Reporting Foundation</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Interview HR/Finance leaders on reporting confidence, self-service capability, and whether key metrics are agreed and stable.</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Count of active custom reports. Average report run frequency per month. Prism Analytics or Worksheets adoption rate.</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Report Usage Statistics Report — custom report run counts and frequency by owner; Prism Dataset and Worksheets Usage Report.</w:t>
            </w:r>
          </w:p>
        </w:tc>
      </w:tr>
      <w:tr>
        <w:tc>
          <w:tcPr>
            <w:tcW w:type="dxa" w:w="2700"/>
            <w:tcBorders>
              <w:top w:val="single" w:color="D0D4E8" w:sz="3"/>
              <w:left w:val="single" w:color="4d8c35" w:sz="6"/>
              <w:bottom w:val="single" w:color="D0D4E8" w:sz="3"/>
              <w:right w:val="single" w:color="D0D4E8" w:sz="3"/>
            </w:tcBorders>
            <w:shd w:fill="EDF7E8" w:val="clear"/>
            <w:tcMar>
              <w:top w:type="dxa" w:w="100"/>
              <w:left w:type="dxa" w:w="140"/>
              <w:bottom w:type="dxa" w:w="100"/>
              <w:right w:type="dxa" w:w="120"/>
            </w:tcMar>
            <w:vAlign w:val="top"/>
          </w:tcPr>
          <w:p>
            <w:r>
              <w:rPr>
                <w:rFonts w:ascii="Century Gothic" w:cs="Century Gothic" w:eastAsia="Century Gothic" w:hAnsi="Century Gothic"/>
                <w:b/>
                <w:bCs/>
                <w:color w:val="2d6b1e"/>
                <w:sz w:val="16"/>
                <w:szCs w:val="16"/>
              </w:rPr>
              <w:t xml:space="preserve">DS6</w:t>
            </w:r>
          </w:p>
          <w:p>
            <w:r>
              <w:rPr>
                <w:rFonts w:ascii="Century Gothic" w:cs="Century Gothic" w:eastAsia="Century Gothic" w:hAnsi="Century Gothic"/>
                <w:b/>
                <w:bCs/>
                <w:color w:val="333333"/>
                <w:sz w:val="17"/>
                <w:szCs w:val="17"/>
              </w:rPr>
              <w:t xml:space="preserve">Historical Data Reliability</w:t>
            </w:r>
          </w:p>
        </w:tc>
        <w:tc>
          <w:tcPr>
            <w:tcW w:type="dxa" w:w="3500"/>
            <w:tcBorders>
              <w:top w:val="single" w:color="D0D4E8" w:sz="3"/>
              <w:left w:val="single" w:color="D0D4E8" w:sz="3"/>
              <w:bottom w:val="single" w:color="D0D4E8" w:sz="3"/>
              <w:right w:val="single" w:color="D0D4E8" w:sz="3"/>
            </w:tcBorders>
            <w:shd w:fill="EDF7E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Interview data/HR team on migration history and known gaps. Assess documentation of historical data quality decisions.</w:t>
            </w:r>
          </w:p>
        </w:tc>
        <w:tc>
          <w:tcPr>
            <w:tcW w:type="dxa" w:w="3800"/>
            <w:tcBorders>
              <w:top w:val="single" w:color="D0D4E8" w:sz="3"/>
              <w:left w:val="single" w:color="D0D4E8" w:sz="3"/>
              <w:bottom w:val="single" w:color="D0D4E8" w:sz="3"/>
              <w:right w:val="single" w:color="D0D4E8" w:sz="3"/>
            </w:tcBorders>
            <w:shd w:fill="EDF7E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 of worker records older than 2 years with complete key fields. Retroactive correction rate on records over 12 months old.</w:t>
            </w:r>
          </w:p>
        </w:tc>
        <w:tc>
          <w:tcPr>
            <w:tcW w:type="dxa" w:w="4838"/>
            <w:tcBorders>
              <w:top w:val="single" w:color="D0D4E8" w:sz="3"/>
              <w:left w:val="single" w:color="D0D4E8" w:sz="3"/>
              <w:bottom w:val="single" w:color="D0D4E8" w:sz="3"/>
              <w:right w:val="single" w:color="D0D4E8" w:sz="3"/>
            </w:tcBorders>
            <w:shd w:fill="EDF7E8"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Historical Worker Change History Report; Retroactive Data Correction Audit — amendments applied to records over 12 months old.</w:t>
            </w:r>
          </w:p>
        </w:tc>
      </w:tr>
      <w:tr>
        <w:tc>
          <w:tcPr>
            <w:tcW w:type="dxa" w:w="2700"/>
            <w:tcBorders>
              <w:top w:val="single" w:color="D0D4E8" w:sz="3"/>
              <w:left w:val="single" w:color="4d8c35"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2d6b1e"/>
                <w:sz w:val="16"/>
                <w:szCs w:val="16"/>
              </w:rPr>
              <w:t xml:space="preserve">DS7</w:t>
            </w:r>
          </w:p>
          <w:p>
            <w:r>
              <w:rPr>
                <w:rFonts w:ascii="Century Gothic" w:cs="Century Gothic" w:eastAsia="Century Gothic" w:hAnsi="Century Gothic"/>
                <w:b/>
                <w:bCs/>
                <w:color w:val="333333"/>
                <w:sz w:val="17"/>
                <w:szCs w:val="17"/>
              </w:rPr>
              <w:t xml:space="preserve">Privacy &amp; Consent Controls</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Legal/compliance attestation on GDPR review specifically for AI data flows. Review privacy impact assessment documentation.</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Count of sensitive data fields with access controls configured for AI use. Date of last AI-specific privacy configuration review.</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Data Access Policy Configuration Report; Sensitive Data Field Access Audit. Primarily legal/compliance attestation and sign-off.</w:t>
            </w:r>
          </w:p>
        </w:tc>
      </w:tr>
      <w:tr>
        <w:tc>
          <w:tcPr>
            <w:tcW w:type="dxa" w:w="14838"/>
            <w:gridSpan w:val="4"/>
            <w:tcBorders>
              <w:top w:val="single" w:color="41679F" w:sz="8"/>
              <w:left w:val="single" w:color="41679F" w:sz="8"/>
              <w:bottom w:val="single" w:color="41679F" w:sz="4"/>
              <w:right w:val="single" w:color="41679F" w:sz="8"/>
            </w:tcBorders>
            <w:shd w:fill="41679F" w:val="clear"/>
            <w:tcMar>
              <w:top w:type="dxa" w:w="100"/>
              <w:left w:type="dxa" w:w="200"/>
              <w:bottom w:type="dxa" w:w="100"/>
              <w:right w:type="dxa" w:w="100"/>
            </w:tcMar>
          </w:tcPr>
          <w:p>
            <w:r>
              <w:rPr>
                <w:rFonts w:ascii="Century Gothic" w:cs="Century Gothic" w:eastAsia="Century Gothic" w:hAnsi="Century Gothic"/>
                <w:b/>
                <w:bCs/>
                <w:color w:val="FFFFFF"/>
                <w:sz w:val="20"/>
                <w:szCs w:val="20"/>
              </w:rPr>
              <w:t xml:space="preserve">AI ACTIVATION &amp; USE CASES</w:t>
            </w:r>
          </w:p>
        </w:tc>
      </w:tr>
      <w:tr>
        <w:tc>
          <w:tcPr>
            <w:tcW w:type="dxa" w:w="2700"/>
            <w:tcBorders>
              <w:top w:val="single" w:color="D0D4E8" w:sz="3"/>
              <w:left w:val="single" w:color="41679F" w:sz="6"/>
              <w:bottom w:val="single" w:color="D0D4E8" w:sz="3"/>
              <w:right w:val="single" w:color="D0D4E8" w:sz="3"/>
            </w:tcBorders>
            <w:shd w:fill="EAF0FA" w:val="clear"/>
            <w:tcMar>
              <w:top w:type="dxa" w:w="100"/>
              <w:left w:type="dxa" w:w="140"/>
              <w:bottom w:type="dxa" w:w="100"/>
              <w:right w:type="dxa" w:w="120"/>
            </w:tcMar>
            <w:vAlign w:val="top"/>
          </w:tcPr>
          <w:p>
            <w:r>
              <w:rPr>
                <w:rFonts w:ascii="Century Gothic" w:cs="Century Gothic" w:eastAsia="Century Gothic" w:hAnsi="Century Gothic"/>
                <w:b/>
                <w:bCs/>
                <w:color w:val="41679F"/>
                <w:sz w:val="16"/>
                <w:szCs w:val="16"/>
              </w:rPr>
              <w:t xml:space="preserve">AA1</w:t>
            </w:r>
          </w:p>
          <w:p>
            <w:r>
              <w:rPr>
                <w:rFonts w:ascii="Century Gothic" w:cs="Century Gothic" w:eastAsia="Century Gothic" w:hAnsi="Century Gothic"/>
                <w:b/>
                <w:bCs/>
                <w:color w:val="333333"/>
                <w:sz w:val="17"/>
                <w:szCs w:val="17"/>
              </w:rPr>
              <w:t xml:space="preserve">AI Feature Enablement</w:t>
            </w:r>
          </w:p>
        </w:tc>
        <w:tc>
          <w:tcPr>
            <w:tcW w:type="dxa" w:w="3500"/>
            <w:tcBorders>
              <w:top w:val="single" w:color="D0D4E8" w:sz="3"/>
              <w:left w:val="single" w:color="D0D4E8" w:sz="3"/>
              <w:bottom w:val="single" w:color="D0D4E8" w:sz="3"/>
              <w:right w:val="single" w:color="D0D4E8" w:sz="3"/>
            </w:tcBorders>
            <w:shd w:fill="EAF0F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Review AI activation strategy with product owner. Assess whether release review process covers AI and Illuminate features.</w:t>
            </w:r>
          </w:p>
        </w:tc>
        <w:tc>
          <w:tcPr>
            <w:tcW w:type="dxa" w:w="3800"/>
            <w:tcBorders>
              <w:top w:val="single" w:color="D0D4E8" w:sz="3"/>
              <w:left w:val="single" w:color="D0D4E8" w:sz="3"/>
              <w:bottom w:val="single" w:color="D0D4E8" w:sz="3"/>
              <w:right w:val="single" w:color="D0D4E8" w:sz="3"/>
            </w:tcBorders>
            <w:shd w:fill="EAF0F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Count of Workday AI features enabled vs. total available. % of applicable AI features activated per module (HCM, Recruiting, Finance).</w:t>
            </w:r>
          </w:p>
        </w:tc>
        <w:tc>
          <w:tcPr>
            <w:tcW w:type="dxa" w:w="4838"/>
            <w:tcBorders>
              <w:top w:val="single" w:color="D0D4E8" w:sz="3"/>
              <w:left w:val="single" w:color="D0D4E8" w:sz="3"/>
              <w:bottom w:val="single" w:color="D0D4E8" w:sz="3"/>
              <w:right w:val="single" w:color="D0D4E8" w:sz="3"/>
            </w:tcBorders>
            <w:shd w:fill="EAF0F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Tenant Feature Activation Report — AI and Illuminate features enabled/disabled status per module (Workday tenant admin).</w:t>
            </w:r>
          </w:p>
        </w:tc>
      </w:tr>
      <w:tr>
        <w:tc>
          <w:tcPr>
            <w:tcW w:type="dxa" w:w="2700"/>
            <w:tcBorders>
              <w:top w:val="single" w:color="D0D4E8" w:sz="3"/>
              <w:left w:val="single" w:color="41679F"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41679F"/>
                <w:sz w:val="16"/>
                <w:szCs w:val="16"/>
              </w:rPr>
              <w:t xml:space="preserve">AA2</w:t>
            </w:r>
          </w:p>
          <w:p>
            <w:r>
              <w:rPr>
                <w:rFonts w:ascii="Century Gothic" w:cs="Century Gothic" w:eastAsia="Century Gothic" w:hAnsi="Century Gothic"/>
                <w:b/>
                <w:bCs/>
                <w:color w:val="333333"/>
                <w:sz w:val="17"/>
                <w:szCs w:val="17"/>
              </w:rPr>
              <w:t xml:space="preserve">Usage vs. Enablement Gap</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Interview HR and manager populations on AI feature awareness and day-to-day usage in practice.</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AI recommendation acceptance rate (%). Active users of AI features as % of eligible population. 90-day usage trend.</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Skills Cloud Adoption Report; Recruiting AI Interaction Report; AI Recommendation Acceptance Rate Report (tenant analytics).</w:t>
            </w:r>
          </w:p>
        </w:tc>
      </w:tr>
      <w:tr>
        <w:tc>
          <w:tcPr>
            <w:tcW w:type="dxa" w:w="2700"/>
            <w:tcBorders>
              <w:top w:val="single" w:color="D0D4E8" w:sz="3"/>
              <w:left w:val="single" w:color="41679F" w:sz="6"/>
              <w:bottom w:val="single" w:color="D0D4E8" w:sz="3"/>
              <w:right w:val="single" w:color="D0D4E8" w:sz="3"/>
            </w:tcBorders>
            <w:shd w:fill="EAF0FA" w:val="clear"/>
            <w:tcMar>
              <w:top w:type="dxa" w:w="100"/>
              <w:left w:type="dxa" w:w="140"/>
              <w:bottom w:type="dxa" w:w="100"/>
              <w:right w:type="dxa" w:w="120"/>
            </w:tcMar>
            <w:vAlign w:val="top"/>
          </w:tcPr>
          <w:p>
            <w:r>
              <w:rPr>
                <w:rFonts w:ascii="Century Gothic" w:cs="Century Gothic" w:eastAsia="Century Gothic" w:hAnsi="Century Gothic"/>
                <w:b/>
                <w:bCs/>
                <w:color w:val="41679F"/>
                <w:sz w:val="16"/>
                <w:szCs w:val="16"/>
              </w:rPr>
              <w:t xml:space="preserve">AA3</w:t>
            </w:r>
          </w:p>
          <w:p>
            <w:r>
              <w:rPr>
                <w:rFonts w:ascii="Century Gothic" w:cs="Century Gothic" w:eastAsia="Century Gothic" w:hAnsi="Century Gothic"/>
                <w:b/>
                <w:bCs/>
                <w:color w:val="333333"/>
                <w:sz w:val="17"/>
                <w:szCs w:val="17"/>
              </w:rPr>
              <w:t xml:space="preserve">Use Case Definition</w:t>
            </w:r>
          </w:p>
        </w:tc>
        <w:tc>
          <w:tcPr>
            <w:tcW w:type="dxa" w:w="3500"/>
            <w:tcBorders>
              <w:top w:val="single" w:color="D0D4E8" w:sz="3"/>
              <w:left w:val="single" w:color="D0D4E8" w:sz="3"/>
              <w:bottom w:val="single" w:color="D0D4E8" w:sz="3"/>
              <w:right w:val="single" w:color="D0D4E8" w:sz="3"/>
            </w:tcBorders>
            <w:shd w:fill="EAF0F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Review use case documentation. Interview business owners to validate ownership clarity and measurability of stated outcomes.</w:t>
            </w:r>
          </w:p>
        </w:tc>
        <w:tc>
          <w:tcPr>
            <w:tcW w:type="dxa" w:w="3800"/>
            <w:tcBorders>
              <w:top w:val="single" w:color="D0D4E8" w:sz="3"/>
              <w:left w:val="single" w:color="D0D4E8" w:sz="3"/>
              <w:bottom w:val="single" w:color="D0D4E8" w:sz="3"/>
              <w:right w:val="single" w:color="D0D4E8" w:sz="3"/>
            </w:tcBorders>
            <w:shd w:fill="EAF0F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Count of AI use cases with a documented owner, defined business problem, and measurable success criteria vs. total features enabled.</w:t>
            </w:r>
          </w:p>
        </w:tc>
        <w:tc>
          <w:tcPr>
            <w:tcW w:type="dxa" w:w="4838"/>
            <w:tcBorders>
              <w:top w:val="single" w:color="D0D4E8" w:sz="3"/>
              <w:left w:val="single" w:color="D0D4E8" w:sz="3"/>
              <w:bottom w:val="single" w:color="D0D4E8" w:sz="3"/>
              <w:right w:val="single" w:color="D0D4E8" w:sz="3"/>
            </w:tcBorders>
            <w:shd w:fill="EAF0F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No native Workday report. Use Case Register (external document). Human judgement on documentation quality and coverage.</w:t>
            </w:r>
          </w:p>
        </w:tc>
      </w:tr>
      <w:tr>
        <w:tc>
          <w:tcPr>
            <w:tcW w:type="dxa" w:w="2700"/>
            <w:tcBorders>
              <w:top w:val="single" w:color="D0D4E8" w:sz="3"/>
              <w:left w:val="single" w:color="41679F"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41679F"/>
                <w:sz w:val="16"/>
                <w:szCs w:val="16"/>
              </w:rPr>
              <w:t xml:space="preserve">AA4</w:t>
            </w:r>
          </w:p>
          <w:p>
            <w:r>
              <w:rPr>
                <w:rFonts w:ascii="Century Gothic" w:cs="Century Gothic" w:eastAsia="Century Gothic" w:hAnsi="Century Gothic"/>
                <w:b/>
                <w:bCs/>
                <w:color w:val="333333"/>
                <w:sz w:val="17"/>
                <w:szCs w:val="17"/>
              </w:rPr>
              <w:t xml:space="preserve">Outcome Measurement</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Review AI KPI framework with HR/Finance leadership. Assess measurement approach, reporting cadence, and exec visibility.</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Time-to-hire delta (before/after AI enablement). Internal mobility rate trend. AI recommendation acceptance rate. Cycle time improvement.</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Recruiting Efficiency Report (time-to-fill, time-to-hire); Performance Cycle Time Report; Internal Mobility Dashboard.</w:t>
            </w:r>
          </w:p>
        </w:tc>
      </w:tr>
      <w:tr>
        <w:tc>
          <w:tcPr>
            <w:tcW w:type="dxa" w:w="2700"/>
            <w:tcBorders>
              <w:top w:val="single" w:color="D0D4E8" w:sz="3"/>
              <w:left w:val="single" w:color="41679F" w:sz="6"/>
              <w:bottom w:val="single" w:color="D0D4E8" w:sz="3"/>
              <w:right w:val="single" w:color="D0D4E8" w:sz="3"/>
            </w:tcBorders>
            <w:shd w:fill="EAF0FA" w:val="clear"/>
            <w:tcMar>
              <w:top w:type="dxa" w:w="100"/>
              <w:left w:type="dxa" w:w="140"/>
              <w:bottom w:type="dxa" w:w="100"/>
              <w:right w:type="dxa" w:w="120"/>
            </w:tcMar>
            <w:vAlign w:val="top"/>
          </w:tcPr>
          <w:p>
            <w:r>
              <w:rPr>
                <w:rFonts w:ascii="Century Gothic" w:cs="Century Gothic" w:eastAsia="Century Gothic" w:hAnsi="Century Gothic"/>
                <w:b/>
                <w:bCs/>
                <w:color w:val="41679F"/>
                <w:sz w:val="16"/>
                <w:szCs w:val="16"/>
              </w:rPr>
              <w:t xml:space="preserve">AA5</w:t>
            </w:r>
          </w:p>
          <w:p>
            <w:r>
              <w:rPr>
                <w:rFonts w:ascii="Century Gothic" w:cs="Century Gothic" w:eastAsia="Century Gothic" w:hAnsi="Century Gothic"/>
                <w:b/>
                <w:bCs/>
                <w:color w:val="333333"/>
                <w:sz w:val="17"/>
                <w:szCs w:val="17"/>
              </w:rPr>
              <w:t xml:space="preserve">Process Readiness</w:t>
            </w:r>
          </w:p>
        </w:tc>
        <w:tc>
          <w:tcPr>
            <w:tcW w:type="dxa" w:w="3500"/>
            <w:tcBorders>
              <w:top w:val="single" w:color="D0D4E8" w:sz="3"/>
              <w:left w:val="single" w:color="D0D4E8" w:sz="3"/>
              <w:bottom w:val="single" w:color="D0D4E8" w:sz="3"/>
              <w:right w:val="single" w:color="D0D4E8" w:sz="3"/>
            </w:tcBorders>
            <w:shd w:fill="EAF0F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Process walkthrough with process owners. Assess tolerance for exceptions, workaround culture, and process compliance norms.</w:t>
            </w:r>
          </w:p>
        </w:tc>
        <w:tc>
          <w:tcPr>
            <w:tcW w:type="dxa" w:w="3800"/>
            <w:tcBorders>
              <w:top w:val="single" w:color="D0D4E8" w:sz="3"/>
              <w:left w:val="single" w:color="D0D4E8" w:sz="3"/>
              <w:bottom w:val="single" w:color="D0D4E8" w:sz="3"/>
              <w:right w:val="single" w:color="D0D4E8" w:sz="3"/>
            </w:tcBorders>
            <w:shd w:fill="EAF0F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Business process exception rate (% of transactions requiring manual override or correction). Process completion rate.</w:t>
            </w:r>
          </w:p>
        </w:tc>
        <w:tc>
          <w:tcPr>
            <w:tcW w:type="dxa" w:w="4838"/>
            <w:tcBorders>
              <w:top w:val="single" w:color="D0D4E8" w:sz="3"/>
              <w:left w:val="single" w:color="D0D4E8" w:sz="3"/>
              <w:bottom w:val="single" w:color="D0D4E8" w:sz="3"/>
              <w:right w:val="single" w:color="D0D4E8" w:sz="3"/>
            </w:tcBorders>
            <w:shd w:fill="EAF0F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Business Process Exception Report; Manual Override/Skip Frequency Report; Process Completion Rate by Business Process.</w:t>
            </w:r>
          </w:p>
        </w:tc>
      </w:tr>
      <w:tr>
        <w:tc>
          <w:tcPr>
            <w:tcW w:type="dxa" w:w="2700"/>
            <w:tcBorders>
              <w:top w:val="single" w:color="D0D4E8" w:sz="3"/>
              <w:left w:val="single" w:color="41679F"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41679F"/>
                <w:sz w:val="16"/>
                <w:szCs w:val="16"/>
              </w:rPr>
              <w:t xml:space="preserve">AA6</w:t>
            </w:r>
          </w:p>
          <w:p>
            <w:r>
              <w:rPr>
                <w:rFonts w:ascii="Century Gothic" w:cs="Century Gothic" w:eastAsia="Century Gothic" w:hAnsi="Century Gothic"/>
                <w:b/>
                <w:bCs/>
                <w:color w:val="333333"/>
                <w:sz w:val="17"/>
                <w:szCs w:val="17"/>
              </w:rPr>
              <w:t xml:space="preserve">Change &amp; Adoption Management</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Review change management plan documentation. Interview change lead on adoption strategy and post-go-live sustainment plan.</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Training completion rate for AI feature rollouts. Monthly active user adoption trend. Helpdesk ticket volume post-go-live.</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Learning Management Completion Report — AI and Illuminate training modules; User Adoption Trend Report (external analytics).</w:t>
            </w:r>
          </w:p>
        </w:tc>
      </w:tr>
      <w:tr>
        <w:tc>
          <w:tcPr>
            <w:tcW w:type="dxa" w:w="14838"/>
            <w:gridSpan w:val="4"/>
            <w:tcBorders>
              <w:top w:val="single" w:color="004631" w:sz="8"/>
              <w:left w:val="single" w:color="004631" w:sz="8"/>
              <w:bottom w:val="single" w:color="004631" w:sz="4"/>
              <w:right w:val="single" w:color="004631" w:sz="8"/>
            </w:tcBorders>
            <w:shd w:fill="004631" w:val="clear"/>
            <w:tcMar>
              <w:top w:type="dxa" w:w="100"/>
              <w:left w:type="dxa" w:w="200"/>
              <w:bottom w:type="dxa" w:w="100"/>
              <w:right w:type="dxa" w:w="100"/>
            </w:tcMar>
          </w:tcPr>
          <w:p>
            <w:r>
              <w:rPr>
                <w:rFonts w:ascii="Century Gothic" w:cs="Century Gothic" w:eastAsia="Century Gothic" w:hAnsi="Century Gothic"/>
                <w:b/>
                <w:bCs/>
                <w:color w:val="FFFFFF"/>
                <w:sz w:val="20"/>
                <w:szCs w:val="20"/>
              </w:rPr>
              <w:t xml:space="preserve">GOVERNANCE &amp; WAYS OF WORKING</w:t>
            </w:r>
          </w:p>
        </w:tc>
      </w:tr>
      <w:tr>
        <w:tc>
          <w:tcPr>
            <w:tcW w:type="dxa" w:w="2700"/>
            <w:tcBorders>
              <w:top w:val="single" w:color="D0D4E8" w:sz="3"/>
              <w:left w:val="single" w:color="004631" w:sz="6"/>
              <w:bottom w:val="single" w:color="D0D4E8" w:sz="3"/>
              <w:right w:val="single" w:color="D0D4E8" w:sz="3"/>
            </w:tcBorders>
            <w:shd w:fill="E0EDEA" w:val="clear"/>
            <w:tcMar>
              <w:top w:type="dxa" w:w="100"/>
              <w:left w:type="dxa" w:w="140"/>
              <w:bottom w:type="dxa" w:w="100"/>
              <w:right w:type="dxa" w:w="120"/>
            </w:tcMar>
            <w:vAlign w:val="top"/>
          </w:tcPr>
          <w:p>
            <w:r>
              <w:rPr>
                <w:rFonts w:ascii="Century Gothic" w:cs="Century Gothic" w:eastAsia="Century Gothic" w:hAnsi="Century Gothic"/>
                <w:b/>
                <w:bCs/>
                <w:color w:val="004631"/>
                <w:sz w:val="16"/>
                <w:szCs w:val="16"/>
              </w:rPr>
              <w:t xml:space="preserve">GW1</w:t>
            </w:r>
          </w:p>
          <w:p>
            <w:r>
              <w:rPr>
                <w:rFonts w:ascii="Century Gothic" w:cs="Century Gothic" w:eastAsia="Century Gothic" w:hAnsi="Century Gothic"/>
                <w:b/>
                <w:bCs/>
                <w:color w:val="333333"/>
                <w:sz w:val="17"/>
                <w:szCs w:val="17"/>
              </w:rPr>
              <w:t xml:space="preserve">Workday Product Ownership</w:t>
            </w:r>
          </w:p>
        </w:tc>
        <w:tc>
          <w:tcPr>
            <w:tcW w:type="dxa" w:w="3500"/>
            <w:tcBorders>
              <w:top w:val="single" w:color="D0D4E8" w:sz="3"/>
              <w:left w:val="single" w:color="D0D4E8" w:sz="3"/>
              <w:bottom w:val="single" w:color="D0D4E8" w:sz="3"/>
              <w:right w:val="single" w:color="D0D4E8" w:sz="3"/>
            </w:tcBorders>
            <w:shd w:fill="E0EDE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Confirm named Product Owner. Interview on mandate, budget authority, and executive access. Assess decision-making in practice.</w:t>
            </w:r>
          </w:p>
        </w:tc>
        <w:tc>
          <w:tcPr>
            <w:tcW w:type="dxa" w:w="3800"/>
            <w:tcBorders>
              <w:top w:val="single" w:color="D0D4E8" w:sz="3"/>
              <w:left w:val="single" w:color="D0D4E8" w:sz="3"/>
              <w:bottom w:val="single" w:color="D0D4E8" w:sz="3"/>
              <w:right w:val="single" w:color="D0D4E8" w:sz="3"/>
            </w:tcBorders>
            <w:shd w:fill="E0EDE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 of AI decisions owned internally vs. escalated externally. Release review attendance rate. AI backlog items actioned per quarter.</w:t>
            </w:r>
          </w:p>
        </w:tc>
        <w:tc>
          <w:tcPr>
            <w:tcW w:type="dxa" w:w="4838"/>
            <w:tcBorders>
              <w:top w:val="single" w:color="D0D4E8" w:sz="3"/>
              <w:left w:val="single" w:color="D0D4E8" w:sz="3"/>
              <w:bottom w:val="single" w:color="D0D4E8" w:sz="3"/>
              <w:right w:val="single" w:color="D0D4E8" w:sz="3"/>
            </w:tcBorders>
            <w:shd w:fill="E0EDE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Primarily human judgement. No native Workday report — governance meeting records and product backlog metrics (external tools).</w:t>
            </w:r>
          </w:p>
        </w:tc>
      </w:tr>
      <w:tr>
        <w:tc>
          <w:tcPr>
            <w:tcW w:type="dxa" w:w="2700"/>
            <w:tcBorders>
              <w:top w:val="single" w:color="D0D4E8" w:sz="3"/>
              <w:left w:val="single" w:color="004631"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004631"/>
                <w:sz w:val="16"/>
                <w:szCs w:val="16"/>
              </w:rPr>
              <w:t xml:space="preserve">GW2</w:t>
            </w:r>
          </w:p>
          <w:p>
            <w:r>
              <w:rPr>
                <w:rFonts w:ascii="Century Gothic" w:cs="Century Gothic" w:eastAsia="Century Gothic" w:hAnsi="Century Gothic"/>
                <w:b/>
                <w:bCs/>
                <w:color w:val="333333"/>
                <w:sz w:val="17"/>
                <w:szCs w:val="17"/>
              </w:rPr>
              <w:t xml:space="preserve">AI Governance Framework</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Document review of AI governance policy — assess currency, scope, and real-world application to recent AI decisions.</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Date of last formal policy review. Count of AI use cases assessed through the governance framework vs. total features enabled.</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No native Workday report. AI Governance Log and policy document (external). Use case assessment register.</w:t>
            </w:r>
          </w:p>
        </w:tc>
      </w:tr>
      <w:tr>
        <w:tc>
          <w:tcPr>
            <w:tcW w:type="dxa" w:w="2700"/>
            <w:tcBorders>
              <w:top w:val="single" w:color="D0D4E8" w:sz="3"/>
              <w:left w:val="single" w:color="004631" w:sz="6"/>
              <w:bottom w:val="single" w:color="D0D4E8" w:sz="3"/>
              <w:right w:val="single" w:color="D0D4E8" w:sz="3"/>
            </w:tcBorders>
            <w:shd w:fill="E0EDEA" w:val="clear"/>
            <w:tcMar>
              <w:top w:type="dxa" w:w="100"/>
              <w:left w:type="dxa" w:w="140"/>
              <w:bottom w:type="dxa" w:w="100"/>
              <w:right w:type="dxa" w:w="120"/>
            </w:tcMar>
            <w:vAlign w:val="top"/>
          </w:tcPr>
          <w:p>
            <w:r>
              <w:rPr>
                <w:rFonts w:ascii="Century Gothic" w:cs="Century Gothic" w:eastAsia="Century Gothic" w:hAnsi="Century Gothic"/>
                <w:b/>
                <w:bCs/>
                <w:color w:val="004631"/>
                <w:sz w:val="16"/>
                <w:szCs w:val="16"/>
              </w:rPr>
              <w:t xml:space="preserve">GW3</w:t>
            </w:r>
          </w:p>
          <w:p>
            <w:r>
              <w:rPr>
                <w:rFonts w:ascii="Century Gothic" w:cs="Century Gothic" w:eastAsia="Century Gothic" w:hAnsi="Century Gothic"/>
                <w:b/>
                <w:bCs/>
                <w:color w:val="333333"/>
                <w:sz w:val="17"/>
                <w:szCs w:val="17"/>
              </w:rPr>
              <w:t xml:space="preserve">Decision Rights for AI</w:t>
            </w:r>
          </w:p>
        </w:tc>
        <w:tc>
          <w:tcPr>
            <w:tcW w:type="dxa" w:w="3500"/>
            <w:tcBorders>
              <w:top w:val="single" w:color="D0D4E8" w:sz="3"/>
              <w:left w:val="single" w:color="D0D4E8" w:sz="3"/>
              <w:bottom w:val="single" w:color="D0D4E8" w:sz="3"/>
              <w:right w:val="single" w:color="D0D4E8" w:sz="3"/>
            </w:tcBorders>
            <w:shd w:fill="E0EDE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Review RACI/decision rights documentation. Interview stakeholders on real decision escalation experience and resolution speed.</w:t>
            </w:r>
          </w:p>
        </w:tc>
        <w:tc>
          <w:tcPr>
            <w:tcW w:type="dxa" w:w="3800"/>
            <w:tcBorders>
              <w:top w:val="single" w:color="D0D4E8" w:sz="3"/>
              <w:left w:val="single" w:color="D0D4E8" w:sz="3"/>
              <w:bottom w:val="single" w:color="D0D4E8" w:sz="3"/>
              <w:right w:val="single" w:color="D0D4E8" w:sz="3"/>
            </w:tcBorders>
            <w:shd w:fill="E0EDE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Count of AI feature decisions resolved within agreed timeframe. Escalation rate for AI decisions above first-line ownership.</w:t>
            </w:r>
          </w:p>
        </w:tc>
        <w:tc>
          <w:tcPr>
            <w:tcW w:type="dxa" w:w="4838"/>
            <w:tcBorders>
              <w:top w:val="single" w:color="D0D4E8" w:sz="3"/>
              <w:left w:val="single" w:color="D0D4E8" w:sz="3"/>
              <w:bottom w:val="single" w:color="D0D4E8" w:sz="3"/>
              <w:right w:val="single" w:color="D0D4E8" w:sz="3"/>
            </w:tcBorders>
            <w:shd w:fill="E0EDE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Primarily human judgement. Governance meeting minutes and decision log (external document or project management tool).</w:t>
            </w:r>
          </w:p>
        </w:tc>
      </w:tr>
      <w:tr>
        <w:tc>
          <w:tcPr>
            <w:tcW w:type="dxa" w:w="2700"/>
            <w:tcBorders>
              <w:top w:val="single" w:color="D0D4E8" w:sz="3"/>
              <w:left w:val="single" w:color="004631"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004631"/>
                <w:sz w:val="16"/>
                <w:szCs w:val="16"/>
              </w:rPr>
              <w:t xml:space="preserve">GW4</w:t>
            </w:r>
          </w:p>
          <w:p>
            <w:r>
              <w:rPr>
                <w:rFonts w:ascii="Century Gothic" w:cs="Century Gothic" w:eastAsia="Century Gothic" w:hAnsi="Century Gothic"/>
                <w:b/>
                <w:bCs/>
                <w:color w:val="333333"/>
                <w:sz w:val="17"/>
                <w:szCs w:val="17"/>
              </w:rPr>
              <w:t xml:space="preserve">Team Capability</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Conduct skills gap assessment of Workday team vs. AI capability requirements. Review training plans and succession coverage.</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Count of Workday AI/Illuminate certifications held. AI training completion rate. Support tickets escalated to external vendors.</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Worker Certifications Report (Workday); Learning Completion Report — Workday AI and Illuminate training course completions.</w:t>
            </w:r>
          </w:p>
        </w:tc>
      </w:tr>
      <w:tr>
        <w:tc>
          <w:tcPr>
            <w:tcW w:type="dxa" w:w="2700"/>
            <w:tcBorders>
              <w:top w:val="single" w:color="D0D4E8" w:sz="3"/>
              <w:left w:val="single" w:color="004631" w:sz="6"/>
              <w:bottom w:val="single" w:color="D0D4E8" w:sz="3"/>
              <w:right w:val="single" w:color="D0D4E8" w:sz="3"/>
            </w:tcBorders>
            <w:shd w:fill="E0EDEA" w:val="clear"/>
            <w:tcMar>
              <w:top w:type="dxa" w:w="100"/>
              <w:left w:type="dxa" w:w="140"/>
              <w:bottom w:type="dxa" w:w="100"/>
              <w:right w:type="dxa" w:w="120"/>
            </w:tcMar>
            <w:vAlign w:val="top"/>
          </w:tcPr>
          <w:p>
            <w:r>
              <w:rPr>
                <w:rFonts w:ascii="Century Gothic" w:cs="Century Gothic" w:eastAsia="Century Gothic" w:hAnsi="Century Gothic"/>
                <w:b/>
                <w:bCs/>
                <w:color w:val="004631"/>
                <w:sz w:val="16"/>
                <w:szCs w:val="16"/>
              </w:rPr>
              <w:t xml:space="preserve">GW5</w:t>
            </w:r>
          </w:p>
          <w:p>
            <w:r>
              <w:rPr>
                <w:rFonts w:ascii="Century Gothic" w:cs="Century Gothic" w:eastAsia="Century Gothic" w:hAnsi="Century Gothic"/>
                <w:b/>
                <w:bCs/>
                <w:color w:val="333333"/>
                <w:sz w:val="17"/>
                <w:szCs w:val="17"/>
              </w:rPr>
              <w:t xml:space="preserve">Executive Sponsorship</w:t>
            </w:r>
          </w:p>
        </w:tc>
        <w:tc>
          <w:tcPr>
            <w:tcW w:type="dxa" w:w="3500"/>
            <w:tcBorders>
              <w:top w:val="single" w:color="D0D4E8" w:sz="3"/>
              <w:left w:val="single" w:color="D0D4E8" w:sz="3"/>
              <w:bottom w:val="single" w:color="D0D4E8" w:sz="3"/>
              <w:right w:val="single" w:color="D0D4E8" w:sz="3"/>
            </w:tcBorders>
            <w:shd w:fill="E0EDE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Interview executive sponsor on active involvement, advocacy actions, and attendance at AI governance forums.</w:t>
            </w:r>
          </w:p>
        </w:tc>
        <w:tc>
          <w:tcPr>
            <w:tcW w:type="dxa" w:w="3800"/>
            <w:tcBorders>
              <w:top w:val="single" w:color="D0D4E8" w:sz="3"/>
              <w:left w:val="single" w:color="D0D4E8" w:sz="3"/>
              <w:bottom w:val="single" w:color="D0D4E8" w:sz="3"/>
              <w:right w:val="single" w:color="D0D4E8" w:sz="3"/>
            </w:tcBorders>
            <w:shd w:fill="E0EDE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Frequency of exec attendance at AI governance meetings. AI investment decisions approved vs. deferred at executive level.</w:t>
            </w:r>
          </w:p>
        </w:tc>
        <w:tc>
          <w:tcPr>
            <w:tcW w:type="dxa" w:w="4838"/>
            <w:tcBorders>
              <w:top w:val="single" w:color="D0D4E8" w:sz="3"/>
              <w:left w:val="single" w:color="D0D4E8" w:sz="3"/>
              <w:bottom w:val="single" w:color="D0D4E8" w:sz="3"/>
              <w:right w:val="single" w:color="D0D4E8" w:sz="3"/>
            </w:tcBorders>
            <w:shd w:fill="E0EDEA"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Primarily human judgement. Governance meeting attendance records and investment decision log (external documents).</w:t>
            </w:r>
          </w:p>
        </w:tc>
      </w:tr>
      <w:tr>
        <w:tc>
          <w:tcPr>
            <w:tcW w:type="dxa" w:w="2700"/>
            <w:tcBorders>
              <w:top w:val="single" w:color="D0D4E8" w:sz="3"/>
              <w:left w:val="single" w:color="004631" w:sz="6"/>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b/>
                <w:bCs/>
                <w:color w:val="004631"/>
                <w:sz w:val="16"/>
                <w:szCs w:val="16"/>
              </w:rPr>
              <w:t xml:space="preserve">GW6</w:t>
            </w:r>
          </w:p>
          <w:p>
            <w:r>
              <w:rPr>
                <w:rFonts w:ascii="Century Gothic" w:cs="Century Gothic" w:eastAsia="Century Gothic" w:hAnsi="Century Gothic"/>
                <w:b/>
                <w:bCs/>
                <w:color w:val="333333"/>
                <w:sz w:val="17"/>
                <w:szCs w:val="17"/>
              </w:rPr>
              <w:t xml:space="preserve">Risk &amp; Audit Readiness</w:t>
            </w:r>
          </w:p>
        </w:tc>
        <w:tc>
          <w:tcPr>
            <w:tcW w:type="dxa" w:w="35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Review audit trail configuration. Test ability to explain a specific AI output to a notional auditor with documented evidence.</w:t>
            </w:r>
          </w:p>
        </w:tc>
        <w:tc>
          <w:tcPr>
            <w:tcW w:type="dxa" w:w="3800"/>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 of AI-driven decisions with a complete audit trail entry. Count of AI-configured BP changes logged in the system audit.</w:t>
            </w:r>
          </w:p>
        </w:tc>
        <w:tc>
          <w:tcPr>
            <w:tcW w:type="dxa" w:w="4838"/>
            <w:tcBorders>
              <w:top w:val="single" w:color="D0D4E8" w:sz="3"/>
              <w:left w:val="single" w:color="D0D4E8" w:sz="3"/>
              <w:bottom w:val="single" w:color="D0D4E8" w:sz="3"/>
              <w:right w:val="single" w:color="D0D4E8" w:sz="3"/>
            </w:tcBorders>
            <w:shd w:fill="FFFFFF" w:val="clear"/>
            <w:tcMar>
              <w:top w:type="dxa" w:w="100"/>
              <w:left w:type="dxa" w:w="140"/>
              <w:bottom w:type="dxa" w:w="100"/>
              <w:right w:type="dxa" w:w="120"/>
            </w:tcMar>
            <w:vAlign w:val="top"/>
          </w:tcPr>
          <w:p>
            <w:r>
              <w:rPr>
                <w:rFonts w:ascii="Century Gothic" w:cs="Century Gothic" w:eastAsia="Century Gothic" w:hAnsi="Century Gothic"/>
                <w:color w:val="333333"/>
                <w:sz w:val="17"/>
                <w:szCs w:val="17"/>
              </w:rPr>
              <w:t xml:space="preserve">Business Process Audit Trail Report; Transaction Audit Log; Workday System Audit Report — changes to AI-configured business processes.</w:t>
            </w:r>
          </w:p>
        </w:tc>
      </w:tr>
    </w:tbl>
    <w:p>
      <w:pPr>
        <w:spacing w:after="0" w:before="280"/>
      </w:pPr>
      <w:r>
        <w:rPr>
          <w:rFonts w:ascii="Century Gothic" w:cs="Century Gothic" w:eastAsia="Century Gothic" w:hAnsi="Century Gothic"/>
          <w:i/>
          <w:iCs/>
          <w:color w:val="777777"/>
          <w:sz w:val="16"/>
          <w:szCs w:val="16"/>
        </w:rPr>
        <w:t xml:space="preserve">Note: Questions marked "Primarily human judgement" have no reliable native Workday report equivalent. These will remain qualitative in both assessment modes. All other quantitative measures are candidates for automation in the Workday Connected version of this assessment.</w:t>
      </w:r>
    </w:p>
    <w:sectPr>
      <w:headerReference w:type="default" r:id="rId7"/>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83583" w:sz="4" w:space="4"/>
      </w:pBdr>
      <w:jc w:val="right"/>
    </w:pPr>
    <w:r>
      <w:rPr>
        <w:rFonts w:ascii="Century Gothic" w:cs="Century Gothic" w:eastAsia="Century Gothic" w:hAnsi="Century Gothic"/>
        <w:color w:val="999999"/>
        <w:sz w:val="16"/>
        <w:szCs w:val="16"/>
      </w:rPr>
      <w:t xml:space="preserve">Qualitative &amp; Quantitative Measures Reference   |   Page </w:t>
    </w:r>
    <w:r>
      <w:rPr>
        <w:rFonts w:ascii="Century Gothic" w:cs="Century Gothic" w:eastAsia="Century Gothic" w:hAnsi="Century Gothic"/>
        <w:color w:val="999999"/>
        <w:sz w:val="16"/>
        <w:szCs w:val="16"/>
      </w:rPr>
      <w:fldChar w:fldCharType="begin"/>
      <w:instrText xml:space="preserve">PAGE</w:instrText>
      <w:fldChar w:fldCharType="separate"/>
      <w:fldChar w:fldCharType="end"/>
    </w:r>
    <w:r>
      <w:rPr>
        <w:rFonts w:ascii="Century Gothic" w:cs="Century Gothic" w:eastAsia="Century Gothic" w:hAnsi="Century Gothic"/>
        <w:color w:val="999999"/>
        <w:sz w:val="16"/>
        <w:szCs w:val="16"/>
      </w:rPr>
      <w:t xml:space="preserve"> of </w:t>
    </w:r>
    <w:r>
      <w:rPr>
        <w:rFonts w:ascii="Century Gothic" w:cs="Century Gothic" w:eastAsia="Century Gothic" w:hAnsi="Century Gothic"/>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83583" w:sz="6" w:space="4"/>
      </w:pBdr>
    </w:pPr>
    <w:r>
      <w:rPr>
        <w:rFonts w:ascii="Century Gothic" w:cs="Century Gothic" w:eastAsia="Century Gothic" w:hAnsi="Century Gothic"/>
        <w:b/>
        <w:bCs/>
        <w:color w:val="283583"/>
        <w:sz w:val="20"/>
        <w:szCs w:val="20"/>
      </w:rPr>
      <w:t xml:space="preserve">KAINOS</w:t>
    </w:r>
    <w:r>
      <w:rPr>
        <w:rFonts w:ascii="Century Gothic" w:cs="Century Gothic" w:eastAsia="Century Gothic" w:hAnsi="Century Gothic"/>
        <w:color w:val="666666"/>
        <w:sz w:val="18"/>
        <w:szCs w:val="18"/>
      </w:rPr>
      <w:t xml:space="preserve">   |   Workday AI Adoption Readiness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2026-04-10T10:41:33.278Z</dcterms:created>
  <dcterms:modified xsi:type="dcterms:W3CDTF">2026-04-10T10:41:33.278Z</dcterms:modified>
</cp:coreProperties>
</file>

<file path=docProps/custom.xml><?xml version="1.0" encoding="utf-8"?>
<Properties xmlns="http://schemas.openxmlformats.org/officeDocument/2006/custom-properties" xmlns:vt="http://schemas.openxmlformats.org/officeDocument/2006/docPropsVTypes"/>
</file>